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4D2" w:rsidRDefault="00AF24D2" w:rsidP="00531FDF">
      <w:pPr>
        <w:framePr w:w="4536" w:h="1758" w:hRule="exact" w:wrap="around" w:vAnchor="page" w:hAnchor="page" w:x="6286" w:y="2266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p w:rsidR="00AF24D2" w:rsidRDefault="00AF24D2" w:rsidP="00531FDF">
      <w:pPr>
        <w:framePr w:w="4536" w:h="1758" w:hRule="exact" w:wrap="around" w:vAnchor="page" w:hAnchor="page" w:x="6286" w:y="2266" w:anchorLock="1"/>
        <w:tabs>
          <w:tab w:val="right" w:pos="5160"/>
        </w:tabs>
        <w:rPr>
          <w:rFonts w:cs="Arial"/>
          <w:szCs w:val="22"/>
        </w:rPr>
      </w:pPr>
    </w:p>
    <w:bookmarkEnd w:id="0"/>
    <w:p w:rsidR="00113955" w:rsidRDefault="00531FDF" w:rsidP="00531FDF">
      <w:pPr>
        <w:framePr w:w="4536" w:h="1758" w:hRule="exact" w:wrap="around" w:vAnchor="page" w:hAnchor="page" w:x="6286" w:y="2266" w:anchorLock="1"/>
        <w:widowControl w:val="0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Unifast</w:t>
      </w:r>
      <w:proofErr w:type="spellEnd"/>
      <w:r>
        <w:rPr>
          <w:rFonts w:cs="Arial"/>
          <w:szCs w:val="22"/>
        </w:rPr>
        <w:t>, spol. s r.o.</w:t>
      </w:r>
    </w:p>
    <w:p w:rsidR="00531FDF" w:rsidRDefault="00531FDF" w:rsidP="00531FDF">
      <w:pPr>
        <w:framePr w:w="4536" w:h="1758" w:hRule="exact" w:wrap="around" w:vAnchor="page" w:hAnchor="page" w:x="6286" w:y="2266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AF24D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Váš dopis zn.:</w:t>
      </w:r>
      <w:r w:rsidRPr="00AF24D2">
        <w:rPr>
          <w:rFonts w:cs="Arial"/>
          <w:sz w:val="18"/>
          <w:szCs w:val="18"/>
        </w:rPr>
        <w:tab/>
      </w:r>
    </w:p>
    <w:p w:rsidR="00C17822" w:rsidRPr="00AF24D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Ze dne:</w:t>
      </w:r>
      <w:r w:rsidRPr="00AF24D2">
        <w:rPr>
          <w:rFonts w:cs="Arial"/>
          <w:sz w:val="18"/>
          <w:szCs w:val="18"/>
        </w:rPr>
        <w:tab/>
      </w:r>
    </w:p>
    <w:p w:rsidR="00C17822" w:rsidRPr="00AF24D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Naše zn.:</w:t>
      </w:r>
      <w:r w:rsidRPr="00AF24D2">
        <w:rPr>
          <w:rFonts w:cs="Arial"/>
          <w:sz w:val="18"/>
          <w:szCs w:val="18"/>
        </w:rPr>
        <w:tab/>
      </w:r>
      <w:bookmarkStart w:id="1" w:name="CisloJednaci"/>
      <w:r w:rsidR="00C23920" w:rsidRPr="00AF24D2">
        <w:rPr>
          <w:rFonts w:cs="Arial"/>
          <w:sz w:val="18"/>
          <w:szCs w:val="18"/>
        </w:rPr>
        <w:t>POH/50624/2022</w:t>
      </w:r>
      <w:bookmarkEnd w:id="1"/>
      <w:r w:rsidRPr="00AF24D2">
        <w:rPr>
          <w:rFonts w:cs="Arial"/>
          <w:sz w:val="18"/>
          <w:szCs w:val="18"/>
        </w:rPr>
        <w:t>/</w:t>
      </w:r>
      <w:bookmarkStart w:id="2" w:name="KodUtvaru"/>
      <w:r w:rsidR="00C23920" w:rsidRPr="00AF24D2">
        <w:rPr>
          <w:rFonts w:cs="Arial"/>
          <w:sz w:val="18"/>
          <w:szCs w:val="18"/>
        </w:rPr>
        <w:t>101000</w:t>
      </w:r>
      <w:bookmarkEnd w:id="2"/>
    </w:p>
    <w:p w:rsidR="00801ABA" w:rsidRPr="00AF24D2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AF24D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Vyřizuje:</w:t>
      </w:r>
      <w:r w:rsidRPr="00AF24D2">
        <w:rPr>
          <w:rFonts w:cs="Arial"/>
          <w:sz w:val="18"/>
          <w:szCs w:val="18"/>
        </w:rPr>
        <w:tab/>
      </w:r>
    </w:p>
    <w:p w:rsidR="00636BE4" w:rsidRPr="00AF24D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Tel.:</w:t>
      </w:r>
      <w:r w:rsidRPr="00AF24D2">
        <w:rPr>
          <w:rFonts w:cs="Arial"/>
          <w:sz w:val="18"/>
          <w:szCs w:val="18"/>
        </w:rPr>
        <w:tab/>
      </w:r>
    </w:p>
    <w:p w:rsidR="00636BE4" w:rsidRPr="00AF24D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Mobil:</w:t>
      </w:r>
      <w:r w:rsidRPr="00AF24D2">
        <w:rPr>
          <w:rFonts w:cs="Arial"/>
          <w:sz w:val="18"/>
          <w:szCs w:val="18"/>
        </w:rPr>
        <w:tab/>
      </w:r>
      <w:bookmarkStart w:id="3" w:name="PracVyrizeni_mobil"/>
      <w:r w:rsidR="00FA0310" w:rsidRPr="00AF24D2">
        <w:rPr>
          <w:rFonts w:cs="Arial"/>
          <w:sz w:val="18"/>
          <w:szCs w:val="18"/>
        </w:rPr>
        <w:t xml:space="preserve"> </w:t>
      </w:r>
      <w:bookmarkEnd w:id="3"/>
    </w:p>
    <w:p w:rsidR="00503666" w:rsidRPr="00AF24D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E-mail:</w:t>
      </w:r>
      <w:r w:rsidRPr="00AF24D2">
        <w:rPr>
          <w:rFonts w:cs="Arial"/>
          <w:sz w:val="18"/>
          <w:szCs w:val="18"/>
        </w:rPr>
        <w:tab/>
      </w:r>
    </w:p>
    <w:p w:rsidR="00726C16" w:rsidRPr="00AF24D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AF24D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Datum:</w:t>
      </w:r>
      <w:r w:rsidRPr="00AF24D2">
        <w:rPr>
          <w:rFonts w:cs="Arial"/>
          <w:sz w:val="18"/>
          <w:szCs w:val="18"/>
        </w:rPr>
        <w:tab/>
      </w:r>
      <w:r w:rsidR="00531FDF">
        <w:rPr>
          <w:rFonts w:cs="Arial"/>
          <w:sz w:val="18"/>
          <w:szCs w:val="18"/>
        </w:rPr>
        <w:t>07.10.2022</w:t>
      </w:r>
    </w:p>
    <w:p w:rsidR="00726C16" w:rsidRPr="00AF24D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AF24D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F24D2">
        <w:rPr>
          <w:rFonts w:cs="Arial"/>
          <w:sz w:val="18"/>
          <w:szCs w:val="18"/>
        </w:rPr>
        <w:t>Kontaktní</w:t>
      </w:r>
    </w:p>
    <w:p w:rsidR="003217A2" w:rsidRPr="00AF24D2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AF24D2">
        <w:rPr>
          <w:rFonts w:cs="Arial"/>
          <w:sz w:val="18"/>
          <w:szCs w:val="18"/>
        </w:rPr>
        <w:t>adresa:</w:t>
      </w:r>
      <w:r w:rsidRPr="00AF24D2">
        <w:rPr>
          <w:rFonts w:cs="Arial"/>
          <w:sz w:val="18"/>
          <w:szCs w:val="18"/>
        </w:rPr>
        <w:tab/>
      </w:r>
      <w:r w:rsidR="00FC2AB6" w:rsidRPr="00AF24D2">
        <w:rPr>
          <w:rFonts w:cs="Arial"/>
          <w:sz w:val="18"/>
          <w:szCs w:val="18"/>
        </w:rPr>
        <w:t xml:space="preserve">Povodí Ohře, státní podnik, </w:t>
      </w:r>
      <w:r w:rsidR="00113854" w:rsidRPr="00AF24D2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AF24D2" w:rsidRDefault="00AF24D2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AF24D2" w:rsidRPr="003502CC" w:rsidRDefault="00AF24D2" w:rsidP="00AF24D2">
      <w:pPr>
        <w:rPr>
          <w:b/>
          <w:szCs w:val="22"/>
        </w:rPr>
      </w:pPr>
      <w:r w:rsidRPr="003502CC">
        <w:rPr>
          <w:b/>
          <w:szCs w:val="22"/>
        </w:rPr>
        <w:t xml:space="preserve">Veřejná zakázka malého rozsahu-výzva k podání nabídky na zhotovení zakázky </w:t>
      </w:r>
    </w:p>
    <w:p w:rsidR="00AF24D2" w:rsidRDefault="00AF24D2" w:rsidP="00AF24D2"/>
    <w:p w:rsidR="00AF24D2" w:rsidRPr="00555E2E" w:rsidRDefault="00AF24D2" w:rsidP="00AF24D2"/>
    <w:p w:rsidR="00AF24D2" w:rsidRPr="003D6D22" w:rsidRDefault="00AF24D2" w:rsidP="00AF24D2">
      <w:pPr>
        <w:ind w:left="1276" w:hanging="1276"/>
        <w:jc w:val="both"/>
        <w:rPr>
          <w:rFonts w:cs="Arial"/>
          <w:b/>
          <w:sz w:val="24"/>
        </w:rPr>
      </w:pPr>
      <w:bookmarkStart w:id="4" w:name="_Hlk112933543"/>
      <w:bookmarkStart w:id="5" w:name="_Hlk101259839"/>
      <w:r w:rsidRPr="003D6D22">
        <w:rPr>
          <w:rFonts w:cs="Arial"/>
          <w:b/>
          <w:sz w:val="24"/>
        </w:rPr>
        <w:t>K. Vary, Horova 12 – utěsnění prostupů požárně dělícími konstrukcemi v objektu</w:t>
      </w:r>
    </w:p>
    <w:p w:rsidR="00AF24D2" w:rsidRPr="003D6D22" w:rsidRDefault="00AF24D2" w:rsidP="00AF24D2">
      <w:pPr>
        <w:widowControl w:val="0"/>
        <w:tabs>
          <w:tab w:val="left" w:pos="2835"/>
          <w:tab w:val="left" w:pos="3402"/>
        </w:tabs>
        <w:overflowPunct w:val="0"/>
        <w:autoSpaceDE w:val="0"/>
        <w:autoSpaceDN w:val="0"/>
        <w:adjustRightInd w:val="0"/>
        <w:ind w:left="1418" w:right="170" w:firstLine="709"/>
        <w:textAlignment w:val="baseline"/>
        <w:rPr>
          <w:rFonts w:cs="Arial"/>
          <w:b/>
          <w:color w:val="000000"/>
          <w:szCs w:val="22"/>
        </w:rPr>
      </w:pPr>
      <w:bookmarkStart w:id="6" w:name="_Hlk68774851"/>
      <w:bookmarkEnd w:id="4"/>
      <w:r w:rsidRPr="003D6D22">
        <w:rPr>
          <w:rFonts w:cs="Arial"/>
          <w:b/>
          <w:color w:val="000000"/>
          <w:szCs w:val="22"/>
        </w:rPr>
        <w:tab/>
        <w:t>(PL 180 22 054, akce 502867)</w:t>
      </w:r>
    </w:p>
    <w:p w:rsidR="00AF24D2" w:rsidRPr="003D6D22" w:rsidRDefault="00AF24D2" w:rsidP="00AF24D2">
      <w:pPr>
        <w:widowControl w:val="0"/>
        <w:overflowPunct w:val="0"/>
        <w:autoSpaceDE w:val="0"/>
        <w:autoSpaceDN w:val="0"/>
        <w:adjustRightInd w:val="0"/>
        <w:ind w:left="1418" w:right="170" w:firstLine="709"/>
        <w:textAlignment w:val="baseline"/>
        <w:rPr>
          <w:rFonts w:cs="Arial"/>
          <w:b/>
          <w:color w:val="000000"/>
          <w:szCs w:val="22"/>
        </w:rPr>
      </w:pPr>
    </w:p>
    <w:bookmarkEnd w:id="6"/>
    <w:p w:rsidR="00AF24D2" w:rsidRPr="00555E2E" w:rsidRDefault="00AF24D2" w:rsidP="00AF24D2"/>
    <w:bookmarkEnd w:id="5"/>
    <w:p w:rsidR="00AF24D2" w:rsidRPr="003502CC" w:rsidRDefault="00AF24D2" w:rsidP="00AF24D2">
      <w:pPr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Zadavatel zakázky: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Povodí Ohře, státní podnik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se sídlem Bezručova 4219, 430 03 Chomutov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IČO: 70889988, DIČ: CZ70889988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zapsaný v OR u KS v Ústí nad Labem, oddíl A, vložka 13052</w:t>
      </w:r>
    </w:p>
    <w:p w:rsidR="00AF24D2" w:rsidRPr="003502CC" w:rsidRDefault="00AF24D2" w:rsidP="00AF24D2">
      <w:pPr>
        <w:rPr>
          <w:bCs/>
          <w:sz w:val="20"/>
          <w:szCs w:val="20"/>
        </w:rPr>
      </w:pPr>
      <w:r w:rsidRPr="003502CC">
        <w:rPr>
          <w:bCs/>
          <w:sz w:val="20"/>
          <w:szCs w:val="20"/>
        </w:rPr>
        <w:t>závod Karlovy Vary, Horova 12, 360 01 Karlovy Vary</w:t>
      </w:r>
    </w:p>
    <w:p w:rsidR="00AF24D2" w:rsidRPr="003502CC" w:rsidRDefault="00AF24D2" w:rsidP="00AF24D2">
      <w:pPr>
        <w:rPr>
          <w:b/>
          <w:bCs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Součástí předmětu plnění veřejné zakázky je: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numPr>
          <w:ilvl w:val="0"/>
          <w:numId w:val="18"/>
        </w:num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</w:rPr>
        <w:t>činnost zhotovitele při realizaci díla do doby předání a převzetí díla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Stručný popis stavby:</w:t>
      </w:r>
    </w:p>
    <w:p w:rsidR="00AF24D2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D6D22" w:rsidRDefault="00AF24D2" w:rsidP="00AF24D2">
      <w:pPr>
        <w:jc w:val="both"/>
        <w:rPr>
          <w:rFonts w:eastAsia="Calibri" w:cs="Arial"/>
          <w:bCs/>
          <w:color w:val="000000"/>
          <w:sz w:val="20"/>
          <w:szCs w:val="20"/>
          <w:lang w:eastAsia="en-US"/>
        </w:rPr>
      </w:pPr>
      <w:r w:rsidRPr="003D6D22">
        <w:rPr>
          <w:rFonts w:eastAsia="Calibri" w:cs="Arial"/>
          <w:bCs/>
          <w:color w:val="000000"/>
          <w:sz w:val="20"/>
          <w:szCs w:val="20"/>
          <w:lang w:eastAsia="en-US"/>
        </w:rPr>
        <w:t xml:space="preserve">Požadujeme realizaci požárních ucpávek. Jedná se o požárně dělící konstrukce vyznačené v grafické části PBŘ (červené šrafování), viz příloha. Konstrukce, ve kterých se vyskytují tyto prostupy, musí být dotaženy až k vnějším povrchům prostupujících zařízení, a to ve stejné skladbě a se stejnou požární odolností jakou má požárně dělící konstrukce. </w:t>
      </w:r>
      <w:r w:rsidRPr="005F0C3F">
        <w:rPr>
          <w:rFonts w:eastAsia="Calibri" w:cs="Arial"/>
          <w:bCs/>
          <w:color w:val="000000"/>
          <w:sz w:val="20"/>
          <w:szCs w:val="20"/>
          <w:lang w:eastAsia="en-US"/>
        </w:rPr>
        <w:t xml:space="preserve">Požadujeme těsnění stávajících prostupů dotěsněním (např. dozděním, popř. dobetonováním) hmotami třídy reakce na oheň A1 nebo A2 v celé tloušťce konstrukce, a to pouze pokud se nejedná o prostupy konstrukcemi okolo chráněných únikových cest (popř. požárních a evakuačních výtahů) a zároveň pouze v případech specifikovaných </w:t>
      </w:r>
      <w:r w:rsidRPr="003D6D22">
        <w:rPr>
          <w:rFonts w:eastAsia="Calibri" w:cs="Arial"/>
          <w:bCs/>
          <w:color w:val="000000"/>
          <w:sz w:val="20"/>
          <w:szCs w:val="20"/>
          <w:lang w:eastAsia="en-US"/>
        </w:rPr>
        <w:t>a dále také pomocí systémových požárních ucpávek s požární odolností min. EI45, v 1.PP EI60.</w:t>
      </w:r>
    </w:p>
    <w:p w:rsidR="00AF24D2" w:rsidRPr="005B6DFC" w:rsidRDefault="00AF24D2" w:rsidP="00AF24D2">
      <w:pPr>
        <w:ind w:right="-1"/>
        <w:rPr>
          <w:sz w:val="20"/>
          <w:szCs w:val="20"/>
        </w:rPr>
      </w:pPr>
    </w:p>
    <w:p w:rsidR="00AF24D2" w:rsidRPr="005B6DFC" w:rsidRDefault="00AF24D2" w:rsidP="00AF24D2">
      <w:pPr>
        <w:ind w:right="-1"/>
        <w:rPr>
          <w:sz w:val="20"/>
          <w:szCs w:val="20"/>
        </w:rPr>
      </w:pPr>
      <w:r w:rsidRPr="005B6DFC">
        <w:rPr>
          <w:sz w:val="20"/>
          <w:szCs w:val="20"/>
        </w:rPr>
        <w:t xml:space="preserve">Záruční lhůta se požaduje </w:t>
      </w:r>
      <w:r>
        <w:rPr>
          <w:sz w:val="20"/>
          <w:szCs w:val="20"/>
        </w:rPr>
        <w:t>60</w:t>
      </w:r>
      <w:r w:rsidRPr="005B6DFC">
        <w:rPr>
          <w:sz w:val="20"/>
          <w:szCs w:val="20"/>
        </w:rPr>
        <w:t xml:space="preserve"> měsíců ode dne předání a převzetí díla.</w:t>
      </w: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Pr="00AF24D2" w:rsidRDefault="00AF24D2" w:rsidP="00AF24D2">
      <w:pPr>
        <w:ind w:right="-1"/>
        <w:rPr>
          <w:sz w:val="20"/>
          <w:szCs w:val="20"/>
        </w:rPr>
      </w:pPr>
    </w:p>
    <w:p w:rsidR="00AF24D2" w:rsidRPr="00AF24D2" w:rsidRDefault="00AF24D2" w:rsidP="00AF24D2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  <w:szCs w:val="20"/>
        </w:rPr>
      </w:pPr>
      <w:r w:rsidRPr="00AF24D2">
        <w:rPr>
          <w:sz w:val="20"/>
          <w:szCs w:val="20"/>
        </w:rPr>
        <w:lastRenderedPageBreak/>
        <w:t xml:space="preserve">Postup bude v souladu </w:t>
      </w:r>
      <w:r w:rsidRPr="00AF24D2">
        <w:rPr>
          <w:rFonts w:ascii="Helv" w:hAnsi="Helv" w:cs="Helv"/>
          <w:color w:val="000000"/>
          <w:sz w:val="20"/>
          <w:szCs w:val="20"/>
        </w:rPr>
        <w:t>s Vyhl.23/2008Sb. o technických podmínkách požární ochrany staveb (ve znění pozdějších předpisů), ČSN 730802 Nevýrobní objekty a ČSN 730810 Společná ustanovení (včetně všech platných změn).</w:t>
      </w:r>
    </w:p>
    <w:p w:rsidR="00AF24D2" w:rsidRPr="00AF24D2" w:rsidRDefault="00AF24D2" w:rsidP="00AF24D2">
      <w:pPr>
        <w:jc w:val="both"/>
        <w:rPr>
          <w:sz w:val="20"/>
          <w:szCs w:val="20"/>
        </w:rPr>
      </w:pPr>
    </w:p>
    <w:p w:rsidR="00AF24D2" w:rsidRPr="00AF24D2" w:rsidRDefault="00AF24D2" w:rsidP="00AF24D2">
      <w:pPr>
        <w:jc w:val="both"/>
        <w:rPr>
          <w:b/>
          <w:sz w:val="20"/>
          <w:szCs w:val="20"/>
          <w:u w:val="single"/>
        </w:rPr>
      </w:pPr>
      <w:r w:rsidRPr="00AF24D2">
        <w:rPr>
          <w:b/>
          <w:sz w:val="20"/>
          <w:szCs w:val="20"/>
          <w:u w:val="single"/>
        </w:rPr>
        <w:t>Požadavky na materiál a provádění prací:</w:t>
      </w:r>
    </w:p>
    <w:p w:rsidR="00AF24D2" w:rsidRPr="00AF24D2" w:rsidRDefault="00AF24D2" w:rsidP="00AF24D2">
      <w:pPr>
        <w:jc w:val="both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jc w:val="both"/>
        <w:rPr>
          <w:sz w:val="20"/>
          <w:szCs w:val="20"/>
        </w:rPr>
      </w:pPr>
      <w:r w:rsidRPr="00AF24D2">
        <w:rPr>
          <w:sz w:val="20"/>
          <w:szCs w:val="20"/>
        </w:rPr>
        <w:t>Na veškerý zabudovaný materiál a výrobky bude předáno prohlášení o shodě. Práce budou prováděny kvalifikovanými pracovníky. Požadujeme předložit certifikáty o vlastnostech výrobků s požární odolností min. El45, v 1.PP El60 před jejich zabudováním do stavby.</w:t>
      </w: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Doba plnění zakázky:</w:t>
      </w:r>
      <w:bookmarkStart w:id="7" w:name="_GoBack"/>
      <w:bookmarkEnd w:id="7"/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 xml:space="preserve">Zahájení díla: </w:t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>po nabytí účinnosti smlouvy na výzvu objednatele</w:t>
      </w: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Termín ukončení:</w:t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 w:rsidRPr="00E249C1">
        <w:rPr>
          <w:b/>
          <w:sz w:val="20"/>
          <w:szCs w:val="20"/>
        </w:rPr>
        <w:t>28.02.2023</w:t>
      </w: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ab/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 xml:space="preserve">Místo plnění zakázky: 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Default="00AF24D2" w:rsidP="00AF24D2">
      <w:pPr>
        <w:ind w:right="-1"/>
        <w:rPr>
          <w:sz w:val="20"/>
          <w:szCs w:val="20"/>
        </w:rPr>
      </w:pPr>
      <w:r>
        <w:rPr>
          <w:sz w:val="20"/>
          <w:szCs w:val="20"/>
        </w:rPr>
        <w:t>Povodí Ohře, státní podnik, Horova 12, Karlovy Vary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Lhůta a místo pro podání nabídek: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 xml:space="preserve">Účastníci zadávacího řízení podají své nabídky osobně nebo doporučeně poštou nejpozději </w:t>
      </w:r>
      <w:r w:rsidRPr="00E01330">
        <w:rPr>
          <w:b/>
          <w:sz w:val="20"/>
          <w:szCs w:val="20"/>
        </w:rPr>
        <w:t xml:space="preserve">dne </w:t>
      </w:r>
      <w:r w:rsidR="00692159">
        <w:rPr>
          <w:b/>
          <w:sz w:val="20"/>
          <w:szCs w:val="20"/>
        </w:rPr>
        <w:t>25</w:t>
      </w:r>
      <w:r w:rsidRPr="00E0133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10</w:t>
      </w:r>
      <w:r w:rsidRPr="00E01330">
        <w:rPr>
          <w:b/>
          <w:sz w:val="20"/>
          <w:szCs w:val="20"/>
        </w:rPr>
        <w:t>.2022</w:t>
      </w:r>
      <w:r w:rsidRPr="00E01330">
        <w:rPr>
          <w:sz w:val="20"/>
          <w:szCs w:val="20"/>
        </w:rPr>
        <w:t xml:space="preserve"> </w:t>
      </w:r>
      <w:r w:rsidRPr="00D83C95">
        <w:rPr>
          <w:b/>
          <w:sz w:val="20"/>
          <w:szCs w:val="20"/>
        </w:rPr>
        <w:t>do</w:t>
      </w:r>
      <w:r w:rsidRPr="003502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13</w:t>
      </w:r>
      <w:r w:rsidRPr="003502CC">
        <w:rPr>
          <w:b/>
          <w:sz w:val="20"/>
          <w:szCs w:val="20"/>
        </w:rPr>
        <w:t xml:space="preserve">,00 hodin </w:t>
      </w:r>
      <w:r w:rsidRPr="003502CC">
        <w:rPr>
          <w:sz w:val="20"/>
          <w:szCs w:val="20"/>
        </w:rPr>
        <w:t>na adresu zadavatele, tj. Povodí Ohře, státní podnik, Horova 12, 360 01 Karlovy Vary.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Otevírání nabídek: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Otevírání nabídek se uskuteční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692159">
        <w:rPr>
          <w:b/>
          <w:sz w:val="20"/>
          <w:szCs w:val="20"/>
        </w:rPr>
        <w:t>6</w:t>
      </w:r>
      <w:r w:rsidRPr="00E0133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10</w:t>
      </w:r>
      <w:r w:rsidRPr="00E01330">
        <w:rPr>
          <w:b/>
          <w:sz w:val="20"/>
          <w:szCs w:val="20"/>
        </w:rPr>
        <w:t xml:space="preserve">.2022 v </w:t>
      </w:r>
      <w:r w:rsidR="00692159">
        <w:rPr>
          <w:b/>
          <w:sz w:val="20"/>
          <w:szCs w:val="20"/>
        </w:rPr>
        <w:t>9</w:t>
      </w:r>
      <w:r w:rsidRPr="00E01330">
        <w:rPr>
          <w:b/>
          <w:sz w:val="20"/>
          <w:szCs w:val="20"/>
        </w:rPr>
        <w:t>,</w:t>
      </w:r>
      <w:r w:rsidR="00692159">
        <w:rPr>
          <w:b/>
          <w:sz w:val="20"/>
          <w:szCs w:val="20"/>
        </w:rPr>
        <w:t>0</w:t>
      </w:r>
      <w:r w:rsidRPr="00E01330">
        <w:rPr>
          <w:b/>
          <w:sz w:val="20"/>
          <w:szCs w:val="20"/>
        </w:rPr>
        <w:t>0</w:t>
      </w:r>
      <w:r w:rsidRPr="003502CC">
        <w:rPr>
          <w:b/>
          <w:sz w:val="20"/>
          <w:szCs w:val="20"/>
        </w:rPr>
        <w:t xml:space="preserve"> hodin</w:t>
      </w:r>
      <w:r w:rsidRPr="003502CC">
        <w:rPr>
          <w:sz w:val="20"/>
          <w:szCs w:val="20"/>
        </w:rPr>
        <w:t xml:space="preserve"> v místnosti č. </w:t>
      </w:r>
      <w:proofErr w:type="spellStart"/>
      <w:r w:rsidRPr="003502CC">
        <w:rPr>
          <w:sz w:val="20"/>
          <w:szCs w:val="20"/>
        </w:rPr>
        <w:t>dv</w:t>
      </w:r>
      <w:proofErr w:type="spellEnd"/>
      <w:r w:rsidRPr="003502CC">
        <w:rPr>
          <w:sz w:val="20"/>
          <w:szCs w:val="20"/>
        </w:rPr>
        <w:t>. 415, 4. patro, Horova 12, 360</w:t>
      </w:r>
      <w:r>
        <w:rPr>
          <w:sz w:val="20"/>
          <w:szCs w:val="20"/>
        </w:rPr>
        <w:t> </w:t>
      </w:r>
      <w:r w:rsidRPr="003502CC">
        <w:rPr>
          <w:sz w:val="20"/>
          <w:szCs w:val="20"/>
        </w:rPr>
        <w:t>01</w:t>
      </w:r>
      <w:r>
        <w:rPr>
          <w:sz w:val="20"/>
          <w:szCs w:val="20"/>
        </w:rPr>
        <w:t> </w:t>
      </w:r>
      <w:r w:rsidRPr="003502CC">
        <w:rPr>
          <w:sz w:val="20"/>
          <w:szCs w:val="20"/>
        </w:rPr>
        <w:t>Karlovy Vary, účast uchazeče se připouští.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Hodnocení nabídek: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rPr>
          <w:sz w:val="20"/>
          <w:szCs w:val="20"/>
        </w:rPr>
      </w:pPr>
      <w:r w:rsidRPr="003502CC">
        <w:rPr>
          <w:sz w:val="20"/>
          <w:szCs w:val="20"/>
        </w:rPr>
        <w:t>Nabídky budou hodnoceny podle jejich ekonomické výhodnosti.</w:t>
      </w: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rPr>
          <w:sz w:val="20"/>
          <w:szCs w:val="20"/>
        </w:rPr>
      </w:pPr>
      <w:r w:rsidRPr="003502CC">
        <w:rPr>
          <w:sz w:val="20"/>
          <w:szCs w:val="20"/>
        </w:rPr>
        <w:t>Kritérium pro hodnocení nabídek: Nejnižší nabídková cena v Kč bez DPH.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sz w:val="20"/>
          <w:szCs w:val="20"/>
        </w:rPr>
      </w:pPr>
      <w:r w:rsidRPr="003502CC">
        <w:rPr>
          <w:sz w:val="20"/>
          <w:szCs w:val="20"/>
        </w:rPr>
        <w:t>Metoda hodnocení: pořadí stanoveno dle nejnižší nabídkové ceny v Kč bez DPH.</w:t>
      </w:r>
    </w:p>
    <w:p w:rsidR="00AF24D2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Požadavky na způsob zpracování nabídkové ceny a obchodní podmínky: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Celková smluvní cena bez DPH</w:t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</w:r>
      <w:r w:rsidRPr="003502CC">
        <w:rPr>
          <w:b/>
          <w:sz w:val="20"/>
          <w:szCs w:val="20"/>
        </w:rPr>
        <w:tab/>
        <w:t>…………………</w:t>
      </w:r>
      <w:proofErr w:type="gramStart"/>
      <w:r w:rsidRPr="003502CC">
        <w:rPr>
          <w:b/>
          <w:sz w:val="20"/>
          <w:szCs w:val="20"/>
        </w:rPr>
        <w:t>…….</w:t>
      </w:r>
      <w:proofErr w:type="gramEnd"/>
      <w:r w:rsidRPr="003502CC">
        <w:rPr>
          <w:b/>
          <w:sz w:val="20"/>
          <w:szCs w:val="20"/>
        </w:rPr>
        <w:t>,- Kč</w:t>
      </w: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sz w:val="20"/>
          <w:szCs w:val="20"/>
        </w:rPr>
        <w:t xml:space="preserve">Nabídková cena bude zpracována jako cena nejvýše přípustná. </w:t>
      </w:r>
      <w:r w:rsidRPr="003502CC">
        <w:rPr>
          <w:b/>
          <w:sz w:val="20"/>
          <w:szCs w:val="20"/>
        </w:rPr>
        <w:t>Zadavatel požaduje, aby účastník zadávacího řízení ve své nabídce doložil oceněný soupis prací (viz příloha výzvy).</w:t>
      </w:r>
    </w:p>
    <w:p w:rsidR="00AF24D2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43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Podmínky pro jednotný způsob zpracování nabídkové ceny: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Zadavatel v rámci předmětu veřejné zakázky vymezil soupis prací jako podklad pro stanovení nabídkové ceny. Zadavatel tudíž požaduje, aby účastník zadávacího řízení ocenil všechny požadované práce uvedené v jednotném soupisu položek prací z důvodu zabezpečení obsahově shodných nabídek.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Nedoložení oceněného soupisu prací tímto požadovaným způsobem zakládá právo zadavateli na</w:t>
      </w:r>
      <w:r>
        <w:rPr>
          <w:b/>
          <w:sz w:val="20"/>
          <w:szCs w:val="20"/>
        </w:rPr>
        <w:t> </w:t>
      </w:r>
      <w:r w:rsidRPr="003502CC">
        <w:rPr>
          <w:b/>
          <w:sz w:val="20"/>
          <w:szCs w:val="20"/>
        </w:rPr>
        <w:t>vyloučení účastníka zadávacího řízení ze zadávacího řízení.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Cenová nabídka bude obsahovat veškeré náklady na splnění veřejné zakázky.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Výše ceny díla může být změněna pouze a jen na podkladě skutečnosti, které se vyskytly v průběhu provádění prací na stavbě, přičemž jejich zajištění je podmínkou pro řádné dokončení díla. Odůvodněné změny budou po projednání oprávněnosti na kontrolním dnu stavby předloženy zhotovitelem formou návrhu dodatku ke</w:t>
      </w:r>
      <w:r>
        <w:rPr>
          <w:sz w:val="20"/>
          <w:szCs w:val="20"/>
        </w:rPr>
        <w:t> </w:t>
      </w:r>
      <w:r w:rsidRPr="003502CC">
        <w:rPr>
          <w:sz w:val="20"/>
          <w:szCs w:val="20"/>
        </w:rPr>
        <w:t>smlouvě o dílo.</w:t>
      </w: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 xml:space="preserve">Obchodní a platební podmínky: 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Obchodní podmínky uvedené ve vzoru návrhu smlouvy o dílo jsou pro účastníky zadávacího řízení závazné.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jc w:val="both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Zhotovitel ve své nabídce doloží:</w:t>
      </w:r>
    </w:p>
    <w:p w:rsidR="00AF24D2" w:rsidRPr="003502CC" w:rsidRDefault="00AF24D2" w:rsidP="00AF24D2">
      <w:pPr>
        <w:jc w:val="both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numPr>
          <w:ilvl w:val="0"/>
          <w:numId w:val="19"/>
        </w:numPr>
        <w:ind w:hanging="436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>Návrh smlouvy o dílo</w:t>
      </w:r>
      <w:r w:rsidRPr="003502CC">
        <w:rPr>
          <w:sz w:val="20"/>
          <w:szCs w:val="20"/>
        </w:rPr>
        <w:t>-podepsaný oprávněným zástupcem účastníka zadávacího řízení. Cena díla v návrhu smlouvy o dílo bude shodná s cenovou nabídkou a bude zaokrouhlena na 2 desetinná místa, a ne na celá čísla. V návrhu smlouvy o dílo nutno uvést osobu odpovědnou za vedení stavby´.</w:t>
      </w:r>
    </w:p>
    <w:p w:rsidR="00AF24D2" w:rsidRPr="003502CC" w:rsidRDefault="00AF24D2" w:rsidP="00AF24D2">
      <w:pPr>
        <w:ind w:hanging="436"/>
        <w:jc w:val="both"/>
        <w:rPr>
          <w:sz w:val="20"/>
          <w:szCs w:val="20"/>
        </w:rPr>
      </w:pPr>
    </w:p>
    <w:p w:rsidR="00AF24D2" w:rsidRPr="003502CC" w:rsidRDefault="00AF24D2" w:rsidP="00AF24D2">
      <w:pPr>
        <w:numPr>
          <w:ilvl w:val="0"/>
          <w:numId w:val="19"/>
        </w:numPr>
        <w:ind w:hanging="436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>Krycí list</w:t>
      </w:r>
      <w:r w:rsidRPr="003502CC">
        <w:rPr>
          <w:sz w:val="20"/>
          <w:szCs w:val="20"/>
        </w:rPr>
        <w:t>-podepsaný oprávněným zástupcem účastníka zadávacího řízení.</w:t>
      </w:r>
    </w:p>
    <w:p w:rsidR="00AF24D2" w:rsidRPr="003502CC" w:rsidRDefault="00AF24D2" w:rsidP="00AF24D2">
      <w:pPr>
        <w:ind w:hanging="436"/>
        <w:jc w:val="both"/>
        <w:rPr>
          <w:sz w:val="20"/>
          <w:szCs w:val="20"/>
        </w:rPr>
      </w:pPr>
    </w:p>
    <w:p w:rsidR="00AF24D2" w:rsidRPr="003502CC" w:rsidRDefault="00AF24D2" w:rsidP="00AF24D2">
      <w:pPr>
        <w:numPr>
          <w:ilvl w:val="0"/>
          <w:numId w:val="19"/>
        </w:numPr>
        <w:ind w:hanging="436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>Oceněný soupis prací</w:t>
      </w:r>
      <w:r w:rsidRPr="003502CC">
        <w:rPr>
          <w:sz w:val="20"/>
          <w:szCs w:val="20"/>
        </w:rPr>
        <w:t xml:space="preserve"> – podepsaný oprávněným zástupcem účastníka zadávacího řízení.</w:t>
      </w:r>
    </w:p>
    <w:p w:rsidR="00AF24D2" w:rsidRPr="003502CC" w:rsidRDefault="00AF24D2" w:rsidP="00AF24D2">
      <w:pPr>
        <w:ind w:hanging="436"/>
        <w:jc w:val="both"/>
        <w:rPr>
          <w:sz w:val="20"/>
          <w:szCs w:val="20"/>
        </w:rPr>
      </w:pPr>
    </w:p>
    <w:p w:rsidR="00AF24D2" w:rsidRDefault="00AF24D2" w:rsidP="00AF24D2">
      <w:pPr>
        <w:numPr>
          <w:ilvl w:val="0"/>
          <w:numId w:val="19"/>
        </w:numPr>
        <w:ind w:hanging="436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>Prokázání kvalifikace</w:t>
      </w:r>
      <w:r w:rsidRPr="003502CC">
        <w:rPr>
          <w:sz w:val="20"/>
          <w:szCs w:val="20"/>
        </w:rPr>
        <w:t xml:space="preserve"> – Výpis z obchodního rejstříku, je-li v něm zhotovitel zapsán</w:t>
      </w:r>
    </w:p>
    <w:p w:rsidR="00AF24D2" w:rsidRPr="003502CC" w:rsidRDefault="00AF24D2" w:rsidP="00AF24D2">
      <w:pPr>
        <w:ind w:hanging="436"/>
        <w:jc w:val="both"/>
        <w:rPr>
          <w:sz w:val="20"/>
          <w:szCs w:val="20"/>
        </w:rPr>
      </w:pPr>
    </w:p>
    <w:p w:rsidR="00AF24D2" w:rsidRDefault="00AF24D2" w:rsidP="00AF24D2">
      <w:pPr>
        <w:numPr>
          <w:ilvl w:val="0"/>
          <w:numId w:val="19"/>
        </w:numPr>
        <w:ind w:hanging="436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>Oprávnění k podnikání</w:t>
      </w:r>
      <w:r w:rsidRPr="003502CC">
        <w:rPr>
          <w:sz w:val="20"/>
          <w:szCs w:val="20"/>
        </w:rPr>
        <w:t xml:space="preserve"> (výpis ze živnostenského rejstříku, živnostenský list, koncesní listina apod.)</w:t>
      </w:r>
    </w:p>
    <w:p w:rsidR="00AF24D2" w:rsidRDefault="00AF24D2" w:rsidP="00AF24D2">
      <w:pPr>
        <w:ind w:hanging="436"/>
        <w:jc w:val="both"/>
        <w:rPr>
          <w:sz w:val="20"/>
          <w:szCs w:val="20"/>
        </w:rPr>
      </w:pPr>
    </w:p>
    <w:p w:rsidR="00AF24D2" w:rsidRPr="006E0504" w:rsidRDefault="00AF24D2" w:rsidP="00AF24D2">
      <w:pPr>
        <w:numPr>
          <w:ilvl w:val="0"/>
          <w:numId w:val="19"/>
        </w:numPr>
        <w:ind w:hanging="436"/>
        <w:jc w:val="both"/>
        <w:rPr>
          <w:b/>
          <w:sz w:val="20"/>
          <w:szCs w:val="20"/>
        </w:rPr>
      </w:pPr>
      <w:r w:rsidRPr="006E0504">
        <w:rPr>
          <w:b/>
          <w:sz w:val="20"/>
          <w:szCs w:val="20"/>
        </w:rPr>
        <w:t>Čestné prohlášení k finančním sankcím</w:t>
      </w:r>
    </w:p>
    <w:p w:rsidR="00AF24D2" w:rsidRPr="003502CC" w:rsidRDefault="00AF24D2" w:rsidP="00AF24D2">
      <w:pPr>
        <w:jc w:val="both"/>
        <w:rPr>
          <w:sz w:val="20"/>
          <w:szCs w:val="20"/>
        </w:rPr>
      </w:pPr>
    </w:p>
    <w:p w:rsidR="00AF24D2" w:rsidRPr="003502CC" w:rsidRDefault="00AF24D2" w:rsidP="00AF24D2">
      <w:pPr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 xml:space="preserve">Všechny doklady prokazující splnění kvalifikačních předpokladů mohou být předloženy v prosté kopii. </w:t>
      </w:r>
      <w:r w:rsidRPr="003502CC">
        <w:rPr>
          <w:sz w:val="20"/>
          <w:szCs w:val="20"/>
        </w:rPr>
        <w:t>Účastníci zadávacího řízení mohou k prokazování kvalifikace použít platný výpis ze seznamu kvalifikovaných zhotovitelů v rozsahu uvedeném na výpisu nebo předložit platný certifikát vydaný v rámci systému certifikovaných zhotovitelů v rozsahu uvedeném na certifikátu. Využije-li účastník zadávacího řízení možnosti doložit kvalifikaci tímto způsobem, budou doklady doloženy jako povinná příloha nabídky ve stejnopisu nebo ověřené kopii.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AF24D2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Prohlídka místa plnění veřejné zakázky: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  <w:u w:val="single"/>
        </w:rPr>
      </w:pPr>
    </w:p>
    <w:p w:rsidR="00AF24D2" w:rsidRPr="008815DB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sz w:val="20"/>
          <w:szCs w:val="20"/>
        </w:rPr>
        <w:t>Podání informací po předchozí tel</w:t>
      </w:r>
      <w:r w:rsidRPr="00555E28">
        <w:rPr>
          <w:sz w:val="20"/>
          <w:szCs w:val="20"/>
        </w:rPr>
        <w:t xml:space="preserve">.: </w:t>
      </w:r>
      <w:r w:rsidRPr="008815DB">
        <w:rPr>
          <w:b/>
          <w:sz w:val="20"/>
          <w:szCs w:val="20"/>
        </w:rPr>
        <w:t>domluvě</w:t>
      </w:r>
      <w:r>
        <w:rPr>
          <w:b/>
          <w:sz w:val="20"/>
          <w:szCs w:val="20"/>
        </w:rPr>
        <w:t xml:space="preserve"> v týdnu od </w:t>
      </w:r>
      <w:r w:rsidR="00692159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.10.-</w:t>
      </w:r>
      <w:r w:rsidR="00692159">
        <w:rPr>
          <w:b/>
          <w:sz w:val="20"/>
          <w:szCs w:val="20"/>
        </w:rPr>
        <w:t>14</w:t>
      </w:r>
      <w:r>
        <w:rPr>
          <w:b/>
          <w:sz w:val="20"/>
          <w:szCs w:val="20"/>
        </w:rPr>
        <w:t>.1</w:t>
      </w:r>
      <w:r w:rsidR="00692159">
        <w:rPr>
          <w:b/>
          <w:sz w:val="20"/>
          <w:szCs w:val="20"/>
        </w:rPr>
        <w:t>0.</w:t>
      </w:r>
      <w:r w:rsidRPr="008815DB">
        <w:rPr>
          <w:b/>
          <w:sz w:val="20"/>
          <w:szCs w:val="20"/>
        </w:rPr>
        <w:t xml:space="preserve"> </w:t>
      </w:r>
    </w:p>
    <w:p w:rsidR="00AF24D2" w:rsidRPr="00AF24D2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 xml:space="preserve">Kontaktní osoba: 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Požadavky a podmínky pro zpracování nabídky:</w:t>
      </w:r>
    </w:p>
    <w:p w:rsidR="00AF24D2" w:rsidRPr="003502CC" w:rsidRDefault="00AF24D2" w:rsidP="00AF24D2">
      <w:pPr>
        <w:ind w:right="-1"/>
        <w:rPr>
          <w:b/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Počet vyhotovení nabídky: 1 x originál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Nabídka bude zabezpečená proti manipulaci s jednotlivými listy. Nabídka nesmí obsahovat žádné vsuvky mezi řádky, výmazy nebo přepisy, kromě potřebných oprav chyb provedených účastníkem zadávacího řízení. Tyto</w:t>
      </w:r>
      <w:r>
        <w:rPr>
          <w:sz w:val="20"/>
          <w:szCs w:val="20"/>
        </w:rPr>
        <w:t> </w:t>
      </w:r>
      <w:r w:rsidRPr="003502CC">
        <w:rPr>
          <w:sz w:val="20"/>
          <w:szCs w:val="20"/>
        </w:rPr>
        <w:t>opravy budou parafovány osobou, která je oprávněná nabídku podepsat a budou opatřeny datem provedení.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Jazyk nabídky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Nabídka bude předložena pouze v českém jazyce.</w:t>
      </w: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692159" w:rsidRPr="003502CC" w:rsidRDefault="00692159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Označení nabídky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lastRenderedPageBreak/>
        <w:t>Obálka s nabídkou musí být řádně uzavřena a označena textem: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D6D22" w:rsidRDefault="00AF24D2" w:rsidP="00AF24D2">
      <w:pPr>
        <w:ind w:left="1276" w:hanging="567"/>
        <w:jc w:val="both"/>
        <w:rPr>
          <w:rFonts w:cs="Arial"/>
          <w:b/>
          <w:szCs w:val="22"/>
        </w:rPr>
      </w:pPr>
      <w:r w:rsidRPr="003D6D22">
        <w:rPr>
          <w:rFonts w:cs="Arial"/>
          <w:b/>
          <w:szCs w:val="22"/>
        </w:rPr>
        <w:t>K. Vary, Horova 12 – utěsnění prostupů požárně dělícími konstrukcemi v objektu</w:t>
      </w:r>
    </w:p>
    <w:p w:rsidR="00AF24D2" w:rsidRPr="005456E1" w:rsidRDefault="00AF24D2" w:rsidP="00AF24D2">
      <w:pPr>
        <w:spacing w:line="240" w:lineRule="atLeast"/>
        <w:jc w:val="both"/>
        <w:rPr>
          <w:b/>
          <w:szCs w:val="22"/>
        </w:rPr>
      </w:pPr>
    </w:p>
    <w:p w:rsidR="00AF24D2" w:rsidRPr="005456E1" w:rsidRDefault="00AF24D2" w:rsidP="00AF24D2">
      <w:pPr>
        <w:spacing w:line="240" w:lineRule="atLeast"/>
        <w:ind w:left="2836" w:firstLine="709"/>
        <w:jc w:val="both"/>
        <w:rPr>
          <w:szCs w:val="22"/>
        </w:rPr>
      </w:pPr>
      <w:r w:rsidRPr="005456E1">
        <w:rPr>
          <w:b/>
          <w:szCs w:val="22"/>
        </w:rPr>
        <w:t>- veřejná zakázka –</w:t>
      </w:r>
    </w:p>
    <w:p w:rsidR="00AF24D2" w:rsidRPr="005456E1" w:rsidRDefault="00AF24D2" w:rsidP="00AF24D2">
      <w:pPr>
        <w:spacing w:line="240" w:lineRule="atLeast"/>
        <w:jc w:val="both"/>
        <w:rPr>
          <w:szCs w:val="22"/>
        </w:rPr>
      </w:pPr>
    </w:p>
    <w:p w:rsidR="00AF24D2" w:rsidRDefault="00AF24D2" w:rsidP="00AF24D2">
      <w:pPr>
        <w:spacing w:line="240" w:lineRule="atLeast"/>
        <w:ind w:left="2127" w:firstLine="709"/>
        <w:jc w:val="both"/>
        <w:rPr>
          <w:b/>
          <w:szCs w:val="22"/>
        </w:rPr>
      </w:pPr>
      <w:proofErr w:type="gramStart"/>
      <w:r w:rsidRPr="005456E1">
        <w:rPr>
          <w:b/>
          <w:szCs w:val="22"/>
        </w:rPr>
        <w:t>,,</w:t>
      </w:r>
      <w:proofErr w:type="gramEnd"/>
      <w:r w:rsidRPr="005456E1">
        <w:rPr>
          <w:b/>
          <w:szCs w:val="22"/>
        </w:rPr>
        <w:t>Neotevírat do úředního otevření“</w:t>
      </w:r>
    </w:p>
    <w:p w:rsidR="00AF24D2" w:rsidRPr="005456E1" w:rsidRDefault="00AF24D2" w:rsidP="00AF24D2">
      <w:pPr>
        <w:spacing w:line="240" w:lineRule="atLeast"/>
        <w:ind w:left="2127" w:firstLine="709"/>
        <w:jc w:val="both"/>
        <w:rPr>
          <w:szCs w:val="22"/>
        </w:rPr>
      </w:pP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Na obálce musí být dále uvedena adresa účastníka zadávacího řízení.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Podpis nabídky: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b/>
          <w:sz w:val="20"/>
          <w:szCs w:val="20"/>
        </w:rPr>
        <w:t xml:space="preserve">Nabídka účastníka zadávacího řízení, návrh smlouvy o dílo, krycí list a oceněný soupis prací musí být podepsaný osobou oprávněnou jednat jménem či za účastníka zadávacího řízení. </w:t>
      </w:r>
      <w:r w:rsidRPr="003502CC">
        <w:rPr>
          <w:sz w:val="20"/>
          <w:szCs w:val="20"/>
        </w:rPr>
        <w:t>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Adresa a sídlo zadavatele: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Povodí Ohře, státní podnik, Horova 12, 360 01 Karlovy Vary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 xml:space="preserve">Styčným pracovníkem zadavatele: 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  <w:u w:val="single"/>
        </w:rPr>
      </w:pPr>
      <w:r w:rsidRPr="003502CC">
        <w:rPr>
          <w:b/>
          <w:sz w:val="20"/>
          <w:szCs w:val="20"/>
          <w:u w:val="single"/>
        </w:rPr>
        <w:t>Ostatní ustanovení: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  <w:u w:val="single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Nejedná se o zadávací řízení dle zákona č. 134/2016 Sb.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AF24D2" w:rsidRDefault="00AF24D2" w:rsidP="00AF24D2">
      <w:pPr>
        <w:ind w:right="-1"/>
        <w:jc w:val="both"/>
        <w:rPr>
          <w:b/>
          <w:sz w:val="20"/>
          <w:szCs w:val="20"/>
        </w:rPr>
      </w:pPr>
      <w:r w:rsidRPr="00AF24D2">
        <w:rPr>
          <w:sz w:val="20"/>
          <w:szCs w:val="20"/>
        </w:rPr>
        <w:t xml:space="preserve">Zadavatel si vyhrazuje právo na doplnění zadávací dokumentace, </w:t>
      </w:r>
      <w:r w:rsidRPr="00AF24D2">
        <w:rPr>
          <w:b/>
          <w:sz w:val="20"/>
          <w:szCs w:val="20"/>
        </w:rPr>
        <w:t>nejpozději do 1</w:t>
      </w:r>
      <w:r w:rsidR="00692159">
        <w:rPr>
          <w:b/>
          <w:sz w:val="20"/>
          <w:szCs w:val="20"/>
        </w:rPr>
        <w:t>9</w:t>
      </w:r>
      <w:r w:rsidRPr="00AF24D2">
        <w:rPr>
          <w:b/>
          <w:sz w:val="20"/>
          <w:szCs w:val="20"/>
        </w:rPr>
        <w:t>.1</w:t>
      </w:r>
      <w:r w:rsidR="00692159">
        <w:rPr>
          <w:b/>
          <w:sz w:val="20"/>
          <w:szCs w:val="20"/>
        </w:rPr>
        <w:t>0</w:t>
      </w:r>
      <w:r w:rsidRPr="00AF24D2">
        <w:rPr>
          <w:b/>
          <w:sz w:val="20"/>
          <w:szCs w:val="20"/>
        </w:rPr>
        <w:t>.2022.</w:t>
      </w:r>
    </w:p>
    <w:p w:rsidR="00AF24D2" w:rsidRP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AF24D2" w:rsidRDefault="00AF24D2" w:rsidP="00AF24D2">
      <w:pPr>
        <w:ind w:right="-1"/>
        <w:jc w:val="both"/>
        <w:rPr>
          <w:sz w:val="20"/>
          <w:szCs w:val="20"/>
        </w:rPr>
      </w:pPr>
      <w:r w:rsidRPr="00AF24D2">
        <w:rPr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do </w:t>
      </w:r>
      <w:r w:rsidRPr="00AF24D2">
        <w:rPr>
          <w:b/>
          <w:sz w:val="20"/>
          <w:szCs w:val="20"/>
        </w:rPr>
        <w:t>1</w:t>
      </w:r>
      <w:r w:rsidR="00692159">
        <w:rPr>
          <w:b/>
          <w:sz w:val="20"/>
          <w:szCs w:val="20"/>
        </w:rPr>
        <w:t>8</w:t>
      </w:r>
      <w:r w:rsidRPr="00AF24D2">
        <w:rPr>
          <w:b/>
          <w:sz w:val="20"/>
          <w:szCs w:val="20"/>
        </w:rPr>
        <w:t>.1</w:t>
      </w:r>
      <w:r w:rsidR="00692159">
        <w:rPr>
          <w:b/>
          <w:sz w:val="20"/>
          <w:szCs w:val="20"/>
        </w:rPr>
        <w:t>0</w:t>
      </w:r>
      <w:r w:rsidRPr="00AF24D2">
        <w:rPr>
          <w:b/>
          <w:sz w:val="20"/>
          <w:szCs w:val="20"/>
        </w:rPr>
        <w:t>.2022 do 14:00 hodin.</w:t>
      </w:r>
    </w:p>
    <w:p w:rsidR="00AF24D2" w:rsidRP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AF24D2" w:rsidRDefault="00AF24D2" w:rsidP="00AF24D2">
      <w:pPr>
        <w:ind w:right="-1"/>
        <w:jc w:val="both"/>
        <w:rPr>
          <w:b/>
          <w:sz w:val="20"/>
          <w:szCs w:val="20"/>
        </w:rPr>
      </w:pPr>
      <w:r w:rsidRPr="00AF24D2">
        <w:rPr>
          <w:sz w:val="20"/>
          <w:szCs w:val="20"/>
        </w:rPr>
        <w:t>V případě akceptace připomínek zadavatelem budou všichni účastníci zadávacího řízení vyrozuměni formou doplnění podkladů, resp. zadávací dokumentace, nejpozději do</w:t>
      </w:r>
      <w:r>
        <w:rPr>
          <w:sz w:val="20"/>
          <w:szCs w:val="20"/>
        </w:rPr>
        <w:t>1</w:t>
      </w:r>
      <w:r w:rsidR="00692159">
        <w:rPr>
          <w:sz w:val="20"/>
          <w:szCs w:val="20"/>
        </w:rPr>
        <w:t>9</w:t>
      </w:r>
      <w:r>
        <w:rPr>
          <w:sz w:val="20"/>
          <w:szCs w:val="20"/>
        </w:rPr>
        <w:t>.1</w:t>
      </w:r>
      <w:r w:rsidR="00692159">
        <w:rPr>
          <w:sz w:val="20"/>
          <w:szCs w:val="20"/>
        </w:rPr>
        <w:t>0</w:t>
      </w:r>
      <w:r w:rsidRPr="00AF24D2">
        <w:rPr>
          <w:sz w:val="20"/>
          <w:szCs w:val="20"/>
        </w:rPr>
        <w:t>.2022.</w:t>
      </w:r>
    </w:p>
    <w:p w:rsidR="00AF24D2" w:rsidRPr="003502CC" w:rsidRDefault="00AF24D2" w:rsidP="00AF24D2">
      <w:pPr>
        <w:ind w:right="-1"/>
        <w:jc w:val="both"/>
        <w:rPr>
          <w:b/>
          <w:sz w:val="20"/>
          <w:szCs w:val="20"/>
        </w:rPr>
      </w:pPr>
      <w:r w:rsidRPr="00AF24D2">
        <w:rPr>
          <w:sz w:val="20"/>
          <w:szCs w:val="20"/>
        </w:rPr>
        <w:t xml:space="preserve">V případě neakceptace připomínek zadavatelem bude o tomto vyrozuměn pouze připomínkující účastník zadávacího řízení nejpozději </w:t>
      </w:r>
      <w:r>
        <w:rPr>
          <w:sz w:val="20"/>
          <w:szCs w:val="20"/>
        </w:rPr>
        <w:t>1</w:t>
      </w:r>
      <w:r w:rsidR="00692159">
        <w:rPr>
          <w:sz w:val="20"/>
          <w:szCs w:val="20"/>
        </w:rPr>
        <w:t>9</w:t>
      </w:r>
      <w:r>
        <w:rPr>
          <w:sz w:val="20"/>
          <w:szCs w:val="20"/>
        </w:rPr>
        <w:t>.1</w:t>
      </w:r>
      <w:r w:rsidR="00692159">
        <w:rPr>
          <w:sz w:val="20"/>
          <w:szCs w:val="20"/>
        </w:rPr>
        <w:t>0</w:t>
      </w:r>
      <w:r w:rsidRPr="00AF24D2">
        <w:rPr>
          <w:sz w:val="20"/>
          <w:szCs w:val="20"/>
        </w:rPr>
        <w:t>.2022.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Náklady na zpracování nabídky nese v plném rozsahu účastník zadávacího řízení.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Účastník zadávacího řízení o zakázku, který předloží nabídku objednateli, a bude objednatelem vybrán jako zhotovitel zakázky, je zavázán uzavřít s objednatelem smlouvu podle předložené nabídky.</w:t>
      </w: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 to v pořadí, které vyplývá z výsledku původního hodnocení nabídek, nebo výsledku nového hodnocení. Účastník zadávacího řízení vyzvaný k uzavření smlouvy se považuje za vybraného zhotovitele.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AF24D2" w:rsidRDefault="00AF24D2" w:rsidP="00AF24D2">
      <w:pPr>
        <w:ind w:right="-1"/>
        <w:jc w:val="both"/>
        <w:rPr>
          <w:sz w:val="20"/>
          <w:szCs w:val="20"/>
        </w:rPr>
      </w:pPr>
      <w:r w:rsidRPr="00AF24D2">
        <w:rPr>
          <w:sz w:val="20"/>
          <w:szCs w:val="20"/>
        </w:rPr>
        <w:t xml:space="preserve">Zhotovitel, který v rámci veřejné zakázky projeví zájem o výběrové řízení vypsané státním podnikem Povodí Ohře, prohlašuje, že se seznámil se zásadami, hodnotami a cíli </w:t>
      </w:r>
      <w:proofErr w:type="spellStart"/>
      <w:r w:rsidRPr="00AF24D2">
        <w:rPr>
          <w:sz w:val="20"/>
          <w:szCs w:val="20"/>
        </w:rPr>
        <w:t>Compliance</w:t>
      </w:r>
      <w:proofErr w:type="spellEnd"/>
      <w:r w:rsidRPr="00AF24D2">
        <w:rPr>
          <w:sz w:val="20"/>
          <w:szCs w:val="20"/>
        </w:rPr>
        <w:t xml:space="preserve"> programu Povodí Ohře, státní podnik viz (</w:t>
      </w:r>
      <w:hyperlink r:id="rId10" w:history="1">
        <w:r w:rsidRPr="00AF24D2">
          <w:rPr>
            <w:rStyle w:val="Hypertextovodkaz"/>
            <w:color w:val="auto"/>
            <w:sz w:val="20"/>
            <w:szCs w:val="20"/>
          </w:rPr>
          <w:t>http://www.poh.cz/protikorupcni-a-Compliance-program/d-1346/p1=1458</w:t>
        </w:r>
      </w:hyperlink>
      <w:r w:rsidRPr="00AF24D2">
        <w:rPr>
          <w:sz w:val="20"/>
          <w:szCs w:val="20"/>
        </w:rPr>
        <w:t xml:space="preserve">), dále s Etickým kodexem Povodí Ohře, státní podnik, Protikorupčním programem Povodí Ohře, státní podnik a Ochranou a </w:t>
      </w:r>
      <w:r w:rsidRPr="00AF24D2">
        <w:rPr>
          <w:sz w:val="20"/>
          <w:szCs w:val="20"/>
        </w:rPr>
        <w:lastRenderedPageBreak/>
        <w:t>zpracováním osobních údajů viz (</w:t>
      </w:r>
      <w:hyperlink r:id="rId11" w:history="1">
        <w:r w:rsidRPr="00AF24D2">
          <w:rPr>
            <w:rStyle w:val="Hypertextovodkaz"/>
            <w:color w:val="auto"/>
            <w:sz w:val="20"/>
            <w:szCs w:val="20"/>
          </w:rPr>
          <w:t>http://www.poh.cz/informace-o-zpracovani-osobnich-udaju/d-1369/p1=1459</w:t>
        </w:r>
      </w:hyperlink>
      <w:r w:rsidRPr="00AF24D2">
        <w:rPr>
          <w:sz w:val="20"/>
          <w:szCs w:val="20"/>
        </w:rPr>
        <w:t>).</w:t>
      </w: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</w:p>
    <w:p w:rsidR="00AF24D2" w:rsidRPr="003502CC" w:rsidRDefault="00AF24D2" w:rsidP="00AF24D2">
      <w:pPr>
        <w:ind w:right="-1"/>
        <w:jc w:val="both"/>
        <w:rPr>
          <w:sz w:val="20"/>
          <w:szCs w:val="20"/>
        </w:rPr>
      </w:pPr>
      <w:r w:rsidRPr="003502CC">
        <w:rPr>
          <w:sz w:val="20"/>
          <w:szCs w:val="20"/>
        </w:rPr>
        <w:t>Zhotovitel se zavazuje po celou dobu zadávacího procesu dodržovat zásady a hodnoty obsažené v uvedených dokumentech, pokud to jejich povaha umožňuje.</w:t>
      </w:r>
    </w:p>
    <w:p w:rsidR="00AF24D2" w:rsidRPr="003502CC" w:rsidRDefault="00AF24D2" w:rsidP="00AF24D2">
      <w:pPr>
        <w:ind w:right="-1"/>
        <w:rPr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Default="00AF24D2" w:rsidP="00AF24D2">
      <w:pPr>
        <w:rPr>
          <w:b/>
          <w:sz w:val="20"/>
          <w:szCs w:val="20"/>
        </w:rPr>
      </w:pPr>
    </w:p>
    <w:p w:rsidR="00AF24D2" w:rsidRPr="003502CC" w:rsidRDefault="00AF24D2" w:rsidP="00AF24D2">
      <w:pPr>
        <w:rPr>
          <w:b/>
          <w:sz w:val="20"/>
          <w:szCs w:val="20"/>
        </w:rPr>
      </w:pP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ředitelka závodu Karlovy Vary</w:t>
      </w:r>
    </w:p>
    <w:p w:rsidR="00AF24D2" w:rsidRPr="003502CC" w:rsidRDefault="00AF24D2" w:rsidP="00AF24D2">
      <w:pPr>
        <w:rPr>
          <w:sz w:val="20"/>
          <w:szCs w:val="20"/>
        </w:rPr>
      </w:pPr>
    </w:p>
    <w:p w:rsidR="00AF24D2" w:rsidRDefault="00AF24D2" w:rsidP="00AF24D2">
      <w:pPr>
        <w:rPr>
          <w:sz w:val="20"/>
          <w:szCs w:val="20"/>
        </w:rPr>
      </w:pPr>
    </w:p>
    <w:p w:rsidR="00AF24D2" w:rsidRPr="003502CC" w:rsidRDefault="00AF24D2" w:rsidP="00AF24D2">
      <w:pPr>
        <w:rPr>
          <w:sz w:val="20"/>
          <w:szCs w:val="20"/>
        </w:rPr>
      </w:pPr>
    </w:p>
    <w:p w:rsidR="00AF24D2" w:rsidRPr="003502CC" w:rsidRDefault="00AF24D2" w:rsidP="00AF24D2">
      <w:pPr>
        <w:rPr>
          <w:b/>
          <w:sz w:val="20"/>
          <w:szCs w:val="20"/>
        </w:rPr>
      </w:pPr>
      <w:r w:rsidRPr="003502CC">
        <w:rPr>
          <w:b/>
          <w:sz w:val="20"/>
          <w:szCs w:val="20"/>
        </w:rPr>
        <w:t>Přílohy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návrh smlouvy o dílo</w:t>
      </w:r>
    </w:p>
    <w:p w:rsidR="00AF24D2" w:rsidRPr="003502CC" w:rsidRDefault="00AF24D2" w:rsidP="00AF24D2">
      <w:pPr>
        <w:rPr>
          <w:sz w:val="20"/>
          <w:szCs w:val="20"/>
        </w:rPr>
      </w:pPr>
      <w:r w:rsidRPr="003502CC">
        <w:rPr>
          <w:sz w:val="20"/>
          <w:szCs w:val="20"/>
        </w:rPr>
        <w:t>soupis prací</w:t>
      </w:r>
    </w:p>
    <w:p w:rsidR="00AF24D2" w:rsidRPr="003502CC" w:rsidRDefault="00AF24D2" w:rsidP="00AF24D2">
      <w:pPr>
        <w:rPr>
          <w:sz w:val="20"/>
          <w:szCs w:val="20"/>
        </w:rPr>
      </w:pPr>
      <w:r>
        <w:rPr>
          <w:sz w:val="20"/>
          <w:szCs w:val="20"/>
        </w:rPr>
        <w:t>Čestné prohlášení k finančním sankcím</w:t>
      </w:r>
    </w:p>
    <w:p w:rsidR="00EB73EA" w:rsidRDefault="00EB73EA" w:rsidP="0099776F"/>
    <w:sectPr w:rsidR="00EB73EA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FB" w:rsidRDefault="00F12FFB">
      <w:r>
        <w:separator/>
      </w:r>
    </w:p>
  </w:endnote>
  <w:endnote w:type="continuationSeparator" w:id="0">
    <w:p w:rsidR="00F12FFB" w:rsidRDefault="00F1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FB" w:rsidRDefault="00F12FFB">
      <w:r>
        <w:separator/>
      </w:r>
    </w:p>
  </w:footnote>
  <w:footnote w:type="continuationSeparator" w:id="0">
    <w:p w:rsidR="00F12FFB" w:rsidRDefault="00F1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0BFF0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A9E61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2EB37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585A68">
    <w:pPr>
      <w:pStyle w:val="Zhlav"/>
      <w:tabs>
        <w:tab w:val="clear" w:pos="4536"/>
        <w:tab w:val="clear" w:pos="9072"/>
        <w:tab w:val="right" w:pos="2410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113955" w:rsidRPr="00113955">
      <w:rPr>
        <w:rFonts w:cs="Arial"/>
        <w:color w:val="808080"/>
        <w:sz w:val="18"/>
        <w:szCs w:val="18"/>
      </w:rPr>
      <w:t>POH/50624/2022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113955" w:rsidRPr="00113955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="00692159">
      <w:rPr>
        <w:color w:val="808080"/>
        <w:sz w:val="18"/>
        <w:szCs w:val="18"/>
      </w:rPr>
      <w:tab/>
    </w:r>
    <w:r w:rsidR="00692159">
      <w:rPr>
        <w:color w:val="808080"/>
        <w:sz w:val="18"/>
        <w:szCs w:val="18"/>
      </w:rPr>
      <w:tab/>
    </w:r>
    <w:r w:rsidR="00692159">
      <w:rPr>
        <w:color w:val="808080"/>
        <w:sz w:val="18"/>
        <w:szCs w:val="18"/>
      </w:rPr>
      <w:tab/>
    </w:r>
    <w:r w:rsidR="00692159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0E7805">
      <w:rPr>
        <w:rFonts w:cs="Arial"/>
        <w:noProof/>
        <w:color w:val="808080"/>
        <w:sz w:val="18"/>
        <w:szCs w:val="18"/>
      </w:rPr>
      <w:t>25.11.2022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="001327E9">
      <w:rPr>
        <w:color w:val="808080"/>
        <w:sz w:val="18"/>
        <w:szCs w:val="18"/>
      </w:rPr>
      <w:tab/>
    </w:r>
    <w:r w:rsidR="001327E9">
      <w:rPr>
        <w:color w:val="808080"/>
        <w:sz w:val="18"/>
        <w:szCs w:val="18"/>
      </w:rPr>
      <w:tab/>
    </w:r>
    <w:r w:rsidR="001327E9">
      <w:rPr>
        <w:color w:val="808080"/>
        <w:sz w:val="18"/>
        <w:szCs w:val="18"/>
      </w:rPr>
      <w:tab/>
    </w:r>
    <w:r w:rsidR="001327E9">
      <w:rPr>
        <w:color w:val="808080"/>
        <w:sz w:val="18"/>
        <w:szCs w:val="18"/>
      </w:rPr>
      <w:tab/>
    </w:r>
    <w:r w:rsidRPr="001B008A">
      <w:rPr>
        <w:color w:val="808080"/>
        <w:sz w:val="18"/>
        <w:szCs w:val="18"/>
      </w:rPr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473DA"/>
    <w:multiLevelType w:val="hybridMultilevel"/>
    <w:tmpl w:val="DDC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15CDA"/>
    <w:multiLevelType w:val="hybridMultilevel"/>
    <w:tmpl w:val="E4761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0"/>
  </w:num>
  <w:num w:numId="5">
    <w:abstractNumId w:val="18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E7805"/>
    <w:rsid w:val="000F707C"/>
    <w:rsid w:val="001009C8"/>
    <w:rsid w:val="0010285E"/>
    <w:rsid w:val="001103B9"/>
    <w:rsid w:val="00113854"/>
    <w:rsid w:val="00113955"/>
    <w:rsid w:val="00121C4E"/>
    <w:rsid w:val="00123432"/>
    <w:rsid w:val="00130E5E"/>
    <w:rsid w:val="001327E9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54E0D"/>
    <w:rsid w:val="00466168"/>
    <w:rsid w:val="00480DD1"/>
    <w:rsid w:val="00490CF5"/>
    <w:rsid w:val="00494567"/>
    <w:rsid w:val="004979E7"/>
    <w:rsid w:val="004A3CFE"/>
    <w:rsid w:val="004B1771"/>
    <w:rsid w:val="004B182E"/>
    <w:rsid w:val="004B446B"/>
    <w:rsid w:val="004B54CE"/>
    <w:rsid w:val="004C0285"/>
    <w:rsid w:val="004D7937"/>
    <w:rsid w:val="00503666"/>
    <w:rsid w:val="00505AE6"/>
    <w:rsid w:val="00520B34"/>
    <w:rsid w:val="005268F7"/>
    <w:rsid w:val="00531FDF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2159"/>
    <w:rsid w:val="006930BA"/>
    <w:rsid w:val="00693672"/>
    <w:rsid w:val="00697831"/>
    <w:rsid w:val="006A08DD"/>
    <w:rsid w:val="006B7A47"/>
    <w:rsid w:val="006C50DA"/>
    <w:rsid w:val="006D3CE1"/>
    <w:rsid w:val="006E01A7"/>
    <w:rsid w:val="006F5A18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AF2111"/>
    <w:rsid w:val="00AF24D2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E5F95"/>
    <w:rsid w:val="00BF4C7A"/>
    <w:rsid w:val="00C108FF"/>
    <w:rsid w:val="00C134C1"/>
    <w:rsid w:val="00C17822"/>
    <w:rsid w:val="00C23920"/>
    <w:rsid w:val="00C4426E"/>
    <w:rsid w:val="00C66A35"/>
    <w:rsid w:val="00C7128B"/>
    <w:rsid w:val="00C853D1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12FFB"/>
    <w:rsid w:val="00F36175"/>
    <w:rsid w:val="00F37226"/>
    <w:rsid w:val="00F42A0F"/>
    <w:rsid w:val="00F54948"/>
    <w:rsid w:val="00F75E42"/>
    <w:rsid w:val="00F81148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E39F4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518DE3-5250-4029-BB23-36D1F350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AF24D2"/>
    <w:rPr>
      <w:rFonts w:ascii="Arial" w:hAnsi="Arial"/>
      <w:sz w:val="22"/>
      <w:szCs w:val="24"/>
    </w:rPr>
  </w:style>
  <w:style w:type="character" w:customStyle="1" w:styleId="ZpatChar">
    <w:name w:val="Zápatí Char"/>
    <w:basedOn w:val="Standardnpsmoodstavce"/>
    <w:link w:val="Zpat"/>
    <w:rsid w:val="00AF24D2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AF2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13</cp:revision>
  <cp:lastPrinted>2022-10-07T10:15:00Z</cp:lastPrinted>
  <dcterms:created xsi:type="dcterms:W3CDTF">2022-10-04T05:11:00Z</dcterms:created>
  <dcterms:modified xsi:type="dcterms:W3CDTF">2022-11-25T07:13:00Z</dcterms:modified>
</cp:coreProperties>
</file>