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4B" w:rsidRDefault="002F5515">
      <w:pPr>
        <w:pStyle w:val="Nadpis10"/>
        <w:keepNext/>
        <w:keepLines/>
      </w:pPr>
      <w:bookmarkStart w:id="0" w:name="bookmark0"/>
      <w:r>
        <w:t>SMLOUVA O PODNÁJMU PROSTOR MKD</w:t>
      </w:r>
      <w:bookmarkEnd w:id="0"/>
    </w:p>
    <w:p w:rsidR="00E6064B" w:rsidRDefault="002F5515">
      <w:pPr>
        <w:pStyle w:val="Nadpis50"/>
        <w:keepNext/>
        <w:keepLines/>
        <w:spacing w:after="0"/>
        <w:jc w:val="left"/>
      </w:pPr>
      <w:bookmarkStart w:id="1" w:name="bookmark2"/>
      <w:r>
        <w:t xml:space="preserve">Mělnické kulturní </w:t>
      </w:r>
      <w:proofErr w:type="gramStart"/>
      <w:r>
        <w:t xml:space="preserve">centrum, z. </w:t>
      </w:r>
      <w:proofErr w:type="spellStart"/>
      <w:r>
        <w:t>ú.</w:t>
      </w:r>
      <w:bookmarkEnd w:id="1"/>
      <w:proofErr w:type="spellEnd"/>
      <w:proofErr w:type="gramEnd"/>
    </w:p>
    <w:p w:rsidR="00E6064B" w:rsidRDefault="002F5515">
      <w:pPr>
        <w:pStyle w:val="Zkladntext1"/>
      </w:pPr>
      <w:r>
        <w:t>adresa: U Sadů 323, 276 01 Mělník</w:t>
      </w:r>
    </w:p>
    <w:p w:rsidR="00E6064B" w:rsidRDefault="002F5515">
      <w:pPr>
        <w:pStyle w:val="Zkladntext1"/>
      </w:pPr>
      <w:r>
        <w:t>IČ: 24210137, DIČ: 2CZ24210137</w:t>
      </w:r>
    </w:p>
    <w:p w:rsidR="00E6064B" w:rsidRDefault="002F5515">
      <w:pPr>
        <w:pStyle w:val="Zkladntext1"/>
      </w:pPr>
      <w:r>
        <w:t xml:space="preserve">zastoupen: </w:t>
      </w:r>
    </w:p>
    <w:p w:rsidR="00E6064B" w:rsidRDefault="002F5515">
      <w:pPr>
        <w:pStyle w:val="Zkladntext1"/>
      </w:pPr>
      <w:r>
        <w:t xml:space="preserve">kontaktní osoba: </w:t>
      </w:r>
    </w:p>
    <w:p w:rsidR="00E6064B" w:rsidRDefault="002F5515">
      <w:pPr>
        <w:pStyle w:val="Zkladntext1"/>
      </w:pPr>
      <w:r>
        <w:t xml:space="preserve">(dále jen </w:t>
      </w:r>
      <w:r>
        <w:rPr>
          <w:b/>
          <w:bCs/>
        </w:rPr>
        <w:t>„nájemce“)</w:t>
      </w:r>
    </w:p>
    <w:p w:rsidR="00E6064B" w:rsidRDefault="002F5515">
      <w:pPr>
        <w:pStyle w:val="Zkladntext1"/>
      </w:pPr>
      <w:r>
        <w:t>a</w:t>
      </w:r>
    </w:p>
    <w:p w:rsidR="00E6064B" w:rsidRDefault="002F5515">
      <w:pPr>
        <w:pStyle w:val="Zkladntext1"/>
        <w:jc w:val="both"/>
      </w:pPr>
      <w:r>
        <w:rPr>
          <w:b/>
          <w:bCs/>
          <w:lang w:val="en-US" w:eastAsia="en-US" w:bidi="en-US"/>
        </w:rPr>
        <w:t xml:space="preserve">NW location </w:t>
      </w:r>
      <w:r>
        <w:rPr>
          <w:b/>
          <w:bCs/>
        </w:rPr>
        <w:t>s. r. o.</w:t>
      </w:r>
    </w:p>
    <w:p w:rsidR="00E6064B" w:rsidRDefault="002F5515">
      <w:pPr>
        <w:pStyle w:val="Zkladntext1"/>
        <w:jc w:val="both"/>
      </w:pPr>
      <w:r>
        <w:t>adresa: Chvalova 1091/7, 130 00 Praha 3</w:t>
      </w:r>
    </w:p>
    <w:p w:rsidR="00E6064B" w:rsidRDefault="002F5515">
      <w:pPr>
        <w:pStyle w:val="Zkladntext1"/>
        <w:jc w:val="both"/>
      </w:pPr>
      <w:r>
        <w:t>IČ: 28476883, DIČ: CZ28476883</w:t>
      </w:r>
    </w:p>
    <w:p w:rsidR="00E6064B" w:rsidRDefault="002F5515">
      <w:pPr>
        <w:pStyle w:val="Zkladntext1"/>
        <w:spacing w:after="240"/>
      </w:pPr>
      <w:r>
        <w:t>zastoupená:</w:t>
      </w:r>
      <w:r w:rsidR="00182011">
        <w:t xml:space="preserve">            </w:t>
      </w:r>
      <w:r>
        <w:t xml:space="preserve"> jednatelem společnosti, </w:t>
      </w:r>
      <w:r w:rsidR="00182011">
        <w:t xml:space="preserve">                           </w:t>
      </w:r>
      <w:r>
        <w:t xml:space="preserve">bankovní spojení: </w:t>
      </w:r>
    </w:p>
    <w:p w:rsidR="00E6064B" w:rsidRDefault="002F5515">
      <w:pPr>
        <w:pStyle w:val="Zkladntext1"/>
        <w:spacing w:after="500"/>
        <w:jc w:val="both"/>
      </w:pPr>
      <w:r>
        <w:t xml:space="preserve">(dále jen </w:t>
      </w:r>
      <w:r>
        <w:rPr>
          <w:b/>
          <w:bCs/>
        </w:rPr>
        <w:t>„podnájemce“)</w:t>
      </w:r>
    </w:p>
    <w:p w:rsidR="00E6064B" w:rsidRDefault="002F5515">
      <w:pPr>
        <w:pStyle w:val="Zkladntext1"/>
        <w:spacing w:after="240"/>
        <w:jc w:val="both"/>
      </w:pPr>
      <w:r>
        <w:t>uzavírají níže uvedeného dne, měsíce a roku podle platných zákonů ČR tuto nájemní smlouvu</w:t>
      </w:r>
    </w:p>
    <w:p w:rsidR="00E6064B" w:rsidRDefault="002F5515">
      <w:pPr>
        <w:pStyle w:val="Nadpis50"/>
        <w:keepNext/>
        <w:keepLines/>
        <w:numPr>
          <w:ilvl w:val="0"/>
          <w:numId w:val="1"/>
        </w:numPr>
        <w:tabs>
          <w:tab w:val="left" w:pos="417"/>
        </w:tabs>
      </w:pPr>
      <w:bookmarkStart w:id="2" w:name="bookmark4"/>
      <w:r>
        <w:t>Předmět a účel smlouvy, termíny</w:t>
      </w:r>
      <w:bookmarkEnd w:id="2"/>
    </w:p>
    <w:p w:rsidR="00E6064B" w:rsidRDefault="002F5515">
      <w:pPr>
        <w:pStyle w:val="Zkladntext1"/>
        <w:numPr>
          <w:ilvl w:val="0"/>
          <w:numId w:val="2"/>
        </w:numPr>
        <w:tabs>
          <w:tab w:val="left" w:pos="417"/>
        </w:tabs>
        <w:ind w:left="420" w:hanging="420"/>
        <w:jc w:val="both"/>
      </w:pPr>
      <w:r>
        <w:t>Nájemce spravuje budovu Masarykova kulturního domu (d</w:t>
      </w:r>
      <w:r>
        <w:t xml:space="preserve">ále jen </w:t>
      </w:r>
      <w:r>
        <w:rPr>
          <w:b/>
          <w:bCs/>
        </w:rPr>
        <w:t xml:space="preserve">„MKD“), </w:t>
      </w:r>
      <w:r>
        <w:t>ulice U Sadů č. p. 323, Mělník. Vlastníkem nemovitosti je město Mělník. Nájemce je oprávněn pronajaté prostory užívat a poskytnout je dále, formou podnájmu za účelem pořádání kulturních a jiných akcí, dalším subjektům. K tomuto je nájemce o</w:t>
      </w:r>
      <w:r>
        <w:t>právněn na základě nájemní smlouvy mezi městem Mělník a nájemcem.</w:t>
      </w:r>
    </w:p>
    <w:p w:rsidR="00E6064B" w:rsidRDefault="002F5515">
      <w:pPr>
        <w:pStyle w:val="Zkladntext1"/>
        <w:numPr>
          <w:ilvl w:val="0"/>
          <w:numId w:val="2"/>
        </w:numPr>
        <w:tabs>
          <w:tab w:val="left" w:pos="417"/>
        </w:tabs>
        <w:ind w:left="420" w:hanging="420"/>
        <w:jc w:val="both"/>
      </w:pPr>
      <w:r>
        <w:t xml:space="preserve">Předmětem této smlouvy je podnájem prostor MKD za účelem natáčení </w:t>
      </w:r>
      <w:r>
        <w:rPr>
          <w:b/>
          <w:bCs/>
        </w:rPr>
        <w:t xml:space="preserve">reklamního spotu pro společnost </w:t>
      </w:r>
      <w:r>
        <w:rPr>
          <w:b/>
          <w:bCs/>
          <w:lang w:val="en-US" w:eastAsia="en-US" w:bidi="en-US"/>
        </w:rPr>
        <w:t xml:space="preserve">Vodafone </w:t>
      </w:r>
      <w:r>
        <w:t xml:space="preserve">(dále jen </w:t>
      </w:r>
      <w:r>
        <w:rPr>
          <w:b/>
          <w:bCs/>
        </w:rPr>
        <w:t xml:space="preserve">„akce“). </w:t>
      </w:r>
      <w:r>
        <w:t xml:space="preserve">Jedná se o prostory tanečního a konferenčního sálu, haly a foyer v I. patře, části schodiště vedoucího do prvního patra, a služební byt nájemce, umístěný v budově MKD (dále jen </w:t>
      </w:r>
      <w:r>
        <w:rPr>
          <w:b/>
          <w:bCs/>
        </w:rPr>
        <w:t>„prostory“).</w:t>
      </w:r>
    </w:p>
    <w:p w:rsidR="00E6064B" w:rsidRDefault="002F5515">
      <w:pPr>
        <w:pStyle w:val="Zkladntext1"/>
        <w:numPr>
          <w:ilvl w:val="0"/>
          <w:numId w:val="2"/>
        </w:numPr>
        <w:tabs>
          <w:tab w:val="left" w:pos="417"/>
        </w:tabs>
        <w:ind w:left="420" w:hanging="420"/>
        <w:jc w:val="both"/>
      </w:pPr>
      <w:r>
        <w:t xml:space="preserve">PODNÁJEM prostor zahrnuje běžnou spotřebu energií, službu požární </w:t>
      </w:r>
      <w:r>
        <w:t>hlídky a běžnou ostrahu budovy.</w:t>
      </w:r>
    </w:p>
    <w:p w:rsidR="00E6064B" w:rsidRDefault="002F5515">
      <w:pPr>
        <w:pStyle w:val="Zkladntext1"/>
        <w:ind w:left="420"/>
        <w:jc w:val="both"/>
      </w:pPr>
      <w:r>
        <w:t>Poskytnuté služby nezahrnují zápůjčku ani obsluhu technického zařízení odborným technickým personálem, obsluhu šaten, vyklizení a úklid prostor.</w:t>
      </w:r>
    </w:p>
    <w:p w:rsidR="00E6064B" w:rsidRDefault="002F5515">
      <w:pPr>
        <w:pStyle w:val="Zkladntext1"/>
        <w:numPr>
          <w:ilvl w:val="0"/>
          <w:numId w:val="2"/>
        </w:numPr>
        <w:tabs>
          <w:tab w:val="left" w:pos="417"/>
        </w:tabs>
        <w:ind w:left="420" w:hanging="420"/>
        <w:jc w:val="both"/>
      </w:pPr>
      <w:r>
        <w:t>PLACENÉ SLUŽBY sjednané podnájemcem - dodatečný úklid po akci. Tyto služby nejs</w:t>
      </w:r>
      <w:r>
        <w:t xml:space="preserve">ou součástí ceny podnájmu dle článku II. odst. 1, ale připočítává se k ceně podnájmu dle článku II. </w:t>
      </w:r>
      <w:proofErr w:type="spellStart"/>
      <w:r>
        <w:t>odst</w:t>
      </w:r>
      <w:proofErr w:type="spellEnd"/>
      <w:r>
        <w:t xml:space="preserve"> 2.</w:t>
      </w:r>
    </w:p>
    <w:p w:rsidR="00E6064B" w:rsidRDefault="002F5515">
      <w:pPr>
        <w:pStyle w:val="Zkladntext1"/>
        <w:numPr>
          <w:ilvl w:val="0"/>
          <w:numId w:val="2"/>
        </w:numPr>
        <w:tabs>
          <w:tab w:val="left" w:pos="417"/>
        </w:tabs>
        <w:ind w:left="420" w:hanging="420"/>
        <w:jc w:val="both"/>
      </w:pPr>
      <w:r>
        <w:t xml:space="preserve">Akce se koná ve </w:t>
      </w:r>
      <w:r>
        <w:rPr>
          <w:b/>
          <w:bCs/>
          <w:u w:val="single"/>
        </w:rPr>
        <w:t>dnech 10. - 13. 10. 2023</w:t>
      </w:r>
      <w:r>
        <w:rPr>
          <w:b/>
          <w:bCs/>
        </w:rPr>
        <w:t xml:space="preserve">. </w:t>
      </w:r>
      <w:r>
        <w:t>Prostory budou poskytnuty k užití podle časového schématu:</w:t>
      </w:r>
    </w:p>
    <w:p w:rsidR="00E6064B" w:rsidRDefault="002F5515">
      <w:pPr>
        <w:pStyle w:val="Zkladntext1"/>
        <w:ind w:firstLine="720"/>
        <w:jc w:val="both"/>
      </w:pPr>
      <w:proofErr w:type="gramStart"/>
      <w:r>
        <w:t>10.10</w:t>
      </w:r>
      <w:proofErr w:type="gramEnd"/>
      <w:r>
        <w:t>. 2022 - služební byt - příprava 7 - 18.00</w:t>
      </w:r>
      <w:r>
        <w:t xml:space="preserve"> hod,</w:t>
      </w:r>
    </w:p>
    <w:p w:rsidR="00E6064B" w:rsidRDefault="002F5515">
      <w:pPr>
        <w:pStyle w:val="Zkladntext1"/>
        <w:ind w:firstLine="720"/>
        <w:jc w:val="both"/>
      </w:pPr>
      <w:proofErr w:type="gramStart"/>
      <w:r>
        <w:t>11.10</w:t>
      </w:r>
      <w:proofErr w:type="gramEnd"/>
      <w:r>
        <w:t>. 2022 - služební byt natáčení a 1. patro MKD příprava, 7.00 - 20.00 hodin,</w:t>
      </w:r>
    </w:p>
    <w:p w:rsidR="00E6064B" w:rsidRDefault="002F5515">
      <w:pPr>
        <w:pStyle w:val="Zkladntext1"/>
        <w:numPr>
          <w:ilvl w:val="1"/>
          <w:numId w:val="3"/>
        </w:numPr>
        <w:tabs>
          <w:tab w:val="left" w:pos="1449"/>
        </w:tabs>
        <w:ind w:left="720"/>
        <w:jc w:val="both"/>
      </w:pPr>
      <w:r>
        <w:t xml:space="preserve">. 2022 - služební byt - 7.00 - 18.00 hodin, natáčení a uvedení do </w:t>
      </w:r>
      <w:proofErr w:type="gramStart"/>
      <w:r>
        <w:t>původní</w:t>
      </w:r>
      <w:proofErr w:type="gramEnd"/>
      <w:r>
        <w:t xml:space="preserve"> stavu, 1. patro MKD 7.00 - 21.00 hodin natáčení,</w:t>
      </w:r>
    </w:p>
    <w:p w:rsidR="00E6064B" w:rsidRDefault="002F5515">
      <w:pPr>
        <w:pStyle w:val="Zkladntext1"/>
        <w:numPr>
          <w:ilvl w:val="1"/>
          <w:numId w:val="3"/>
        </w:numPr>
        <w:tabs>
          <w:tab w:val="left" w:pos="1442"/>
        </w:tabs>
        <w:ind w:left="720"/>
        <w:jc w:val="both"/>
      </w:pPr>
      <w:r>
        <w:t>. 2022 - 1. patro - 7.00 - 12.00 hodin, natáče</w:t>
      </w:r>
      <w:r>
        <w:t>ní, vyklizení prostor.</w:t>
      </w:r>
    </w:p>
    <w:p w:rsidR="00E6064B" w:rsidRDefault="002F5515">
      <w:pPr>
        <w:pStyle w:val="Zkladntext1"/>
        <w:spacing w:after="240"/>
        <w:ind w:left="420"/>
        <w:jc w:val="both"/>
      </w:pPr>
      <w:r>
        <w:t xml:space="preserve">Smluvní strany se dohodly, že všichni účinkující a pořadatelé akce opustí prostory MKD </w:t>
      </w:r>
      <w:proofErr w:type="gramStart"/>
      <w:r>
        <w:t>13.10. nejpozději</w:t>
      </w:r>
      <w:proofErr w:type="gramEnd"/>
      <w:r>
        <w:t xml:space="preserve"> ve 12.00 hodin.</w:t>
      </w:r>
    </w:p>
    <w:p w:rsidR="00E6064B" w:rsidRDefault="002F5515">
      <w:pPr>
        <w:pStyle w:val="Nadpis50"/>
        <w:keepNext/>
        <w:keepLines/>
        <w:numPr>
          <w:ilvl w:val="0"/>
          <w:numId w:val="4"/>
        </w:numPr>
        <w:tabs>
          <w:tab w:val="left" w:pos="417"/>
        </w:tabs>
      </w:pPr>
      <w:bookmarkStart w:id="3" w:name="bookmark6"/>
      <w:r>
        <w:t>Platební podmínky</w:t>
      </w:r>
      <w:bookmarkEnd w:id="3"/>
    </w:p>
    <w:p w:rsidR="00E6064B" w:rsidRDefault="002F5515">
      <w:pPr>
        <w:pStyle w:val="Zkladntext1"/>
        <w:numPr>
          <w:ilvl w:val="0"/>
          <w:numId w:val="5"/>
        </w:numPr>
        <w:tabs>
          <w:tab w:val="left" w:pos="417"/>
        </w:tabs>
        <w:ind w:left="420" w:hanging="420"/>
        <w:jc w:val="both"/>
        <w:sectPr w:rsidR="00E6064B">
          <w:headerReference w:type="default" r:id="rId7"/>
          <w:footerReference w:type="default" r:id="rId8"/>
          <w:pgSz w:w="11900" w:h="16840"/>
          <w:pgMar w:top="1067" w:right="1042" w:bottom="1330" w:left="1059" w:header="0" w:footer="3" w:gutter="0"/>
          <w:pgNumType w:fmt="lowerRoman" w:start="1"/>
          <w:cols w:space="720"/>
          <w:noEndnote/>
          <w:docGrid w:linePitch="360"/>
        </w:sectPr>
      </w:pPr>
      <w:r>
        <w:t xml:space="preserve">PODNÁJEM - podnájemce se zavazuje zaplatit nájemné za podnájem prostor 1. patra MKD a služebního bytu v částce </w:t>
      </w:r>
      <w:r>
        <w:rPr>
          <w:b/>
          <w:bCs/>
        </w:rPr>
        <w:t xml:space="preserve">3.500 Kč + 21% DPH </w:t>
      </w:r>
      <w:r>
        <w:t xml:space="preserve">za každou započatou hodinu, a to v čase mezi 7.00 a 22.00 hodinou. </w:t>
      </w:r>
      <w:r>
        <w:t xml:space="preserve">Po 22.00 hodině se sazba navyšuje na částku </w:t>
      </w:r>
      <w:r>
        <w:rPr>
          <w:b/>
          <w:bCs/>
        </w:rPr>
        <w:t xml:space="preserve">4.500 Kč + 21% DPH </w:t>
      </w:r>
      <w:r>
        <w:t xml:space="preserve">za každou započatou hodinu. Nájemné za samostatný pronájem služebního bytu činí </w:t>
      </w:r>
      <w:r>
        <w:rPr>
          <w:b/>
          <w:bCs/>
        </w:rPr>
        <w:t xml:space="preserve">1.500 Kč + 21% DPH </w:t>
      </w:r>
      <w:r>
        <w:t>za každou započatou hodinu.</w:t>
      </w:r>
    </w:p>
    <w:p w:rsidR="00E6064B" w:rsidRDefault="002F5515">
      <w:pPr>
        <w:pStyle w:val="Zkladntext1"/>
        <w:numPr>
          <w:ilvl w:val="0"/>
          <w:numId w:val="5"/>
        </w:numPr>
        <w:tabs>
          <w:tab w:val="left" w:pos="415"/>
        </w:tabs>
        <w:ind w:left="420" w:hanging="420"/>
        <w:jc w:val="both"/>
      </w:pPr>
      <w:r>
        <w:lastRenderedPageBreak/>
        <w:t>SLUŽBY NÁJEMCE - podnájemce se zavazuje zaplatit za sjednané place</w:t>
      </w:r>
      <w:r>
        <w:t>né služby dle článku I. odst. 4:</w:t>
      </w:r>
    </w:p>
    <w:p w:rsidR="00E6064B" w:rsidRDefault="002F5515">
      <w:pPr>
        <w:pStyle w:val="Zkladntext1"/>
        <w:ind w:left="420" w:firstLine="360"/>
        <w:jc w:val="both"/>
      </w:pPr>
      <w:r>
        <w:lastRenderedPageBreak/>
        <w:t xml:space="preserve">- dodatečný úklid prostor MKD provedený nájemcem v částce </w:t>
      </w:r>
      <w:r>
        <w:rPr>
          <w:b/>
          <w:bCs/>
        </w:rPr>
        <w:t xml:space="preserve">250 Kč + 21% DPH </w:t>
      </w:r>
      <w:r>
        <w:t>za každou započatou hodinu.</w:t>
      </w:r>
    </w:p>
    <w:p w:rsidR="00E6064B" w:rsidRDefault="002F5515">
      <w:pPr>
        <w:pStyle w:val="Zkladntext1"/>
        <w:numPr>
          <w:ilvl w:val="0"/>
          <w:numId w:val="5"/>
        </w:numPr>
        <w:tabs>
          <w:tab w:val="left" w:pos="415"/>
        </w:tabs>
        <w:ind w:left="420" w:hanging="420"/>
        <w:jc w:val="both"/>
      </w:pPr>
      <w:r>
        <w:t xml:space="preserve">Záloha nájemného dle odst. 1 a 2 tohoto článku ve výši </w:t>
      </w:r>
      <w:r>
        <w:rPr>
          <w:b/>
          <w:bCs/>
        </w:rPr>
        <w:t xml:space="preserve">60.000 Kč + 21% DPH </w:t>
      </w:r>
      <w:r>
        <w:t xml:space="preserve">bude uhrazena před konáním akce, nejpozději </w:t>
      </w:r>
      <w:r>
        <w:rPr>
          <w:u w:val="single"/>
        </w:rPr>
        <w:t>d</w:t>
      </w:r>
      <w:r>
        <w:rPr>
          <w:u w:val="single"/>
        </w:rPr>
        <w:t>o 9. 10. 2022</w:t>
      </w:r>
      <w:r>
        <w:t xml:space="preserve"> převodem na účet nájemce, na základě nájemcem vystavené zálohové faktury.</w:t>
      </w:r>
    </w:p>
    <w:p w:rsidR="00E6064B" w:rsidRDefault="002F5515">
      <w:pPr>
        <w:pStyle w:val="Zkladntext1"/>
        <w:numPr>
          <w:ilvl w:val="0"/>
          <w:numId w:val="5"/>
        </w:numPr>
        <w:tabs>
          <w:tab w:val="left" w:pos="415"/>
        </w:tabs>
        <w:ind w:left="420" w:hanging="420"/>
        <w:jc w:val="both"/>
      </w:pPr>
      <w:r>
        <w:t xml:space="preserve">Zbývající částka dle odst. 1 a 2 tohoto článku, po odečtení zálohy dle odst. 3 tohoto článku, bude uhrazena po akci převodem na účet nájemce, na základě nájemcem </w:t>
      </w:r>
      <w:r>
        <w:t>vystavené faktury - daňového dokladu, se splatností 10 pracovních dní.</w:t>
      </w:r>
    </w:p>
    <w:p w:rsidR="00E6064B" w:rsidRDefault="002F5515">
      <w:pPr>
        <w:pStyle w:val="Zkladntext1"/>
        <w:numPr>
          <w:ilvl w:val="0"/>
          <w:numId w:val="5"/>
        </w:numPr>
        <w:tabs>
          <w:tab w:val="left" w:pos="415"/>
        </w:tabs>
        <w:spacing w:after="240"/>
        <w:ind w:left="420" w:hanging="420"/>
        <w:jc w:val="both"/>
      </w:pPr>
      <w:r>
        <w:t>Dojde-li k odstoupení od smlouvy z důvodů vyšší moci objektivní dle článku V. odst. 3, věta první, nemá žádná ze smluvních stran nárok na finanční náhradu nákladů.</w:t>
      </w:r>
    </w:p>
    <w:p w:rsidR="00E6064B" w:rsidRDefault="002F5515">
      <w:pPr>
        <w:pStyle w:val="Nadpis50"/>
        <w:keepNext/>
        <w:keepLines/>
        <w:numPr>
          <w:ilvl w:val="0"/>
          <w:numId w:val="4"/>
        </w:numPr>
        <w:tabs>
          <w:tab w:val="left" w:pos="415"/>
        </w:tabs>
      </w:pPr>
      <w:bookmarkStart w:id="4" w:name="bookmark8"/>
      <w:r>
        <w:t>Práva a povinnosti ná</w:t>
      </w:r>
      <w:r>
        <w:t>jemce</w:t>
      </w:r>
      <w:bookmarkEnd w:id="4"/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Nájemce se zavazuje přenechat podnájemci prostory ve stavu způsobilém pro jejich užití v souladu s účelem stanoveným touto smlouvou.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Nájemce zajistí služby dle článku I. a dle technické přílohy, která tvoří přílohu č. 4, této smlouvy.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jc w:val="both"/>
      </w:pPr>
      <w:r>
        <w:t xml:space="preserve">Za nájemce v </w:t>
      </w:r>
      <w:r>
        <w:t>souvislosti s organizací akce jednají:</w:t>
      </w:r>
    </w:p>
    <w:p w:rsidR="00E6064B" w:rsidRDefault="002F5515">
      <w:pPr>
        <w:pStyle w:val="Zkladntext1"/>
        <w:numPr>
          <w:ilvl w:val="0"/>
          <w:numId w:val="7"/>
        </w:numPr>
        <w:tabs>
          <w:tab w:val="left" w:pos="820"/>
        </w:tabs>
        <w:ind w:firstLine="420"/>
        <w:jc w:val="both"/>
      </w:pPr>
      <w:r>
        <w:t xml:space="preserve">technik - </w:t>
      </w:r>
    </w:p>
    <w:p w:rsidR="00E6064B" w:rsidRDefault="002F5515">
      <w:pPr>
        <w:pStyle w:val="Zkladntext1"/>
        <w:numPr>
          <w:ilvl w:val="0"/>
          <w:numId w:val="7"/>
        </w:numPr>
        <w:tabs>
          <w:tab w:val="left" w:pos="820"/>
        </w:tabs>
        <w:ind w:firstLine="420"/>
        <w:jc w:val="both"/>
      </w:pPr>
      <w:r>
        <w:t xml:space="preserve">produkční - </w:t>
      </w:r>
    </w:p>
    <w:p w:rsidR="00E6064B" w:rsidRDefault="002F5515">
      <w:pPr>
        <w:pStyle w:val="Zkladntext1"/>
        <w:numPr>
          <w:ilvl w:val="0"/>
          <w:numId w:val="7"/>
        </w:numPr>
        <w:tabs>
          <w:tab w:val="left" w:pos="820"/>
        </w:tabs>
        <w:ind w:firstLine="420"/>
        <w:jc w:val="both"/>
      </w:pPr>
      <w:r>
        <w:t>fakturace -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 xml:space="preserve">Nájemce zapůjčí prostory vč. mobiliáře (stoly a židle) rozmístěného podle svých provozních zvyklostí. Případné přesuny mobiliáře provedené podnájemcem musí být v souladu </w:t>
      </w:r>
      <w:r>
        <w:t>s předpisy BOZP a PO.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Nájemce zajistí požární hlídku během konání akce a přítomnost odpovědného pracovníka kompetentního během akce jednat jménem nájemce. Jméno odpovědného pracovníka nájemce v době konání akce bude podnájemci oznámeno před zahájením akce.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Nájemce neodpovídá za případně uplatněné nároky třetích osob z titulu autorských práv, práv k ochranným známkám či práv k jinému duševnímu vlastnictví ani za obsahovou náplň a úroveň akce.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V případě, že vzniknou nájemci náklady spojené s užitím autorských</w:t>
      </w:r>
      <w:r>
        <w:t xml:space="preserve"> práv, práv k ochranným známkám či práv k jinému duševnímu vlastnictví v souvislosti s akcí, je podnájemce povinen nájemci tyto náklady bez zbytečného odkladu uhradit.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Nájemce neposkytuje obsluhu technického zařízení odborným technickým personálem, úklid b</w:t>
      </w:r>
      <w:r>
        <w:t>ěhem akce a výzdobu užitých prostor.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V případě nevhodného, vulgárního nebo agresivního chování účastníků akce je nájemce oprávněn ukončit podnájem prostor a žádat odchod všech účastníků bez náhrady nákladů spojených s ukončením, přípravou a realizací akce.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22"/>
        </w:tabs>
        <w:jc w:val="both"/>
      </w:pPr>
      <w:r>
        <w:t>Nájemce neodpovídá za bezpečnost účastníků v průběhu konání akce.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5"/>
        </w:tabs>
        <w:ind w:left="420" w:hanging="420"/>
        <w:jc w:val="both"/>
      </w:pPr>
      <w:r>
        <w:t>Nájemce neodpovídá za ztráty, ke kterým dojde v prostorách, které jsou předmětem podnájmu.</w:t>
      </w:r>
    </w:p>
    <w:p w:rsidR="00E6064B" w:rsidRDefault="002F5515">
      <w:pPr>
        <w:pStyle w:val="Zkladntext1"/>
        <w:numPr>
          <w:ilvl w:val="0"/>
          <w:numId w:val="6"/>
        </w:numPr>
        <w:tabs>
          <w:tab w:val="left" w:pos="419"/>
        </w:tabs>
        <w:spacing w:after="240"/>
        <w:ind w:left="420" w:hanging="420"/>
        <w:jc w:val="both"/>
      </w:pPr>
      <w:r>
        <w:t xml:space="preserve">Nájemce bere na vědomí, že během akce dojde ve služebním bytě k různým jednoduchým úpravám (např. </w:t>
      </w:r>
      <w:r>
        <w:t>výmalba stěn), na kterých se podnájemce předem domluví s nájemce, a po skončení akce budou prostory dány opět do původního stavu.</w:t>
      </w:r>
    </w:p>
    <w:p w:rsidR="00E6064B" w:rsidRDefault="002F5515">
      <w:pPr>
        <w:pStyle w:val="Nadpis50"/>
        <w:keepNext/>
        <w:keepLines/>
        <w:numPr>
          <w:ilvl w:val="0"/>
          <w:numId w:val="4"/>
        </w:numPr>
        <w:tabs>
          <w:tab w:val="left" w:pos="415"/>
        </w:tabs>
      </w:pPr>
      <w:bookmarkStart w:id="5" w:name="bookmark10"/>
      <w:r>
        <w:t>Práva a povinnosti podnájemce</w:t>
      </w:r>
      <w:bookmarkEnd w:id="5"/>
    </w:p>
    <w:p w:rsidR="00E6064B" w:rsidRDefault="002F5515">
      <w:pPr>
        <w:pStyle w:val="Zkladntext1"/>
        <w:numPr>
          <w:ilvl w:val="0"/>
          <w:numId w:val="8"/>
        </w:numPr>
        <w:tabs>
          <w:tab w:val="left" w:pos="415"/>
        </w:tabs>
        <w:jc w:val="both"/>
      </w:pPr>
      <w:r>
        <w:t xml:space="preserve">Za podnájemce jedná pan 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15"/>
        </w:tabs>
        <w:ind w:left="420" w:hanging="420"/>
        <w:jc w:val="both"/>
      </w:pPr>
      <w:r>
        <w:t xml:space="preserve">Podnájemce prohlašuje, že je mu znám stav prostor, které jsou předmětem podnájmu. Zároveň se seznámil s bezpečnostními předpisy a provozním řádem MKD a zavazuje se je dodržovat, stejně tak se zavazuje dodržovat právní </w:t>
      </w:r>
      <w:r>
        <w:t>předpisy platné v oblasti bezpečnosti práce a požární ochrany. Poučení o BOZP, PO a o rizicích MKD pro pořadatele kulturních akcí tvoří přílohu č. 1 této smlouvy.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se zavazuje užívat prostory způsobem a v rozsahu stanoveném v této smlouvě a umožn</w:t>
      </w:r>
      <w:r>
        <w:t>it zástupcům nájemce přístup do prostor za účelem kontroly jejich řádného užívání a dodržování předpisů o BOZP a předpisů o PO.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přebírá odpovědnost za chování účastníků po celou dobu trvání akce až do jejich odchodu z prostor MKD.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 xml:space="preserve">Podnájemce se </w:t>
      </w:r>
      <w:r>
        <w:t xml:space="preserve">zavazuje zajistit vlastní pracovníky pro pomoc s přípravou prostor na akci. Dále </w:t>
      </w:r>
      <w:r>
        <w:lastRenderedPageBreak/>
        <w:t xml:space="preserve">podnájemce zajišťuje ostatní služby nezajištěné nájemcem např. výzdobu </w:t>
      </w:r>
      <w:proofErr w:type="gramStart"/>
      <w:r>
        <w:t>prostor,, , řešení</w:t>
      </w:r>
      <w:proofErr w:type="gramEnd"/>
      <w:r>
        <w:t xml:space="preserve"> požadavků účastníků a pořadatelů dle svých možností.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odpovídá za zajištění</w:t>
      </w:r>
      <w:r>
        <w:t xml:space="preserve"> a vypořádání veškerých autorských práv, práv k ochranným známkám či práv k jinému duševnímu vlastnictví, jakož i za obsahovou náplň a úroveň akce.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je povinen vypořádat veškeré závazky vůči účinkujícím, vlastním spolupracovníkům a dále závazky t</w:t>
      </w:r>
      <w:r>
        <w:t xml:space="preserve">ýkající se práv vyplývajících z autorského zákona - tzn. informovat autorské organizace zastupující autory a výkonné umělce (OSA, </w:t>
      </w:r>
      <w:proofErr w:type="spellStart"/>
      <w:r>
        <w:rPr>
          <w:lang w:val="en-US" w:eastAsia="en-US" w:bidi="en-US"/>
        </w:rPr>
        <w:t>Intergram</w:t>
      </w:r>
      <w:proofErr w:type="spellEnd"/>
      <w:r>
        <w:rPr>
          <w:lang w:val="en-US" w:eastAsia="en-US" w:bidi="en-US"/>
        </w:rPr>
        <w:t xml:space="preserve">, </w:t>
      </w:r>
      <w:r>
        <w:t xml:space="preserve">DILIA a další) o uskutečnění akce (pro kterou jsou prostory najímány) a jako pořadatel je povinen následně uhradit </w:t>
      </w:r>
      <w:r>
        <w:t>poplatky určené těmito organizacemi.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jc w:val="both"/>
      </w:pPr>
      <w:r>
        <w:t>Podnájemce není oprávněn sjednávat další závazky, které by byly v rozporu s touto smlouvou.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Bez souhlasu nájemce není podnájemce oprávněn provádět v prostorách změny, zejména takového charakteru, které by ve svém důsled</w:t>
      </w:r>
      <w:r>
        <w:t>ku mohly znamenat újmu na provozním stavu těchto prostor. Podnájemce nesmí žádným způsobem omezovat či zastavovat únikové cesty a východy z užívaných prostor a musí dbát na to, aby prostředky požární ochrany v těchto prostorách byly trvale volně dostupné.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Dojde-li zaviněním podnájemce a účastníků akce ke změnám nebo škodám v užívaných prostorách, na mobiliáři nebo na jakémkoliv majetku nájemce, je podnájemce povinen uvést prostory i majetek na svůj náklad a bez zbytečného odkladu do původního stavu. Pokud u</w:t>
      </w:r>
      <w:r>
        <w:t>vedení do původního stavu není možné, zavazuje se podnájemce nahradit nájemci škodu, která mu shora uvedeným způsobem vznikla, nejpozději do čtrnácti dnů od konání akce.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bere na vědomí, že v celé budově MKD platí zákaz kouření a odpovídá za jeho</w:t>
      </w:r>
      <w:r>
        <w:t xml:space="preserve"> dodržení ze strany pracovníků podnájemce a účastníků akce.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 xml:space="preserve">Podnájemce se zavazuje, že </w:t>
      </w:r>
      <w:r>
        <w:rPr>
          <w:b/>
          <w:bCs/>
        </w:rPr>
        <w:t xml:space="preserve">po 21.30 hodině </w:t>
      </w:r>
      <w:r>
        <w:t>bude důsledně dodržován zákaz otevírání oken.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se zavazuje, že v případě přemísťování zařízení a mobiliáře v užívaných prostorách uvede po skon</w:t>
      </w:r>
      <w:r>
        <w:t xml:space="preserve">čení akce dotčené zařízení do původního stavu a polohy. Drobné úpravy, ke </w:t>
      </w:r>
      <w:proofErr w:type="gramStart"/>
      <w:r>
        <w:t>který</w:t>
      </w:r>
      <w:proofErr w:type="gramEnd"/>
      <w:r>
        <w:t xml:space="preserve"> dojde v bytě během podnájmu, uvede podnájemce po skončení akce do původního stavu. Všechny úpravy je nutné konzultovat s nájemcem.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6"/>
        </w:tabs>
        <w:ind w:left="420" w:hanging="420"/>
        <w:jc w:val="both"/>
      </w:pPr>
      <w:r>
        <w:t>Podnájemce se zavazuje, že odstraní veškeré p</w:t>
      </w:r>
      <w:r>
        <w:t>rázdné obaly, dekorace a odpadky tak, aby mohl být proveden běžný úklid prostor.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jc w:val="both"/>
      </w:pPr>
      <w:r>
        <w:t>Podnájemce zajistí likvidaci odpadu z akce, není-li dohodnuto jinak.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se zavazuje, že při přípravě a realizaci akce v prostorách bude respektovat pokyny provozních p</w:t>
      </w:r>
      <w:r>
        <w:t>racovníků nájemce.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podpisem smlouvy potvrzuje, že cizí elektrická zařízení (která nejsou v majetku nájemce), pokud budou během akce používána, prošla příslušnými revizními kontrolami. Případné škody, způsobené nájemci cizím elektrickým zařízením</w:t>
      </w:r>
      <w:r>
        <w:t xml:space="preserve"> je podnájemce povinen uhradit. O použití vlastního elektrického zařízení musí podnájemce nájemce informovat předem. Nájemce je oprávněn požadovat předložení potvrzení o provedených revizích elektrických zařízení připravených k užití při akci. V případě, ž</w:t>
      </w:r>
      <w:r>
        <w:t>e podnájemce potvrzení o revizích nepředloží, je nájemce oprávněn použití elektrických zařízení v prostorách zakázat.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 xml:space="preserve">Podnájemce je oprávněn po dohodě s nájemcem umístit v prostorách MKD reklamní </w:t>
      </w:r>
      <w:proofErr w:type="spellStart"/>
      <w:r>
        <w:t>roll-upy</w:t>
      </w:r>
      <w:proofErr w:type="spellEnd"/>
      <w:r>
        <w:t xml:space="preserve"> (loga sponzorů apod.).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03"/>
        </w:tabs>
        <w:ind w:left="420" w:hanging="420"/>
        <w:jc w:val="both"/>
      </w:pPr>
      <w:r>
        <w:t>Podnájemce je povinen v dost</w:t>
      </w:r>
      <w:r>
        <w:t>atečném předstihu informovat podnájemce o technických a organizačních požadavcích (pokud již nejsou v rezervačním listě). Pozdější požadavky nemusí být nájemcem akceptovány.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17"/>
        </w:tabs>
        <w:ind w:left="420" w:hanging="420"/>
        <w:jc w:val="both"/>
      </w:pPr>
      <w:r>
        <w:t>Podnájemce není oprávněn připevňovat na stěny MKD jakékoliv plakáty, předměty či jiné informace zanechávající po sejmutí na stěnách stopu (hřebík, mastný flek a podobně). V případě poškození či znečištění stěn (omítka, výmalba, obklady) je podnájemce povin</w:t>
      </w:r>
      <w:r>
        <w:t xml:space="preserve">en bez zbytečného odkladu uvést stěny do stavu bez poškození či viditelného znečištění. Není-li náprava v možnostech podnájemce, uhradí pokutu </w:t>
      </w:r>
      <w:r>
        <w:rPr>
          <w:b/>
          <w:bCs/>
        </w:rPr>
        <w:t>10.000 Kč.</w:t>
      </w:r>
    </w:p>
    <w:p w:rsidR="00E6064B" w:rsidRDefault="002F5515">
      <w:pPr>
        <w:pStyle w:val="Zkladntext1"/>
        <w:ind w:firstLine="420"/>
        <w:jc w:val="both"/>
      </w:pPr>
      <w:r>
        <w:t>Ve služebním bytě MKD jsou drobné dočasné úpravy (vymalování prostor, zavěšení obrazu) pro potřeby pod</w:t>
      </w:r>
      <w:r>
        <w:t>nájemce možné za podmínky uvedení změny do původního stavu po skončení akce.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17"/>
        </w:tabs>
        <w:ind w:left="380" w:hanging="380"/>
        <w:jc w:val="both"/>
      </w:pPr>
      <w:r>
        <w:t>Podnájemce je odpovědný za dodržení času trvání akce. Poslední den pronájmu zajistí odchod všech pracovníků a účinkujících v čase dle článku I. odst. 5 a odejde z budovy jako posl</w:t>
      </w:r>
      <w:r>
        <w:t>ední, předá prostory, případně oznámí zástupci nájemce, že jsou prostory vyklizeny a již není v budově žádný pracovník podnájemce.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21"/>
        </w:tabs>
        <w:ind w:left="380" w:hanging="380"/>
        <w:jc w:val="both"/>
      </w:pPr>
      <w:r>
        <w:t xml:space="preserve">Podnájemce bere na vědomí a souhlasí s dohodou, že pokud nebudou vyklizeny a předány prostory MKD nejpozději 13. 10. 2022 </w:t>
      </w:r>
      <w:proofErr w:type="gramStart"/>
      <w:r>
        <w:t>ve</w:t>
      </w:r>
      <w:proofErr w:type="gramEnd"/>
      <w:r>
        <w:t xml:space="preserve"> </w:t>
      </w:r>
      <w:r>
        <w:t xml:space="preserve">13.00 hodin (1. patro MKD), resp. 12. 10. 2022 v 18.00 </w:t>
      </w:r>
      <w:r>
        <w:lastRenderedPageBreak/>
        <w:t xml:space="preserve">hodin (služební byt), bude nájemce účtovat poplatek </w:t>
      </w:r>
      <w:r>
        <w:rPr>
          <w:b/>
          <w:bCs/>
        </w:rPr>
        <w:t xml:space="preserve">4.500 Kč + 21% DPH </w:t>
      </w:r>
      <w:r>
        <w:t>za každou započatou hodinu až do předání prázdných a zkontrolovaných prostor odpovědnému zástupci nájemce.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21"/>
        </w:tabs>
        <w:ind w:left="380" w:hanging="380"/>
        <w:jc w:val="both"/>
      </w:pPr>
      <w:r>
        <w:t>Podnájemce se zavazuje,</w:t>
      </w:r>
      <w:r>
        <w:t xml:space="preserve"> že v případě porušení zákazu dle odst. 10 tohoto článku, uhradí nájemci způsobenou škodu v plném rozsahu. Strany dále sjednávají pro případ porušení zákazu dle odst. 10 tohoto článku smluvní pokutu ve výši </w:t>
      </w:r>
      <w:r>
        <w:rPr>
          <w:b/>
          <w:bCs/>
        </w:rPr>
        <w:t xml:space="preserve">10.000 Kč </w:t>
      </w:r>
      <w:r>
        <w:t xml:space="preserve">V případě uplatnění nároku na úhradu </w:t>
      </w:r>
      <w:r>
        <w:t xml:space="preserve">smluvní pokuty nájemcem, se škoda dle věty </w:t>
      </w:r>
      <w:proofErr w:type="gramStart"/>
      <w:r>
        <w:t>první</w:t>
      </w:r>
      <w:proofErr w:type="gramEnd"/>
      <w:r>
        <w:t xml:space="preserve"> tohoto </w:t>
      </w:r>
      <w:proofErr w:type="gramStart"/>
      <w:r>
        <w:t>odstavce</w:t>
      </w:r>
      <w:proofErr w:type="gramEnd"/>
      <w:r>
        <w:t xml:space="preserve"> hradí ve výši přesahující výši smluvní pokuty.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17"/>
        </w:tabs>
        <w:ind w:left="380" w:hanging="380"/>
        <w:jc w:val="both"/>
      </w:pPr>
      <w:r>
        <w:t xml:space="preserve">Pro případ vzniku škody porušením zákazu dle odst. 8 a 11 tohoto článku, strany sjednávají smluvní pokutu ve výši </w:t>
      </w:r>
      <w:r>
        <w:rPr>
          <w:b/>
          <w:bCs/>
        </w:rPr>
        <w:t>10.000 Kč.</w:t>
      </w:r>
    </w:p>
    <w:p w:rsidR="00E6064B" w:rsidRDefault="002F5515">
      <w:pPr>
        <w:pStyle w:val="Zkladntext1"/>
        <w:numPr>
          <w:ilvl w:val="0"/>
          <w:numId w:val="8"/>
        </w:numPr>
        <w:tabs>
          <w:tab w:val="left" w:pos="417"/>
        </w:tabs>
        <w:spacing w:after="240" w:line="276" w:lineRule="auto"/>
        <w:ind w:left="380" w:hanging="380"/>
        <w:jc w:val="both"/>
      </w:pPr>
      <w:r>
        <w:t xml:space="preserve">Podnájemce bere na </w:t>
      </w:r>
      <w:r>
        <w:t>vědomí a je srozuměn s tím, že nájemce neposkytuje prostory k pronájmu za účelem propagace politických stran či hnutí, či za účelem propagace politicky angažované osoby či osob, ani za účelem politických kampaní, setkání veřejnosti se zástupci konkrétní po</w:t>
      </w:r>
      <w:r>
        <w:t>litické strany či hnutí, a to v jakékoliv formě. V pronajatých i dalších prostorách MKD je zakázáno umísťování jakýchkoliv reklamních poutačů politických stran či hnutí, jakož i rozdávání tiskovin propagujících politické strany nebo politicky angažované os</w:t>
      </w:r>
      <w:r>
        <w:t>oby či informující o jejich činnosti a programu. Jakékoliv porušení tohoto zákazu, ať už před akcí, či v jejím průběhu, je považováno za hrubé porušení této smlouvy. V případě porušení tohoto zákazu, je nájemce oprávněn s okamžitou účinností odstoupit od s</w:t>
      </w:r>
      <w:r>
        <w:t xml:space="preserve">mlouvy a dále neposkytovat součinnost při přípravě či realizaci akce. V takovém případě nemá podnájemce nárok na vrácení již uhrazeného nájemného. Podnájemce v této souvislosti odpovídá za jednání svých zaměstnanců nebo osob, kterým do </w:t>
      </w:r>
      <w:proofErr w:type="spellStart"/>
      <w:r>
        <w:t>podnajatých</w:t>
      </w:r>
      <w:proofErr w:type="spellEnd"/>
      <w:r>
        <w:t xml:space="preserve"> prostor </w:t>
      </w:r>
      <w:r>
        <w:t>v souvislosti s realizací akce umožnil přístup, jako by se tohoto jednání dopustil sám.</w:t>
      </w:r>
    </w:p>
    <w:p w:rsidR="00E6064B" w:rsidRDefault="002F5515">
      <w:pPr>
        <w:pStyle w:val="Nadpis50"/>
        <w:keepNext/>
        <w:keepLines/>
        <w:numPr>
          <w:ilvl w:val="0"/>
          <w:numId w:val="4"/>
        </w:numPr>
        <w:tabs>
          <w:tab w:val="left" w:pos="411"/>
        </w:tabs>
      </w:pPr>
      <w:bookmarkStart w:id="6" w:name="bookmark12"/>
      <w:r>
        <w:t>Odstoupení od smlouvy, výpověď</w:t>
      </w:r>
      <w:bookmarkEnd w:id="6"/>
    </w:p>
    <w:p w:rsidR="00E6064B" w:rsidRDefault="002F5515">
      <w:pPr>
        <w:pStyle w:val="Zkladntext1"/>
        <w:numPr>
          <w:ilvl w:val="0"/>
          <w:numId w:val="9"/>
        </w:numPr>
        <w:tabs>
          <w:tab w:val="left" w:pos="411"/>
        </w:tabs>
        <w:jc w:val="both"/>
      </w:pPr>
      <w:r>
        <w:t>Podnájem končí uplynutím doby, na kterou byl sjednán.</w:t>
      </w:r>
    </w:p>
    <w:p w:rsidR="00E6064B" w:rsidRDefault="002F5515">
      <w:pPr>
        <w:pStyle w:val="Zkladntext1"/>
        <w:numPr>
          <w:ilvl w:val="0"/>
          <w:numId w:val="9"/>
        </w:numPr>
        <w:tabs>
          <w:tab w:val="left" w:pos="411"/>
        </w:tabs>
        <w:ind w:left="380" w:hanging="380"/>
        <w:jc w:val="both"/>
      </w:pPr>
      <w:r>
        <w:t xml:space="preserve">Nájemce i podnájemce mohou od smlouvy odstoupit nebo ji vypovědět pouze z důvodů a </w:t>
      </w:r>
      <w:r>
        <w:t>za podmínek touto smlouvou stanovených.</w:t>
      </w:r>
    </w:p>
    <w:p w:rsidR="00E6064B" w:rsidRDefault="002F5515">
      <w:pPr>
        <w:pStyle w:val="Zkladntext1"/>
        <w:numPr>
          <w:ilvl w:val="0"/>
          <w:numId w:val="9"/>
        </w:numPr>
        <w:tabs>
          <w:tab w:val="left" w:pos="411"/>
        </w:tabs>
        <w:jc w:val="both"/>
      </w:pPr>
      <w:r>
        <w:t>Nájemce i podnájemce mohou od smlouvy odstoupit z důvodů vyšší moci objektivní (vis maior), za kterou se považují živelné pohromy, mobilizace, nařízení vlády, epidemie, nebo jiné neodvratitelné události, které znemož</w:t>
      </w:r>
      <w:r>
        <w:t>ňují plnění povinnosti dle této smlouvy. V takovém případě nemá žádná ze smluvních stran nárok na finanční náhradu nákladů, které jí v souvislosti s odstoupením od smlouvy vznikly. Smluvní strana, u níž dojde k okolnosti objektivní vyšší moci, a bude se ch</w:t>
      </w:r>
      <w:r>
        <w:t>tít na vyšší moc odvolat v souvislosti s plněním této smlouvy, je povinna neprodleně písemně uvědomit druhou smluvní stranu. Smluvní strany se mohou dohodnout na odpovídající změně této smlouvy ve vztahu k termínu konání dodatkem k této smlouvě. Za vyšší m</w:t>
      </w:r>
      <w:r>
        <w:t>oc subjektivní lze považovat též nemoc účinkujících (nutno doložit lékařskou zprávou), úmrtí v rodině účinkujících či z veřejných zdrojů/objektivně doložitelnou nesjízdnost silnic. Za vyšší moc není považována nemoc pracovníků smluvních stran.</w:t>
      </w:r>
    </w:p>
    <w:p w:rsidR="00E6064B" w:rsidRDefault="002F5515">
      <w:pPr>
        <w:pStyle w:val="Zkladntext1"/>
        <w:numPr>
          <w:ilvl w:val="0"/>
          <w:numId w:val="9"/>
        </w:numPr>
        <w:tabs>
          <w:tab w:val="left" w:pos="411"/>
        </w:tabs>
        <w:ind w:left="380" w:hanging="380"/>
        <w:jc w:val="both"/>
      </w:pPr>
      <w:r>
        <w:t>Podnájemce m</w:t>
      </w:r>
      <w:r>
        <w:t>ůže od smlouvy odstoupit z jiných důvodů, než jsou uvedeny v odst. 3 tohoto článku bez náhrady, oznámí-li to písemně nájemci v době nejméně dva týdny před termínem konání akce.</w:t>
      </w:r>
    </w:p>
    <w:p w:rsidR="00E6064B" w:rsidRDefault="002F5515">
      <w:pPr>
        <w:pStyle w:val="Zkladntext1"/>
        <w:numPr>
          <w:ilvl w:val="0"/>
          <w:numId w:val="9"/>
        </w:numPr>
        <w:tabs>
          <w:tab w:val="left" w:pos="411"/>
        </w:tabs>
        <w:spacing w:after="120"/>
        <w:ind w:left="380" w:hanging="380"/>
        <w:jc w:val="both"/>
      </w:pPr>
      <w:r>
        <w:t xml:space="preserve">V případě, že podnájemce odstoupí od smlouvy v pozdějším termínu, než je uvedeno v odst. 4 tohoto článku, sjednávají strany smluvní </w:t>
      </w:r>
      <w:r>
        <w:rPr>
          <w:b/>
          <w:bCs/>
        </w:rPr>
        <w:t xml:space="preserve">pokutu ve výši 50% sjednané ceny nájmu dle článku II. odst. 1. </w:t>
      </w:r>
      <w:r>
        <w:t>Účinnost odstoupení od smlouvy nastává v den doručení písemné</w:t>
      </w:r>
      <w:r>
        <w:t>ho oznámení o odstoupení od smlouvy nájemci.</w:t>
      </w:r>
      <w:r>
        <w:br w:type="page"/>
      </w:r>
    </w:p>
    <w:p w:rsidR="00E6064B" w:rsidRDefault="002F5515">
      <w:pPr>
        <w:pStyle w:val="Zkladntext1"/>
        <w:numPr>
          <w:ilvl w:val="0"/>
          <w:numId w:val="9"/>
        </w:numPr>
        <w:tabs>
          <w:tab w:val="left" w:pos="405"/>
        </w:tabs>
        <w:spacing w:after="240"/>
        <w:ind w:left="460" w:hanging="460"/>
        <w:jc w:val="both"/>
      </w:pPr>
      <w:r>
        <w:lastRenderedPageBreak/>
        <w:t>V případě, že od smlouvy odstoupí nájemce z mimořádných důvodů na své straně, pokusí se smluvní strany dojednat poskytnutí prostor v náhradním termínu.</w:t>
      </w:r>
    </w:p>
    <w:p w:rsidR="00E6064B" w:rsidRDefault="002F5515">
      <w:pPr>
        <w:pStyle w:val="Nadpis50"/>
        <w:keepNext/>
        <w:keepLines/>
        <w:numPr>
          <w:ilvl w:val="0"/>
          <w:numId w:val="4"/>
        </w:numPr>
        <w:tabs>
          <w:tab w:val="left" w:pos="456"/>
        </w:tabs>
      </w:pPr>
      <w:bookmarkStart w:id="7" w:name="bookmark14"/>
      <w:r>
        <w:t>Závěrečná ustanovení</w:t>
      </w:r>
      <w:bookmarkEnd w:id="7"/>
    </w:p>
    <w:p w:rsidR="00E6064B" w:rsidRDefault="002F5515">
      <w:pPr>
        <w:pStyle w:val="Zkladntext1"/>
        <w:numPr>
          <w:ilvl w:val="0"/>
          <w:numId w:val="10"/>
        </w:numPr>
        <w:tabs>
          <w:tab w:val="left" w:pos="405"/>
        </w:tabs>
      </w:pPr>
      <w:r>
        <w:t>Tato smlouva nabývá účinnosti dnem je</w:t>
      </w:r>
      <w:r>
        <w:t>jího podpisu oběma smluvními stranami.</w:t>
      </w:r>
    </w:p>
    <w:p w:rsidR="00E6064B" w:rsidRDefault="002F5515">
      <w:pPr>
        <w:pStyle w:val="Zkladntext1"/>
        <w:numPr>
          <w:ilvl w:val="0"/>
          <w:numId w:val="10"/>
        </w:numPr>
        <w:tabs>
          <w:tab w:val="left" w:pos="405"/>
        </w:tabs>
        <w:ind w:left="460" w:hanging="460"/>
        <w:jc w:val="both"/>
      </w:pPr>
      <w:r>
        <w:t>Nedílnou součástí této smlouvy jsou přílohy č. 1 -2. Přílohu č. 1 tvoří poučení o BOZP, PO a o rizicích v MKD pro pořadatele kulturních akcí. Přílohu č. 2 tvoří technické podmínky a časový harmonogram.</w:t>
      </w:r>
    </w:p>
    <w:p w:rsidR="00E6064B" w:rsidRDefault="002F5515">
      <w:pPr>
        <w:pStyle w:val="Zkladntext1"/>
        <w:numPr>
          <w:ilvl w:val="0"/>
          <w:numId w:val="10"/>
        </w:numPr>
        <w:tabs>
          <w:tab w:val="left" w:pos="405"/>
        </w:tabs>
        <w:ind w:left="460" w:hanging="460"/>
        <w:jc w:val="both"/>
      </w:pPr>
      <w:r>
        <w:t xml:space="preserve">Jakékoli změny </w:t>
      </w:r>
      <w:r>
        <w:t>a doplňky této smlouvy lze učinit formou písemného dodatku odsouhlaseného oběma smluvními stranami.</w:t>
      </w:r>
    </w:p>
    <w:p w:rsidR="00E6064B" w:rsidRDefault="002F5515">
      <w:pPr>
        <w:pStyle w:val="Zkladntext1"/>
        <w:numPr>
          <w:ilvl w:val="0"/>
          <w:numId w:val="10"/>
        </w:numPr>
        <w:tabs>
          <w:tab w:val="left" w:pos="405"/>
        </w:tabs>
      </w:pPr>
      <w:r>
        <w:t>Právní vztahy touto smlouvou založené se řídí právním řádem České republiky.</w:t>
      </w:r>
    </w:p>
    <w:p w:rsidR="00E6064B" w:rsidRDefault="002F5515">
      <w:pPr>
        <w:pStyle w:val="Zkladntext1"/>
        <w:numPr>
          <w:ilvl w:val="0"/>
          <w:numId w:val="10"/>
        </w:numPr>
        <w:tabs>
          <w:tab w:val="left" w:pos="405"/>
        </w:tabs>
        <w:ind w:left="460" w:hanging="460"/>
        <w:jc w:val="both"/>
      </w:pPr>
      <w:r>
        <w:t xml:space="preserve">Tato smlouva je sepsána ve dvou vyhotoveních s platností originálu, z nichž po </w:t>
      </w:r>
      <w:r>
        <w:t>jednom obdrží každá smluvní strana.</w:t>
      </w:r>
    </w:p>
    <w:p w:rsidR="00E6064B" w:rsidRDefault="002F5515">
      <w:pPr>
        <w:pStyle w:val="Zkladntext1"/>
        <w:numPr>
          <w:ilvl w:val="0"/>
          <w:numId w:val="10"/>
        </w:numPr>
        <w:tabs>
          <w:tab w:val="left" w:pos="405"/>
        </w:tabs>
        <w:spacing w:after="1000"/>
        <w:ind w:left="460" w:hanging="460"/>
        <w:jc w:val="both"/>
      </w:pPr>
      <w:r>
        <w:t>Smluvní strany prohlašují, že si tuto smlouvu přečetly, že byla sepsána dle jejich pravé a svobodné vůle, nikoli v tísni či za jinak nápadně nevýhodných podmínek, jejímu obsahu rozumí a souhlasí s ním, což obě strany stv</w:t>
      </w:r>
      <w:r>
        <w:t>rzují svými podpisy.</w:t>
      </w:r>
    </w:p>
    <w:p w:rsidR="00E6064B" w:rsidRDefault="002F5515">
      <w:pPr>
        <w:pStyle w:val="Zkladntext1"/>
        <w:spacing w:after="200"/>
        <w:jc w:val="both"/>
      </w:pPr>
      <w:r>
        <w:t>V Mělníku, dne 3. 10. 2022</w:t>
      </w:r>
    </w:p>
    <w:p w:rsidR="00182011" w:rsidRDefault="002F5515" w:rsidP="00182011">
      <w:pPr>
        <w:pStyle w:val="Zkladntext30"/>
        <w:spacing w:after="20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70CF26C" wp14:editId="76BD0979">
                <wp:simplePos x="0" y="0"/>
                <wp:positionH relativeFrom="page">
                  <wp:posOffset>672465</wp:posOffset>
                </wp:positionH>
                <wp:positionV relativeFrom="margin">
                  <wp:posOffset>4215130</wp:posOffset>
                </wp:positionV>
                <wp:extent cx="1981835" cy="12128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64B" w:rsidRDefault="00E6064B" w:rsidP="00182011">
                            <w:pPr>
                              <w:pStyle w:val="Titulekobrzku0"/>
                              <w:spacing w:line="18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0CF26C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2.95pt;margin-top:331.9pt;width:156.05pt;height:9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" filled="f" stroked="f">
                <v:textbox inset="0,0,0,0">
                  <w:txbxContent>
                    <w:p w:rsidR="00E6064B" w:rsidRDefault="00E6064B" w:rsidP="00182011">
                      <w:pPr>
                        <w:pStyle w:val="Titulekobrzku0"/>
                        <w:spacing w:line="180" w:lineRule="auto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216AE8" wp14:editId="160F1B2E">
                <wp:simplePos x="0" y="0"/>
                <wp:positionH relativeFrom="page">
                  <wp:posOffset>1273175</wp:posOffset>
                </wp:positionH>
                <wp:positionV relativeFrom="margin">
                  <wp:posOffset>4702175</wp:posOffset>
                </wp:positionV>
                <wp:extent cx="1374140" cy="3359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64B" w:rsidRDefault="002F5515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Ing. Radka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Kareisová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216AE8" id="Shape 13" o:spid="_x0000_s1027" type="#_x0000_t202" style="position:absolute;left:0;text-align:left;margin-left:100.25pt;margin-top:370.25pt;width:108.2pt;height:26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" filled="f" stroked="f">
                <v:textbox inset="0,0,0,0">
                  <w:txbxContent>
                    <w:p w:rsidR="00E6064B" w:rsidRDefault="002F5515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Ing. Radka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Kareisová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049ED2" wp14:editId="464DB1D6">
                <wp:simplePos x="0" y="0"/>
                <wp:positionH relativeFrom="page">
                  <wp:posOffset>4048760</wp:posOffset>
                </wp:positionH>
                <wp:positionV relativeFrom="margin">
                  <wp:posOffset>3376295</wp:posOffset>
                </wp:positionV>
                <wp:extent cx="2226310" cy="19875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064B" w:rsidRDefault="002F5515">
                            <w:pPr>
                              <w:pStyle w:val="Titulekobrzku0"/>
                              <w:tabs>
                                <w:tab w:val="left" w:pos="1940"/>
                              </w:tabs>
                              <w:jc w:val="both"/>
                            </w:pPr>
                            <w:r>
                              <w:t>V Praze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ne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gramStart"/>
                            <w:r>
                              <w:t>5.10.2022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8.80000000000001pt;margin-top:265.85000000000002pt;width:175.30000000000001pt;height:15.6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4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en-US" w:eastAsia="en-US" w:bidi="en-US"/>
                        </w:rPr>
                        <w:t>ne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5.10.2022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82011" w:rsidRPr="00182011" w:rsidRDefault="00182011" w:rsidP="00182011"/>
    <w:p w:rsidR="00182011" w:rsidRPr="00182011" w:rsidRDefault="00182011" w:rsidP="00182011"/>
    <w:p w:rsidR="00182011" w:rsidRPr="00182011" w:rsidRDefault="00182011" w:rsidP="00182011"/>
    <w:p w:rsidR="00182011" w:rsidRDefault="00182011" w:rsidP="00182011"/>
    <w:p w:rsidR="00182011" w:rsidRDefault="00182011" w:rsidP="00182011">
      <w:pPr>
        <w:tabs>
          <w:tab w:val="left" w:pos="6540"/>
        </w:tabs>
      </w:pPr>
      <w:r>
        <w:tab/>
        <w:t>Miloš Veselý</w:t>
      </w:r>
    </w:p>
    <w:p w:rsidR="00E6064B" w:rsidRPr="00182011" w:rsidRDefault="00182011" w:rsidP="00182011">
      <w:pPr>
        <w:tabs>
          <w:tab w:val="left" w:pos="6540"/>
        </w:tabs>
        <w:sectPr w:rsidR="00E6064B" w:rsidRPr="00182011">
          <w:headerReference w:type="default" r:id="rId9"/>
          <w:footerReference w:type="default" r:id="rId10"/>
          <w:type w:val="continuous"/>
          <w:pgSz w:w="11900" w:h="16840"/>
          <w:pgMar w:top="1067" w:right="1042" w:bottom="1330" w:left="1059" w:header="0" w:footer="3" w:gutter="0"/>
          <w:cols w:space="720"/>
          <w:noEndnote/>
          <w:docGrid w:linePitch="360"/>
        </w:sectPr>
      </w:pPr>
      <w:r>
        <w:tab/>
        <w:t>podnájemce</w:t>
      </w:r>
    </w:p>
    <w:p w:rsidR="00E6064B" w:rsidRDefault="00E6064B" w:rsidP="00182011">
      <w:pPr>
        <w:pStyle w:val="Nadpis30"/>
        <w:keepNext/>
        <w:keepLines/>
        <w:jc w:val="both"/>
      </w:pPr>
      <w:bookmarkStart w:id="8" w:name="_GoBack"/>
      <w:bookmarkEnd w:id="8"/>
    </w:p>
    <w:sectPr w:rsidR="00E6064B" w:rsidSect="00182011">
      <w:headerReference w:type="default" r:id="rId11"/>
      <w:footerReference w:type="default" r:id="rId12"/>
      <w:pgSz w:w="11900" w:h="16840"/>
      <w:pgMar w:top="1150" w:right="1112" w:bottom="1150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15" w:rsidRDefault="002F5515">
      <w:r>
        <w:separator/>
      </w:r>
    </w:p>
  </w:endnote>
  <w:endnote w:type="continuationSeparator" w:id="0">
    <w:p w:rsidR="002F5515" w:rsidRDefault="002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4B" w:rsidRDefault="002F55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10086340</wp:posOffset>
              </wp:positionV>
              <wp:extent cx="45720" cy="774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64B" w:rsidRDefault="002F551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011" w:rsidRPr="0018201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95.95pt;margin-top:794.2pt;width:3.6pt;height:6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" filled="f" stroked="f">
              <v:textbox style="mso-fit-shape-to-text:t" inset="0,0,0,0">
                <w:txbxContent>
                  <w:p w:rsidR="00E6064B" w:rsidRDefault="002F5515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011" w:rsidRPr="0018201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4B" w:rsidRDefault="002F55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5928CBA" wp14:editId="422DB2C8">
              <wp:simplePos x="0" y="0"/>
              <wp:positionH relativeFrom="page">
                <wp:posOffset>3750310</wp:posOffset>
              </wp:positionH>
              <wp:positionV relativeFrom="page">
                <wp:posOffset>10107930</wp:posOffset>
              </wp:positionV>
              <wp:extent cx="50165" cy="800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64B" w:rsidRDefault="002F551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011" w:rsidRPr="0018201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28CBA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95.3pt;margin-top:795.9pt;width:3.95pt;height:6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" filled="f" stroked="f">
              <v:textbox style="mso-fit-shape-to-text:t" inset="0,0,0,0">
                <w:txbxContent>
                  <w:p w:rsidR="00E6064B" w:rsidRDefault="002F5515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011" w:rsidRPr="0018201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4B" w:rsidRDefault="002F55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10114280</wp:posOffset>
              </wp:positionV>
              <wp:extent cx="52705" cy="800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64B" w:rsidRDefault="002F551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2011" w:rsidRPr="0018201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293.45pt;margin-top:796.4pt;width:4.15pt;height:6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" filled="f" stroked="f">
              <v:textbox style="mso-fit-shape-to-text:t" inset="0,0,0,0">
                <w:txbxContent>
                  <w:p w:rsidR="00E6064B" w:rsidRDefault="002F5515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2011" w:rsidRPr="0018201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15" w:rsidRDefault="002F5515"/>
  </w:footnote>
  <w:footnote w:type="continuationSeparator" w:id="0">
    <w:p w:rsidR="002F5515" w:rsidRDefault="002F551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4B" w:rsidRDefault="002F55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4622800</wp:posOffset>
              </wp:positionH>
              <wp:positionV relativeFrom="page">
                <wp:posOffset>201930</wp:posOffset>
              </wp:positionV>
              <wp:extent cx="2249170" cy="1917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64B" w:rsidRDefault="002F5515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S/2022/0198 -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pt;margin-top:15.9pt;width:177.09999999999999pt;height:15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S/2022/0198 -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4B" w:rsidRDefault="002F55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78629AE" wp14:editId="60F9ADEF">
              <wp:simplePos x="0" y="0"/>
              <wp:positionH relativeFrom="page">
                <wp:posOffset>4612640</wp:posOffset>
              </wp:positionH>
              <wp:positionV relativeFrom="page">
                <wp:posOffset>196215</wp:posOffset>
              </wp:positionV>
              <wp:extent cx="2244725" cy="1873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4725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64B" w:rsidRDefault="002F5515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S/2022/0198 -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63.19999999999999pt;margin-top:15.450000000000001pt;width:176.75pt;height:14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S/2022/0198 -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4B" w:rsidRDefault="002F55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4595495</wp:posOffset>
              </wp:positionH>
              <wp:positionV relativeFrom="page">
                <wp:posOffset>243205</wp:posOffset>
              </wp:positionV>
              <wp:extent cx="2240280" cy="1917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64B" w:rsidRDefault="002F5515">
                          <w:pPr>
                            <w:pStyle w:val="Zhlavnebozpat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3/2022/0198 -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61.85000000000002pt;margin-top:19.150000000000002pt;width:176.40000000000001pt;height:15.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3/2022/0198 -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B15"/>
    <w:multiLevelType w:val="multilevel"/>
    <w:tmpl w:val="9932A528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82202"/>
    <w:multiLevelType w:val="multilevel"/>
    <w:tmpl w:val="BB16B826"/>
    <w:lvl w:ilvl="0">
      <w:start w:val="1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90D47"/>
    <w:multiLevelType w:val="multilevel"/>
    <w:tmpl w:val="3E9695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D2E6E"/>
    <w:multiLevelType w:val="multilevel"/>
    <w:tmpl w:val="D8A49F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7257"/>
    <w:multiLevelType w:val="multilevel"/>
    <w:tmpl w:val="9DF685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658E8"/>
    <w:multiLevelType w:val="multilevel"/>
    <w:tmpl w:val="02C0F0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761C4"/>
    <w:multiLevelType w:val="multilevel"/>
    <w:tmpl w:val="ADCC1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E52B8A"/>
    <w:multiLevelType w:val="multilevel"/>
    <w:tmpl w:val="2E6657A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035A46"/>
    <w:multiLevelType w:val="multilevel"/>
    <w:tmpl w:val="FC9A24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0D3493"/>
    <w:multiLevelType w:val="multilevel"/>
    <w:tmpl w:val="786AF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122176"/>
    <w:multiLevelType w:val="multilevel"/>
    <w:tmpl w:val="ECC4C8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4B"/>
    <w:rsid w:val="00182011"/>
    <w:rsid w:val="002F5515"/>
    <w:rsid w:val="00E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9812"/>
  <w15:docId w15:val="{DBF7E044-F9EC-4009-846A-45AF818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b/>
      <w:bCs/>
      <w:sz w:val="40"/>
      <w:szCs w:val="40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240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10"/>
      <w:ind w:firstLine="23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00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Nadpis30">
    <w:name w:val="Nadpis #3"/>
    <w:basedOn w:val="Normln"/>
    <w:link w:val="Nadpis3"/>
    <w:pPr>
      <w:spacing w:after="42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pacing w:line="295" w:lineRule="auto"/>
      <w:outlineLvl w:val="3"/>
    </w:pPr>
    <w:rPr>
      <w:rFonts w:ascii="Arial" w:eastAsia="Arial" w:hAnsi="Arial" w:cs="Arial"/>
      <w:sz w:val="28"/>
      <w:szCs w:val="28"/>
      <w:u w:val="single"/>
    </w:rPr>
  </w:style>
  <w:style w:type="paragraph" w:customStyle="1" w:styleId="Zkladntext20">
    <w:name w:val="Základní text (2)"/>
    <w:basedOn w:val="Normln"/>
    <w:link w:val="Zkladntext2"/>
    <w:pPr>
      <w:ind w:left="38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240" w:line="257" w:lineRule="auto"/>
      <w:jc w:val="center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2209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2022-11-23T16:16:00Z</dcterms:created>
  <dcterms:modified xsi:type="dcterms:W3CDTF">2022-11-23T16:21:00Z</dcterms:modified>
</cp:coreProperties>
</file>