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8"/>
        <w:widowControl w:val="0"/>
        <w:keepNext/>
        <w:keepLines/>
        <w:shd w:val="clear" w:color="auto" w:fill="auto"/>
        <w:bidi w:val="0"/>
        <w:spacing w:before="0" w:after="252" w:line="240" w:lineRule="exact"/>
        <w:ind w:left="0" w:righ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DODATEK č. 2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7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ke smlouvě o poskytování pracovnčlékařských služeb uzavřené dne 29. 3. 2013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190" w:line="210" w:lineRule="exact"/>
        <w:ind w:left="444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I.</w:t>
      </w:r>
      <w:bookmarkEnd w:id="2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48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Krajská správa a údržba silnic Vysočiny, příspěvková organizace Kosovská 1122/16, 586 01 Jihlava, IČO 00090450, DIČ CZ 00090450 zastoupená ředitelem Ing. Radovanem Necidem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8" w:line="312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(dále jen objednatel)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172" w:line="240" w:lineRule="exact"/>
        <w:ind w:left="0" w:right="0" w:firstLine="0"/>
      </w:pP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a</w:t>
      </w:r>
      <w:bookmarkEnd w:id="3"/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0" w:line="317" w:lineRule="exact"/>
        <w:ind w:left="0" w:right="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ZaPa Vysočina s.r.o.</w:t>
      </w:r>
      <w:bookmarkEnd w:id="4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148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Horní Cerekev 484, 394 03 Horní Cerekev IČ 28109686, DIČ CZ28109686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(dále jen poskytovatel)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120" w:line="317" w:lineRule="exact"/>
        <w:ind w:left="4440" w:right="0" w:firstLine="0"/>
      </w:pPr>
      <w:bookmarkStart w:id="5" w:name="bookmark5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II.</w:t>
      </w:r>
      <w:bookmarkEnd w:id="5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317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Vzhledem k úpravě cen za pracovnělékařské vyšetření poskytovatele pracovnělékařských služeb, dochází ke změně v čl. IV této smlouvy takto: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0" w:line="317" w:lineRule="exact"/>
        <w:ind w:left="0" w:right="0" w:firstLine="0"/>
      </w:pPr>
      <w:bookmarkStart w:id="6" w:name="bookmark6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Sazba úhrady za pracovnělékařské vyšetření činí:</w:t>
      </w:r>
      <w:bookmarkEnd w:id="6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550,- Kč u kategorie prací 1, 2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700,- Kč u kategorie prací 3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600,- Kč u řidiče z povolání skupiny C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362" w:line="317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1000,- až 1500,- Kč dle časového rozsahu u dohlídky na pracovišti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233" w:line="240" w:lineRule="exact"/>
        <w:ind w:left="4440" w:right="0" w:firstLine="0"/>
      </w:pPr>
      <w:bookmarkStart w:id="7" w:name="bookmark7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III.</w:t>
      </w:r>
      <w:bookmarkEnd w:id="7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8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Ostatní ustanovení shora citované smlouvy se nemění.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180" w:line="240" w:lineRule="exact"/>
        <w:ind w:left="4440" w:right="0" w:firstLine="0"/>
      </w:pPr>
      <w:bookmarkStart w:id="8" w:name="bookmark8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IV.</w:t>
      </w:r>
      <w:bookmarkEnd w:id="8"/>
    </w:p>
    <w:p>
      <w:pPr>
        <w:pStyle w:val="Style3"/>
        <w:numPr>
          <w:ilvl w:val="0"/>
          <w:numId w:val="1"/>
        </w:numPr>
        <w:tabs>
          <w:tab w:leader="none" w:pos="7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6" w:line="312" w:lineRule="exact"/>
        <w:ind w:left="74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Tento dodatek je nedílnou součástí uvedené smlouvy a nabývá platnosti dnem podpisu poslední smluvní strany a účinnosti dnem uveřejnění v informačním systému veřejné správy - Registru smluv.</w:t>
      </w:r>
    </w:p>
    <w:p>
      <w:pPr>
        <w:pStyle w:val="Style3"/>
        <w:numPr>
          <w:ilvl w:val="0"/>
          <w:numId w:val="1"/>
        </w:numPr>
        <w:tabs>
          <w:tab w:leader="none" w:pos="7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 w:line="317" w:lineRule="exact"/>
        <w:ind w:left="74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se dohodly, že zákonnou povinnost dle § 5 odst. 2 zákona č. 340/2015 Sb., v platném znění (zákon o registru smluv) splní objednatel.</w:t>
      </w:r>
    </w:p>
    <w:p>
      <w:pPr>
        <w:pStyle w:val="Style3"/>
        <w:numPr>
          <w:ilvl w:val="0"/>
          <w:numId w:val="1"/>
        </w:numPr>
        <w:tabs>
          <w:tab w:leader="none" w:pos="7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 w:line="317" w:lineRule="exact"/>
        <w:ind w:left="74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Poskytovatel výslovně souhlasí se zveřejněním celého textu tohoto dodatku včetně podpisů v informačním systému veřejné správy - Registru smluv.</w:t>
      </w:r>
    </w:p>
    <w:p>
      <w:pPr>
        <w:pStyle w:val="Style3"/>
        <w:numPr>
          <w:ilvl w:val="0"/>
          <w:numId w:val="1"/>
        </w:numPr>
        <w:tabs>
          <w:tab w:leader="none" w:pos="7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317" w:lineRule="exact"/>
        <w:ind w:left="74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prohlašují, že souhlasí s obsahem dodatku, že byl sepsán na základě jejich pravé a svobodné vůle, vážně a srozumitelně, nikoliv v tísni nebo za nápadně nevýhodných podmínek, a na důkaz toho připojují své vlastnoruční podpisy.</w:t>
      </w:r>
    </w:p>
    <w:p>
      <w:pPr>
        <w:pStyle w:val="Style3"/>
        <w:numPr>
          <w:ilvl w:val="0"/>
          <w:numId w:val="1"/>
        </w:numPr>
        <w:tabs>
          <w:tab w:leader="none" w:pos="7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4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Níže podepsaní zástupci smluvních stran prohlašují, že jsou oprávněni jednat a stvrzovat svým podpisem ujednání tohoto dodatku.</w:t>
      </w: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720" w:right="0" w:hanging="3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.1pt;margin-top:66.95pt;width:67.7pt;height:15.1pt;z-index:-125829376;mso-wrap-distance-left:5.pt;mso-wrap-distance-top:8.4pt;mso-wrap-distance-right:84.7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V Jihlavě dne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91.8pt;margin-top:58.05pt;width:60.7pt;height:21.25pt;z-index:-125829375;mso-wrap-distance-left:91.7pt;mso-wrap-distance-right:5.pt;mso-wrap-distance-bottom:0.3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bookmarkStart w:id="0" w:name="bookmark0"/>
                  <w:r>
                    <w:rPr>
                      <w:lang w:val="cs-CZ" w:eastAsia="cs-CZ" w:bidi="cs-CZ"/>
                      <w:spacing w:val="0"/>
                      <w:color w:val="000000"/>
                      <w:position w:val="0"/>
                    </w:rPr>
                    <w:t>22</w:t>
                  </w:r>
                  <w:r>
                    <w:rPr>
                      <w:rStyle w:val="CharStyle7"/>
                      <w:b/>
                      <w:bCs/>
                    </w:rPr>
                    <w:t>.</w:t>
                  </w:r>
                  <w:r>
                    <w:rPr>
                      <w:lang w:val="cs-CZ" w:eastAsia="cs-CZ" w:bidi="cs-CZ"/>
                      <w:spacing w:val="0"/>
                      <w:color w:val="000000"/>
                      <w:position w:val="0"/>
                    </w:rPr>
                    <w:t>11</w:t>
                  </w:r>
                  <w:r>
                    <w:rPr>
                      <w:rStyle w:val="CharStyle7"/>
                      <w:b/>
                      <w:bCs/>
                    </w:rPr>
                    <w:t xml:space="preserve">. </w:t>
                  </w:r>
                  <w:r>
                    <w:rPr>
                      <w:lang w:val="cs-CZ" w:eastAsia="cs-CZ" w:bidi="cs-CZ"/>
                      <w:spacing w:val="0"/>
                      <w:color w:val="000000"/>
                      <w:position w:val="0"/>
                    </w:rPr>
                    <w:t>2022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6. Dodatek je vyhotoven ve dvou stejnopisech, z nichž každá smluvní strana obdrží jedno vyhotovení.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000" w:right="0" w:firstLine="0"/>
      </w:pPr>
      <w:r>
        <w:pict>
          <v:shape id="_x0000_s1028" type="#_x0000_t202" style="position:absolute;margin-left:46.7pt;margin-top:-1.7pt;width:48.pt;height:15.15pt;z-index:-125829374;mso-wrap-distance-left:5.pt;mso-wrap-distance-right:5.pt;mso-wrap-distance-bottom:19.7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objednatel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poskytovatel</w:t>
      </w:r>
    </w:p>
    <w:sectPr>
      <w:footnotePr>
        <w:pos w:val="pageBottom"/>
        <w:numFmt w:val="decimal"/>
        <w:numRestart w:val="continuous"/>
      </w:footnotePr>
      <w:pgSz w:w="11900" w:h="16840"/>
      <w:pgMar w:top="1469" w:left="1154" w:right="1640" w:bottom="114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Nadpis #1 Exact"/>
    <w:basedOn w:val="DefaultParagraphFont"/>
    <w:link w:val="Style5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  <w:w w:val="60"/>
    </w:rPr>
  </w:style>
  <w:style w:type="character" w:customStyle="1" w:styleId="CharStyle7">
    <w:name w:val="Nadpis #1 + 11,5 pt,Měřítko 100% Exact"/>
    <w:basedOn w:val="CharStyle6"/>
    <w:rPr>
      <w:lang w:val="cs-CZ" w:eastAsia="cs-CZ" w:bidi="cs-CZ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9">
    <w:name w:val="Nadpis #3_"/>
    <w:basedOn w:val="DefaultParagraphFont"/>
    <w:link w:val="Style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Nadpis #2_"/>
    <w:basedOn w:val="DefaultParagraphFont"/>
    <w:link w:val="Style11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4">
    <w:name w:val="Základní text (3)_"/>
    <w:basedOn w:val="DefaultParagraphFont"/>
    <w:link w:val="Style1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Základní text (2)"/>
    <w:basedOn w:val="Normal"/>
    <w:link w:val="CharStyle10"/>
    <w:pPr>
      <w:widowControl w:val="0"/>
      <w:shd w:val="clear" w:color="auto" w:fill="FFFFFF"/>
      <w:spacing w:before="300" w:after="300" w:line="0" w:lineRule="exact"/>
      <w:ind w:hanging="3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  <w:w w:val="60"/>
    </w:rPr>
  </w:style>
  <w:style w:type="paragraph" w:customStyle="1" w:styleId="Style8">
    <w:name w:val="Nadpis #3"/>
    <w:basedOn w:val="Normal"/>
    <w:link w:val="CharStyle9"/>
    <w:pPr>
      <w:widowControl w:val="0"/>
      <w:shd w:val="clear" w:color="auto" w:fill="FFFFFF"/>
      <w:jc w:val="center"/>
      <w:outlineLvl w:val="2"/>
      <w:spacing w:after="3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Nadpis #2"/>
    <w:basedOn w:val="Normal"/>
    <w:link w:val="CharStyle12"/>
    <w:pPr>
      <w:widowControl w:val="0"/>
      <w:shd w:val="clear" w:color="auto" w:fill="FFFFFF"/>
      <w:outlineLvl w:val="1"/>
      <w:spacing w:before="300" w:after="30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3">
    <w:name w:val="Základní text (3)"/>
    <w:basedOn w:val="Normal"/>
    <w:link w:val="CharStyle14"/>
    <w:pPr>
      <w:widowControl w:val="0"/>
      <w:shd w:val="clear" w:color="auto" w:fill="FFFFFF"/>
      <w:spacing w:before="300" w:line="312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