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76"/>
        <w:rPr>
          <w:rFonts w:ascii="Calibri" w:hAnsi="Calibri"/>
        </w:rPr>
      </w:pPr>
      <w:r>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1652270" cy="399415"/>
            <wp:effectExtent l="0" t="0" r="0" b="0"/>
            <wp:wrapTopAndBottom/>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652270" cy="399415"/>
                    </a:xfrm>
                    <a:prstGeom prst="rect">
                      <a:avLst/>
                    </a:prstGeom>
                  </pic:spPr>
                </pic:pic>
              </a:graphicData>
            </a:graphic>
          </wp:anchor>
        </w:drawing>
      </w:r>
      <w:r>
        <w:rPr>
          <w:rFonts w:cs="Calibri" w:ascii="Calibri" w:hAnsi="Calibri" w:asciiTheme="minorHAnsi" w:cstheme="minorHAnsi" w:hAnsiTheme="minorHAnsi"/>
          <w:b/>
          <w:color w:val="auto"/>
        </w:rPr>
        <w:t>čj.</w:t>
      </w:r>
      <w:r>
        <w:rPr>
          <w:rFonts w:cs="Calibri" w:ascii="Calibri" w:hAnsi="Calibri" w:cstheme="minorHAnsi"/>
          <w:b/>
          <w:color w:val="auto"/>
        </w:rPr>
        <w:t xml:space="preserve"> </w:t>
      </w:r>
      <w:r>
        <w:rPr>
          <w:rFonts w:cs="Calibri" w:ascii="Calibri" w:hAnsi="Calibri" w:cstheme="minorHAnsi"/>
          <w:b/>
          <w:color w:val="auto"/>
        </w:rPr>
        <w:t>A/2022/7443</w:t>
      </w:r>
      <w:r>
        <w:rPr>
          <w:rFonts w:cs="Calibri" w:ascii="Calibri" w:hAnsi="Calibri" w:cstheme="minorHAnsi"/>
          <w:b/>
          <w:color w:val="auto"/>
        </w:rPr>
        <w:t xml:space="preserve"> </w:t>
      </w:r>
    </w:p>
    <w:p>
      <w:pPr>
        <w:pStyle w:val="Normal"/>
        <w:tabs>
          <w:tab w:val="clear" w:pos="708"/>
          <w:tab w:val="left" w:pos="1985" w:leader="none"/>
        </w:tabs>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b/>
        </w:rPr>
        <w:t xml:space="preserve">Arcibiskupství pražské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Hradčanské nám. 56/16, 119 02  Praha 1 - Hradčany, IČ: 00445100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Arcidiecézní centrum mládeže, Kostelní náměstí 16, 148 00 Praha 4 – Kunratice</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zastoupené Vojtěchem Smolkou, ředitelem </w:t>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 xml:space="preserve">(dále jako poskytovatel)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rPr>
      </w:pPr>
      <w:r>
        <w:rPr>
          <w:rFonts w:cs="Calibri" w:ascii="Calibri" w:hAnsi="Calibri" w:asciiTheme="minorHAnsi" w:cstheme="minorHAnsi" w:hAnsiTheme="minorHAnsi"/>
        </w:rPr>
        <w:t>a</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1985" w:leader="none"/>
        </w:tabs>
        <w:spacing w:lineRule="auto" w:line="276"/>
        <w:rPr>
          <w:rFonts w:ascii="Calibri" w:hAnsi="Calibri" w:cs="Calibri" w:asciiTheme="minorHAnsi" w:cstheme="minorHAnsi" w:hAnsiTheme="minorHAnsi"/>
          <w:color w:val="auto"/>
          <w:shd w:fill="FFFFFF" w:val="clear"/>
        </w:rPr>
      </w:pPr>
      <w:r>
        <w:rPr>
          <w:rFonts w:cs="Calibri" w:ascii="Calibri" w:hAnsi="Calibri" w:asciiTheme="minorHAnsi" w:cstheme="minorHAnsi" w:hAnsiTheme="minorHAnsi"/>
          <w:b/>
          <w:color w:val="000000"/>
          <w:shd w:fill="FFFFFF" w:val="clear"/>
        </w:rPr>
        <w:t>Gymnázium Josefa Jungmanna, Litoměřice, Svojsíkova 1, příspěvková organizace</w:t>
      </w:r>
      <w:r>
        <w:rPr>
          <w:rFonts w:cs="Calibri" w:ascii="Calibri" w:hAnsi="Calibri" w:asciiTheme="minorHAnsi" w:cstheme="minorHAnsi" w:hAnsiTheme="minorHAnsi"/>
          <w:color w:val="auto"/>
        </w:rPr>
        <w:br/>
      </w:r>
      <w:r>
        <w:rPr>
          <w:rFonts w:cs="Calibri" w:ascii="Calibri" w:hAnsi="Calibri" w:asciiTheme="minorHAnsi" w:cstheme="minorHAnsi" w:hAnsiTheme="minorHAnsi"/>
          <w:color w:val="000000"/>
          <w:shd w:fill="FFFFFF" w:val="clear"/>
        </w:rPr>
        <w:t>Svojsíkova 1015/1a, 412 01 Litoměřice</w:t>
      </w:r>
      <w:r>
        <w:rPr>
          <w:rFonts w:cs="Calibri" w:ascii="Calibri" w:hAnsi="Calibri" w:asciiTheme="minorHAnsi" w:cstheme="minorHAnsi" w:hAnsiTheme="minorHAnsi"/>
          <w:color w:val="auto"/>
        </w:rPr>
        <w:t xml:space="preserve">, </w:t>
      </w:r>
      <w:r>
        <w:rPr>
          <w:rFonts w:cs="Calibri" w:ascii="Calibri" w:hAnsi="Calibri" w:asciiTheme="minorHAnsi" w:cstheme="minorHAnsi" w:hAnsiTheme="minorHAnsi"/>
          <w:color w:val="000000"/>
          <w:shd w:fill="FFFFFF" w:val="clear"/>
        </w:rPr>
        <w:t>IČ: 46773673</w:t>
      </w:r>
    </w:p>
    <w:p>
      <w:pPr>
        <w:pStyle w:val="Normal"/>
        <w:tabs>
          <w:tab w:val="clear" w:pos="708"/>
          <w:tab w:val="left" w:pos="1985" w:leader="none"/>
        </w:tabs>
        <w:spacing w:lineRule="auto" w:line="276"/>
        <w:rPr>
          <w:rFonts w:ascii="Calibri" w:hAnsi="Calibri" w:cs="Calibri" w:asciiTheme="minorHAnsi" w:cstheme="minorHAnsi" w:hAnsiTheme="minorHAnsi"/>
          <w:b/>
          <w:b/>
          <w:color w:val="auto"/>
        </w:rPr>
      </w:pPr>
      <w:r>
        <w:rPr>
          <w:rStyle w:val="Strong"/>
          <w:rFonts w:cs="Calibri" w:ascii="Calibri" w:hAnsi="Calibri" w:asciiTheme="minorHAnsi" w:cstheme="minorHAnsi" w:hAnsiTheme="minorHAnsi"/>
          <w:b w:val="false"/>
          <w:color w:val="000000"/>
          <w:shd w:fill="FFFFFF" w:val="clear"/>
        </w:rPr>
        <w:t>zastoupené</w:t>
      </w:r>
      <w:r>
        <w:rPr>
          <w:rStyle w:val="Strong"/>
          <w:rFonts w:cs="Calibri" w:ascii="Calibri" w:hAnsi="Calibri" w:asciiTheme="minorHAnsi" w:cstheme="minorHAnsi" w:hAnsiTheme="minorHAnsi"/>
          <w:color w:val="000000"/>
          <w:shd w:fill="FFFFFF" w:val="clear"/>
        </w:rPr>
        <w:t xml:space="preserve"> </w:t>
      </w:r>
      <w:r>
        <w:rPr>
          <w:rFonts w:cs="Calibri" w:ascii="Calibri" w:hAnsi="Calibri" w:asciiTheme="minorHAnsi" w:cstheme="minorHAnsi" w:hAnsiTheme="minorHAnsi"/>
          <w:color w:val="000000"/>
          <w:shd w:fill="FFFFFF" w:val="clear"/>
        </w:rPr>
        <w:t>RNDr. Bc. Radkou Balounovou, Ph.D.</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 xml:space="preserve">(dále jako objednatel) </w:t>
      </w:r>
    </w:p>
    <w:p>
      <w:pPr>
        <w:pStyle w:val="Normal"/>
        <w:tabs>
          <w:tab w:val="clear" w:pos="708"/>
          <w:tab w:val="left" w:pos="1985" w:leader="none"/>
        </w:tabs>
        <w:spacing w:lineRule="auto" w:line="276"/>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uzavírají</w:t>
      </w:r>
    </w:p>
    <w:p>
      <w:pPr>
        <w:pStyle w:val="Normal"/>
        <w:spacing w:lineRule="auto" w:line="276"/>
        <w:rPr>
          <w:rFonts w:ascii="Calibri" w:hAnsi="Calibri" w:cs="Calibri" w:cstheme="minorHAnsi"/>
          <w:b/>
          <w:b/>
        </w:rPr>
      </w:pPr>
      <w:r>
        <w:rPr>
          <w:rFonts w:cs="Calibri" w:cstheme="minorHAnsi" w:ascii="Calibri" w:hAnsi="Calibri"/>
          <w:b/>
        </w:rPr>
      </w:r>
    </w:p>
    <w:p>
      <w:pPr>
        <w:pStyle w:val="Normal"/>
        <w:tabs>
          <w:tab w:val="clear" w:pos="708"/>
          <w:tab w:val="left" w:pos="1985" w:leader="none"/>
        </w:tabs>
        <w:spacing w:lineRule="auto" w:line="276"/>
        <w:jc w:val="center"/>
        <w:rPr>
          <w:rFonts w:ascii="Calibri" w:hAnsi="Calibri"/>
          <w:sz w:val="32"/>
          <w:szCs w:val="32"/>
        </w:rPr>
      </w:pPr>
      <w:r>
        <w:rPr>
          <w:rFonts w:cs="Calibri" w:ascii="Calibri" w:hAnsi="Calibri" w:asciiTheme="minorHAnsi" w:cstheme="minorHAnsi" w:hAnsiTheme="minorHAnsi"/>
          <w:b/>
          <w:sz w:val="32"/>
          <w:szCs w:val="32"/>
        </w:rPr>
        <w:t xml:space="preserve">SMLOUVU O POSKYTOVÁNÍ SLUŽEB </w:t>
      </w:r>
    </w:p>
    <w:p>
      <w:pPr>
        <w:pStyle w:val="Normal"/>
        <w:spacing w:lineRule="auto" w:line="276"/>
        <w:jc w:val="center"/>
        <w:rPr>
          <w:rFonts w:ascii="Calibri" w:hAnsi="Calibri"/>
        </w:rPr>
      </w:pPr>
      <w:r>
        <w:rPr>
          <w:rFonts w:cs="Calibri" w:ascii="Calibri" w:hAnsi="Calibri" w:asciiTheme="minorHAnsi" w:cstheme="minorHAnsi" w:hAnsiTheme="minorHAnsi"/>
        </w:rPr>
        <w:t xml:space="preserve">dle ustanovení § 1746 odst. 2, zákona č.89/2012 Sb., občanský zákoník, </w:t>
      </w:r>
    </w:p>
    <w:p>
      <w:pPr>
        <w:pStyle w:val="Normal"/>
        <w:spacing w:lineRule="auto" w:line="276"/>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Předmět smlouvy </w:t>
      </w:r>
    </w:p>
    <w:p>
      <w:pPr>
        <w:pStyle w:val="ListParagraph"/>
        <w:numPr>
          <w:ilvl w:val="0"/>
          <w:numId w:val="5"/>
        </w:numPr>
        <w:spacing w:lineRule="auto" w:line="276"/>
        <w:jc w:val="both"/>
        <w:rPr>
          <w:rFonts w:ascii="Calibri" w:hAnsi="Calibri"/>
        </w:rPr>
      </w:pPr>
      <w:r>
        <w:rPr>
          <w:rFonts w:ascii="Calibri" w:hAnsi="Calibri"/>
        </w:rPr>
        <w:t xml:space="preserve">Předmětem smlouvy je závazek poskytovatele uskutečnit pro objednatele kurz INVENIO a závazek objednatele zaplatit níže sjednanou cenu.  </w:t>
      </w:r>
    </w:p>
    <w:p>
      <w:pPr>
        <w:pStyle w:val="ListParagraph"/>
        <w:numPr>
          <w:ilvl w:val="0"/>
          <w:numId w:val="5"/>
        </w:numPr>
        <w:spacing w:lineRule="auto" w:line="276"/>
        <w:jc w:val="both"/>
        <w:rPr/>
      </w:pPr>
      <w:r>
        <w:rPr>
          <w:rFonts w:ascii="Calibri" w:hAnsi="Calibri"/>
        </w:rPr>
        <w:t>INVENIO je třídenní tematický kurz pro třídní</w:t>
      </w:r>
      <w:r>
        <w:rPr>
          <w:rStyle w:val="Appleconvertedspace"/>
          <w:rFonts w:ascii="Calibri" w:hAnsi="Calibri"/>
        </w:rPr>
        <w:t> </w:t>
      </w:r>
      <w:r>
        <w:rPr>
          <w:rFonts w:ascii="Calibri" w:hAnsi="Calibri"/>
        </w:rPr>
        <w:t xml:space="preserve">kolektiv převážně základních a středních škol, jehož cílem je interaktivně, zážitkově a netradičně rozvíjet postoje, dovednosti a znalosti studentů, působit v oblasti všeobecné primární prevence a povzbuzovat pozitivní klima třídy. </w:t>
      </w:r>
    </w:p>
    <w:p>
      <w:pPr>
        <w:pStyle w:val="ListParagraph"/>
        <w:spacing w:lineRule="auto" w:line="276"/>
        <w:ind w:left="1068" w:hanging="0"/>
        <w:jc w:val="center"/>
        <w:rPr>
          <w:rFonts w:ascii="Calibri" w:hAnsi="Calibri" w:cs="Calibri" w:cs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Doba a místo plnění </w:t>
      </w:r>
    </w:p>
    <w:p>
      <w:pPr>
        <w:pStyle w:val="ListParagraph"/>
        <w:numPr>
          <w:ilvl w:val="0"/>
          <w:numId w:val="3"/>
        </w:numPr>
        <w:spacing w:lineRule="auto" w:line="276"/>
        <w:ind w:left="709" w:hanging="360"/>
        <w:jc w:val="both"/>
        <w:rPr>
          <w:rFonts w:ascii="Calibri" w:hAnsi="Calibri"/>
        </w:rPr>
      </w:pPr>
      <w:r>
        <w:rPr>
          <w:rFonts w:cs="Calibri" w:ascii="Calibri" w:hAnsi="Calibri" w:asciiTheme="minorHAnsi" w:cstheme="minorHAnsi" w:hAnsiTheme="minorHAnsi"/>
        </w:rPr>
        <w:t xml:space="preserve">Kurz se uskuteční ve </w:t>
      </w:r>
      <w:r>
        <w:rPr>
          <w:rFonts w:cs="Calibri" w:ascii="Calibri" w:hAnsi="Calibri" w:asciiTheme="minorHAnsi" w:cstheme="minorHAnsi" w:hAnsiTheme="minorHAnsi"/>
          <w:color w:val="auto"/>
        </w:rPr>
        <w:t xml:space="preserve">dnech </w:t>
      </w:r>
      <w:r>
        <w:rPr>
          <w:rFonts w:cs="Calibri" w:ascii="Calibri" w:hAnsi="Calibri" w:asciiTheme="minorHAnsi" w:cstheme="minorHAnsi" w:hAnsiTheme="minorHAnsi"/>
          <w:b/>
          <w:color w:val="auto"/>
        </w:rPr>
        <w:t>17. – 19. 10. 2022</w:t>
      </w:r>
      <w:r>
        <w:rPr>
          <w:rFonts w:cs="Calibri" w:ascii="Calibri" w:hAnsi="Calibri" w:asciiTheme="minorHAnsi" w:cstheme="minorHAnsi" w:hAnsiTheme="minorHAnsi"/>
          <w:color w:val="auto"/>
        </w:rPr>
        <w:t xml:space="preserve"> v </w:t>
      </w:r>
      <w:r>
        <w:rPr>
          <w:rFonts w:cs="Calibri" w:ascii="Calibri" w:hAnsi="Calibri" w:asciiTheme="minorHAnsi" w:cstheme="minorHAnsi" w:hAnsiTheme="minorHAnsi"/>
        </w:rPr>
        <w:t xml:space="preserve">prostorách Komunitního centra Farní dvůr, </w:t>
      </w:r>
      <w:r>
        <w:rPr>
          <w:rFonts w:ascii="Calibri" w:hAnsi="Calibri"/>
        </w:rPr>
        <w:t>Domkářská 21/1, 102 00 Praha 15-Hostivař.</w:t>
      </w:r>
    </w:p>
    <w:p>
      <w:pPr>
        <w:pStyle w:val="Normal"/>
        <w:spacing w:lineRule="auto" w:line="276"/>
        <w:jc w:val="center"/>
        <w:rPr>
          <w:rFonts w:ascii="Calibri" w:hAnsi="Calibri" w:cs="Calibri" w:cstheme="minorHAnsi"/>
          <w:b/>
          <w:b/>
        </w:rPr>
      </w:pPr>
      <w:r>
        <w:rPr>
          <w:rFonts w:cs="Calibri" w:cstheme="minorHAnsi" w:ascii="Calibri" w:hAnsi="Calibri"/>
          <w:b/>
        </w:rPr>
      </w:r>
    </w:p>
    <w:p>
      <w:pPr>
        <w:pStyle w:val="Normal"/>
        <w:spacing w:lineRule="auto" w:line="276"/>
        <w:jc w:val="center"/>
        <w:rPr>
          <w:rFonts w:ascii="Calibri" w:hAnsi="Calibri"/>
        </w:rPr>
      </w:pPr>
      <w:r>
        <w:rPr>
          <w:rFonts w:cs="Calibri" w:ascii="Calibri" w:hAnsi="Calibri" w:asciiTheme="minorHAnsi" w:cstheme="minorHAnsi" w:hAnsiTheme="minorHAnsi"/>
          <w:b/>
        </w:rPr>
        <w:t>III.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 xml:space="preserve">Cena, platební podmínky, storno poplatky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Celkovou cenu tvoří cena za ubytování a stravu (plná penze) a cena za realizaci kurzu (kurzovné).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Výše celkové ceny pro žáky činí </w:t>
      </w:r>
      <w:r>
        <w:rPr>
          <w:rFonts w:cs="Calibri" w:ascii="Calibri" w:hAnsi="Calibri" w:asciiTheme="minorHAnsi" w:cstheme="minorHAnsi" w:hAnsiTheme="minorHAnsi"/>
          <w:b/>
          <w:color w:val="auto"/>
        </w:rPr>
        <w:t>1990 Kč/os</w:t>
      </w:r>
      <w:r>
        <w:rPr>
          <w:rFonts w:cs="Calibri" w:ascii="Calibri" w:hAnsi="Calibri" w:asciiTheme="minorHAnsi" w:cstheme="minorHAnsi" w:hAnsiTheme="minorHAnsi"/>
          <w:color w:val="auto"/>
        </w:rPr>
        <w:t xml:space="preserve"> </w:t>
      </w:r>
      <w:r>
        <w:rPr>
          <w:rFonts w:cs="Calibri" w:ascii="Calibri" w:hAnsi="Calibri" w:asciiTheme="minorHAnsi" w:cstheme="minorHAnsi" w:hAnsiTheme="minorHAnsi"/>
        </w:rPr>
        <w:t xml:space="preserve">a stanoví se po skončení kurzu, na základě skutečného počtu účastníků. </w:t>
      </w:r>
    </w:p>
    <w:p>
      <w:pPr>
        <w:pStyle w:val="Normal"/>
        <w:numPr>
          <w:ilvl w:val="0"/>
          <w:numId w:val="1"/>
        </w:numPr>
        <w:spacing w:lineRule="auto" w:line="276"/>
        <w:jc w:val="both"/>
        <w:rPr>
          <w:spacing w:val="-2"/>
        </w:rPr>
      </w:pPr>
      <w:r>
        <w:rPr>
          <w:rFonts w:cs="Calibri" w:ascii="Calibri" w:hAnsi="Calibri"/>
          <w:color w:val="auto"/>
          <w:spacing w:val="-2"/>
        </w:rPr>
        <w:t>Účastníkům, kteří kurz předčasně ukončí, ne však vlastním zaviněním, bude účtována cena snížená poměrně podle množství a rozsahu čerpaných služeb (ubytování, strava, kurzovné).</w:t>
      </w:r>
      <w:r>
        <w:rPr>
          <w:rFonts w:ascii="Calibri" w:hAnsi="Calibri"/>
          <w:color w:val="auto"/>
          <w:spacing w:val="-2"/>
        </w:rPr>
        <w:t xml:space="preserve">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Celková cena bude uhrazena na základě faktury vystavené poskytovatelem po skončení kurzu, a to bezhotovostně na bankovní účet poskytovatele č. 45301130/2700. Objednatel se zavazuje uhradit vystavenou fakturu poskytovatele dle splatnosti.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Objednatel souhlasí ve smyslu § 26 odst. 3 zák. č. 235/2004 Sb. o dani z přidané hodnoty se zasláním faktur v elektronické podobě. Elektronicky zaslané faktury splňují veškeré náležitosti podle platných právních předpisů.</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rPr>
        <w:t xml:space="preserve">V případě zrušení rezervace objednatelem méně než 30 kalendářních dní před začátkem kurzu vzniká poskytovateli právo na storno poplatek ve výši 3000 Kč za celou třídu. Zrušení rezervace méně než 14 kalendářních dnů před začátkem kurzu je zpoplatněno částkou 5000 Kč za celou třídu, kterou se objednatel zavazuje uhradit. </w:t>
      </w:r>
    </w:p>
    <w:p>
      <w:pPr>
        <w:pStyle w:val="Normal"/>
        <w:numPr>
          <w:ilvl w:val="0"/>
          <w:numId w:val="1"/>
        </w:numPr>
        <w:spacing w:lineRule="auto" w:line="276"/>
        <w:jc w:val="both"/>
        <w:rPr>
          <w:rFonts w:ascii="Calibri" w:hAnsi="Calibri"/>
        </w:rPr>
      </w:pPr>
      <w:r>
        <w:rPr>
          <w:rFonts w:cs="Calibri" w:ascii="Calibri" w:hAnsi="Calibri" w:asciiTheme="minorHAnsi" w:cstheme="minorHAnsi" w:hAnsiTheme="minorHAnsi"/>
          <w:color w:val="auto"/>
        </w:rPr>
        <w:t xml:space="preserve">V případě zrušení rezervace objednatelem z důvodu způsobeném vis maior, např. při nařízení karantény z důvodu nemoci covid-19 se na objednatele nevztahuje závazek čl. III. odst. 6. Avšak je-li objednatelem kurz zrušen méně než 1 pracovní den před dnem začátku kurzu, objednatel se zavazuje uhradit storno poplatek ve výši 1000 Kč za celou třídu. </w:t>
      </w:r>
    </w:p>
    <w:p>
      <w:pPr>
        <w:pStyle w:val="Normal"/>
        <w:spacing w:lineRule="auto" w:line="276"/>
        <w:jc w:val="center"/>
        <w:rPr>
          <w:rFonts w:ascii="Calibri" w:hAnsi="Calibri" w:cs="Calibri" w:asciiTheme="minorHAnsi" w:cstheme="minorHAnsi" w:hAnsiTheme="minorHAnsi"/>
        </w:rPr>
      </w:pPr>
      <w:r>
        <w:rPr>
          <w:rFonts w:cs="Calibri" w:cstheme="minorHAnsi"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IV.</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Práva a povinnosti smluvních stran</w:t>
      </w:r>
    </w:p>
    <w:p>
      <w:pPr>
        <w:pStyle w:val="ListParagraph"/>
        <w:numPr>
          <w:ilvl w:val="0"/>
          <w:numId w:val="6"/>
        </w:numPr>
        <w:spacing w:lineRule="auto" w:line="276"/>
        <w:jc w:val="both"/>
        <w:rPr>
          <w:rFonts w:ascii="Calibri" w:hAnsi="Calibri"/>
        </w:rPr>
      </w:pPr>
      <w:r>
        <w:rPr>
          <w:rFonts w:ascii="Calibri" w:hAnsi="Calibri"/>
        </w:rPr>
        <w:t xml:space="preserve">Poskytovatel bere na sebe po dobu kurzu plnou odpovědnost za program a bezpečnost účastníků kurzu během programu. </w:t>
      </w:r>
    </w:p>
    <w:p>
      <w:pPr>
        <w:pStyle w:val="ListParagraph"/>
        <w:numPr>
          <w:ilvl w:val="0"/>
          <w:numId w:val="6"/>
        </w:numPr>
        <w:spacing w:lineRule="auto" w:line="276"/>
        <w:jc w:val="both"/>
        <w:rPr>
          <w:rFonts w:ascii="Calibri" w:hAnsi="Calibri"/>
        </w:rPr>
      </w:pPr>
      <w:r>
        <w:rPr>
          <w:rFonts w:ascii="Calibri" w:hAnsi="Calibri"/>
        </w:rPr>
        <w:t xml:space="preserve">V době volna (zejména po obědě, večeři, po skončení večerního programu a v noci) odpovídá za bezpečnost účastníků pedagogický doprovod. </w:t>
      </w:r>
    </w:p>
    <w:p>
      <w:pPr>
        <w:pStyle w:val="ListParagraph"/>
        <w:numPr>
          <w:ilvl w:val="0"/>
          <w:numId w:val="6"/>
        </w:numPr>
        <w:spacing w:lineRule="auto" w:line="276"/>
        <w:jc w:val="both"/>
        <w:rPr/>
      </w:pPr>
      <w:r>
        <w:rPr>
          <w:rFonts w:ascii="Calibri" w:hAnsi="Calibri"/>
          <w:spacing w:val="-2"/>
        </w:rPr>
        <w:t>V případě potřeby bude během programu účastníkům ze strany poskytovatele zabezpečena zdravotnická pomoc.</w:t>
      </w:r>
    </w:p>
    <w:p>
      <w:pPr>
        <w:pStyle w:val="ListParagraph"/>
        <w:numPr>
          <w:ilvl w:val="0"/>
          <w:numId w:val="6"/>
        </w:numPr>
        <w:spacing w:lineRule="auto" w:line="276"/>
        <w:jc w:val="both"/>
        <w:rPr/>
      </w:pPr>
      <w:r>
        <w:rPr>
          <w:rFonts w:ascii="Calibri" w:hAnsi="Calibri"/>
          <w:spacing w:val="-4"/>
        </w:rPr>
        <w:t>P</w:t>
      </w:r>
      <w:r>
        <w:rPr>
          <w:rStyle w:val="Normaltextrun"/>
          <w:rFonts w:ascii="Calibri" w:hAnsi="Calibri"/>
          <w:spacing w:val="-4"/>
        </w:rPr>
        <w:t>o skončení kurzu předá poskytovatel objednateli bezplatně fotografie, příp. videonahrávky</w:t>
      </w:r>
      <w:r>
        <w:rPr>
          <w:rStyle w:val="Normaltextrun"/>
          <w:rFonts w:ascii="Calibri" w:hAnsi="Calibri"/>
        </w:rPr>
        <w:t xml:space="preserve">, pořízené v jeho průběhu. Při nakládání s těmito materiály postupují obě smluvní strany v souladu s platnou legislativou. </w:t>
      </w:r>
    </w:p>
    <w:p>
      <w:pPr>
        <w:pStyle w:val="Normal"/>
        <w:spacing w:lineRule="auto" w:line="276"/>
        <w:jc w:val="center"/>
        <w:rPr>
          <w:rFonts w:ascii="Calibri" w:hAnsi="Calibri"/>
        </w:rPr>
      </w:pPr>
      <w:r>
        <w:rPr>
          <w:rFonts w:ascii="Calibri" w:hAnsi="Calibri"/>
        </w:rPr>
      </w:r>
    </w:p>
    <w:p>
      <w:pPr>
        <w:pStyle w:val="Normal"/>
        <w:spacing w:lineRule="auto" w:line="276"/>
        <w:jc w:val="center"/>
        <w:rPr>
          <w:rFonts w:ascii="Calibri" w:hAnsi="Calibri"/>
        </w:rPr>
      </w:pPr>
      <w:r>
        <w:rPr>
          <w:rFonts w:cs="Calibri" w:ascii="Calibri" w:hAnsi="Calibri" w:asciiTheme="minorHAnsi" w:cstheme="minorHAnsi" w:hAnsiTheme="minorHAnsi"/>
          <w:b/>
        </w:rPr>
        <w:t>V.</w:t>
      </w:r>
    </w:p>
    <w:p>
      <w:pPr>
        <w:pStyle w:val="Normal"/>
        <w:spacing w:lineRule="auto" w:line="276"/>
        <w:jc w:val="center"/>
        <w:rPr>
          <w:rFonts w:ascii="Calibri" w:hAnsi="Calibri"/>
        </w:rPr>
      </w:pPr>
      <w:r>
        <w:rPr>
          <w:rFonts w:cs="Calibri" w:ascii="Calibri" w:hAnsi="Calibri" w:asciiTheme="minorHAnsi" w:cstheme="minorHAnsi" w:hAnsiTheme="minorHAnsi"/>
          <w:b/>
        </w:rPr>
        <w:t>Ochrana osobních údajů</w:t>
      </w:r>
    </w:p>
    <w:p>
      <w:pPr>
        <w:pStyle w:val="ListParagraph"/>
        <w:numPr>
          <w:ilvl w:val="0"/>
          <w:numId w:val="7"/>
        </w:numPr>
        <w:spacing w:lineRule="auto" w:line="276"/>
        <w:jc w:val="both"/>
        <w:rPr/>
      </w:pPr>
      <w:r>
        <w:rPr>
          <w:rFonts w:ascii="Calibri" w:hAnsi="Calibri"/>
        </w:rPr>
        <w:t xml:space="preserve">Smluvní strany berou na vědomí, že při vzájemné spolupráci jsou povinny postupovat v souladu s platnou legislativou o zpracování a ochraně osobních údajů, zejm.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pPr>
        <w:pStyle w:val="ListParagraph"/>
        <w:numPr>
          <w:ilvl w:val="0"/>
          <w:numId w:val="7"/>
        </w:numPr>
        <w:spacing w:lineRule="auto" w:line="276"/>
        <w:jc w:val="both"/>
        <w:rPr/>
      </w:pPr>
      <w:r>
        <w:rPr>
          <w:rStyle w:val="Normaltextrun"/>
          <w:rFonts w:ascii="Calibri" w:hAnsi="Calibri"/>
        </w:rPr>
        <w:t>Smluvní strany se dohodly, že budou společně spravovat osobní údaje účastníků akce.</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Osobní údaje jsou společně spravovány za účelem usnadnění spolupráce při organizaci a propagaci akce a pro účely pedagogického působení na účastníky akce.</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 xml:space="preserve">Osobní údaje jsou sdíleny v nezbytném rozsahu pro dosažení účelu jejich sdílení. Jedná se zejména o identifikační a kontaktní údaje účastníků akcí a jejich zákonných zástupců, nezbytné zdravotní údaje účastníků akce a údaje o akcích pořádaných poskytovatelem, </w:t>
      </w:r>
      <w:r>
        <w:rPr>
          <w:rStyle w:val="Normaltextrun"/>
          <w:rFonts w:ascii="Calibri" w:hAnsi="Calibri"/>
          <w:spacing w:val="-4"/>
        </w:rPr>
        <w:t xml:space="preserve">kterých se tyto osoby zúčastnily, včetně pořízení fotografické dokumentace a </w:t>
      </w:r>
      <w:r>
        <w:rPr>
          <w:rStyle w:val="Spellingerror"/>
          <w:rFonts w:ascii="Calibri" w:hAnsi="Calibri"/>
          <w:spacing w:val="-4"/>
        </w:rPr>
        <w:t xml:space="preserve">videonahrávek </w:t>
      </w:r>
      <w:r>
        <w:rPr>
          <w:rStyle w:val="Normaltextrun"/>
          <w:rFonts w:ascii="Calibri" w:hAnsi="Calibri"/>
        </w:rPr>
        <w:t xml:space="preserve">z průběhu konání akce. </w:t>
      </w:r>
    </w:p>
    <w:p>
      <w:pPr>
        <w:pStyle w:val="ListParagraph"/>
        <w:numPr>
          <w:ilvl w:val="0"/>
          <w:numId w:val="7"/>
        </w:numPr>
        <w:spacing w:lineRule="auto" w:line="276"/>
        <w:jc w:val="both"/>
        <w:rPr/>
      </w:pPr>
      <w:r>
        <w:rPr>
          <w:rStyle w:val="Normaltextrun"/>
          <w:rFonts w:ascii="Calibri" w:hAnsi="Calibri"/>
        </w:rPr>
        <w:t xml:space="preserve">Smluvní strany jsou oprávněny využívat společně spravované osobní údaje pro účely propagace svých akcí při splnění požadavku na přiměřenost těchto akcí původní akci, </w:t>
      </w:r>
      <w:r>
        <w:rPr>
          <w:rStyle w:val="Normaltextrun"/>
          <w:rFonts w:ascii="Calibri" w:hAnsi="Calibri"/>
          <w:spacing w:val="-4"/>
        </w:rPr>
        <w:t xml:space="preserve">které se daný subjekt údajů zúčastnil. Subjekt údajů může odmítnout nechat se fotografovat </w:t>
      </w:r>
      <w:r>
        <w:rPr>
          <w:rStyle w:val="Normaltextrun"/>
          <w:rFonts w:ascii="Calibri" w:hAnsi="Calibri"/>
        </w:rPr>
        <w:t xml:space="preserve">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údajů informován. </w:t>
      </w:r>
    </w:p>
    <w:p>
      <w:pPr>
        <w:pStyle w:val="ListParagraph"/>
        <w:numPr>
          <w:ilvl w:val="0"/>
          <w:numId w:val="7"/>
        </w:numPr>
        <w:spacing w:lineRule="auto" w:line="276"/>
        <w:jc w:val="both"/>
        <w:rPr/>
      </w:pPr>
      <w:r>
        <w:rPr>
          <w:rStyle w:val="Normaltextrun"/>
          <w:rFonts w:ascii="Calibri" w:hAnsi="Calibri"/>
        </w:rPr>
        <w:t xml:space="preserve">Informační povinnost ve smyslu čl. 13 GDPR plní smluvní strana (v daném případě objednatel) při prvním převzetí osobních údajů od subjektu údajů předáním příslušných </w:t>
      </w:r>
      <w:r>
        <w:rPr>
          <w:rStyle w:val="Normaltextrun"/>
          <w:rFonts w:ascii="Calibri" w:hAnsi="Calibri"/>
          <w:spacing w:val="-2"/>
        </w:rPr>
        <w:t>informačních materiálů, které odkazují v podrobnostech na webové stránky poskytovatele</w:t>
      </w:r>
      <w:r>
        <w:rPr>
          <w:rStyle w:val="Normaltextrun"/>
          <w:rFonts w:ascii="Calibri" w:hAnsi="Calibri"/>
        </w:rPr>
        <w:t xml:space="preserve">, který zajistí jejich plný soulad s čl. 13 GDPR. V informaci zřetelně uvede údaj o společné správě osobních údajů a neopomene upozornit subjekt údajů na skutečnost, že v průběhu </w:t>
      </w:r>
      <w:r>
        <w:rPr>
          <w:rStyle w:val="Normaltextrun"/>
          <w:rFonts w:ascii="Calibri" w:hAnsi="Calibri"/>
          <w:spacing w:val="-4"/>
        </w:rPr>
        <w:t xml:space="preserve">akce bude poskytovatelem pořizován audiovizuální záznam a fotografie. Příslušné formuláře </w:t>
      </w:r>
      <w:r>
        <w:rPr>
          <w:rStyle w:val="Normaltextrun"/>
          <w:rFonts w:ascii="Calibri" w:hAnsi="Calibri"/>
        </w:rPr>
        <w:t>pro sběr dat opatřené příslušnou informační klauzulí podle GDPR zajistí poskytovatel a předá je v elektronické podobě nejméně 3 týdny před konáním akce objednateli.</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Společně spravované osobní údaje mohou být uchovávány písemně nebo elektronicky za využití cloudových služeb poskytovatele, který se zavázal v rámci dané činnosti k plnění všech povinností zpracovatele osobních údajů ve smyslu čl. 28 GDPR.</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rPr>
        <w:t>Uplatní-li subjekt údajů svá práva podle GDPR vůči jedné ze smluvních stran, je druhá smluvní strana povinna poskytnout jí potřebnou součinnost při vyřízení této žádosti.</w:t>
      </w:r>
      <w:r>
        <w:rPr>
          <w:rStyle w:val="Eop"/>
          <w:rFonts w:ascii="Calibri" w:hAnsi="Calibri"/>
        </w:rPr>
        <w:t xml:space="preserve"> </w:t>
      </w:r>
    </w:p>
    <w:p>
      <w:pPr>
        <w:pStyle w:val="ListParagraph"/>
        <w:numPr>
          <w:ilvl w:val="0"/>
          <w:numId w:val="7"/>
        </w:numPr>
        <w:spacing w:lineRule="auto" w:line="276"/>
        <w:jc w:val="both"/>
        <w:rPr/>
      </w:pPr>
      <w:r>
        <w:rPr>
          <w:rStyle w:val="Normaltextrun"/>
          <w:rFonts w:ascii="Calibri" w:hAnsi="Calibri"/>
          <w:spacing w:val="-2"/>
        </w:rPr>
        <w:t xml:space="preserve">Nastane-li bezpečnostní incident podle GDPR, plní příslušná smluvní strana svoje povinnosti z toho vyplývající samostatně, přičemž o této skutečnosti informuje druhou smluvní stranu. </w:t>
      </w:r>
    </w:p>
    <w:p>
      <w:pPr>
        <w:pStyle w:val="Normal"/>
        <w:spacing w:lineRule="auto" w:line="276"/>
        <w:jc w:val="center"/>
        <w:rPr>
          <w:rFonts w:cs="Calibri" w:cstheme="minorHAnsi"/>
        </w:rPr>
      </w:pPr>
      <w:r>
        <w:rPr>
          <w:rFonts w:cs="Calibri" w:cstheme="minorHAnsi"/>
        </w:rPr>
      </w:r>
    </w:p>
    <w:p>
      <w:pPr>
        <w:pStyle w:val="Normal"/>
        <w:spacing w:lineRule="auto" w:line="276"/>
        <w:jc w:val="center"/>
        <w:rPr>
          <w:rFonts w:ascii="Calibri" w:hAnsi="Calibri"/>
        </w:rPr>
      </w:pPr>
      <w:r>
        <w:rPr>
          <w:rFonts w:cs="Calibri" w:ascii="Calibri" w:hAnsi="Calibri" w:asciiTheme="minorHAnsi" w:cstheme="minorHAnsi" w:hAnsiTheme="minorHAnsi"/>
          <w:b/>
        </w:rPr>
        <w:t>VI.</w:t>
      </w:r>
    </w:p>
    <w:p>
      <w:pPr>
        <w:pStyle w:val="Normal"/>
        <w:spacing w:lineRule="auto" w:line="276" w:before="0" w:after="57"/>
        <w:jc w:val="center"/>
        <w:rPr>
          <w:rFonts w:ascii="Calibri" w:hAnsi="Calibri"/>
        </w:rPr>
      </w:pPr>
      <w:r>
        <w:rPr>
          <w:rFonts w:cs="Calibri" w:ascii="Calibri" w:hAnsi="Calibri" w:asciiTheme="minorHAnsi" w:cstheme="minorHAnsi" w:hAnsiTheme="minorHAnsi"/>
          <w:b/>
        </w:rPr>
        <w:t>Závěrečná ujednání</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spacing w:val="-2"/>
        </w:rPr>
        <w:t xml:space="preserve">Změny smlouvy jsou přípustné jen v písemné podobě. Smluvní vztahy neupravené touto smlouvou se řídí občanským zákoníkem. </w:t>
      </w:r>
    </w:p>
    <w:p>
      <w:pPr>
        <w:pStyle w:val="ListParagraph"/>
        <w:numPr>
          <w:ilvl w:val="0"/>
          <w:numId w:val="2"/>
        </w:numPr>
        <w:spacing w:lineRule="auto" w:line="276"/>
        <w:jc w:val="both"/>
        <w:rPr>
          <w:rFonts w:ascii="Calibri" w:hAnsi="Calibri"/>
          <w:spacing w:val="-4"/>
        </w:rPr>
      </w:pPr>
      <w:r>
        <w:rPr>
          <w:rFonts w:cs="Calibri" w:ascii="Calibri" w:hAnsi="Calibri" w:asciiTheme="minorHAnsi" w:cstheme="minorHAnsi" w:hAnsiTheme="minorHAnsi"/>
          <w:spacing w:val="-4"/>
        </w:rPr>
        <w:t xml:space="preserve">Smlouva je vyhotovena ve dvou vyhotoveních, z nichž každá ze smluvních stran obdrží jedno. </w:t>
      </w:r>
    </w:p>
    <w:p>
      <w:pPr>
        <w:pStyle w:val="ListParagraph"/>
        <w:numPr>
          <w:ilvl w:val="0"/>
          <w:numId w:val="2"/>
        </w:numPr>
        <w:spacing w:lineRule="auto" w:line="276"/>
        <w:jc w:val="both"/>
        <w:rPr>
          <w:rFonts w:ascii="Calibri" w:hAnsi="Calibri"/>
        </w:rPr>
      </w:pPr>
      <w:r>
        <w:rPr>
          <w:rFonts w:cs="Calibri" w:ascii="Calibri" w:hAnsi="Calibri" w:asciiTheme="minorHAnsi" w:cstheme="minorHAnsi" w:hAnsiTheme="minorHAnsi"/>
        </w:rPr>
        <w:t xml:space="preserve">Tato smlouva nabývá platnosti a účinnosti dnem podpisu obou smluvních stran. </w:t>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spacing w:lineRule="auto" w:line="276"/>
        <w:jc w:val="both"/>
        <w:rPr>
          <w:rFonts w:ascii="Calibri" w:hAnsi="Calibri" w:cs="Calibri" w:asciiTheme="minorHAnsi" w:cstheme="minorHAnsi" w:hAnsiTheme="minorHAnsi"/>
        </w:rPr>
      </w:pPr>
      <w:r>
        <w:rPr>
          <w:rFonts w:cs="Calibri" w:cstheme="minorHAnsi" w:ascii="Calibri" w:hAnsi="Calibri"/>
        </w:rPr>
      </w:r>
    </w:p>
    <w:tbl>
      <w:tblPr>
        <w:tblW w:w="9498"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749"/>
        <w:gridCol w:w="4748"/>
      </w:tblGrid>
      <w:tr>
        <w:trPr/>
        <w:tc>
          <w:tcPr>
            <w:tcW w:w="4749"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c>
          <w:tcPr>
            <w:tcW w:w="4748" w:type="dxa"/>
            <w:tcBorders/>
          </w:tcPr>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V …………………… dne ……………………</w:t>
            </w:r>
          </w:p>
        </w:tc>
      </w:tr>
      <w:tr>
        <w:trPr/>
        <w:tc>
          <w:tcPr>
            <w:tcW w:w="4749"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Vojtěch Smolka</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 xml:space="preserve">ředitel centra mládeže </w:t>
            </w:r>
          </w:p>
          <w:p>
            <w:pPr>
              <w:pStyle w:val="Normal"/>
              <w:widowControl w:val="false"/>
              <w:tabs>
                <w:tab w:val="clear" w:pos="708"/>
                <w:tab w:val="left" w:pos="5310" w:leader="none"/>
                <w:tab w:val="left" w:pos="5670" w:leader="none"/>
              </w:tabs>
              <w:spacing w:lineRule="auto" w:line="276"/>
              <w:ind w:left="6372" w:hanging="6372"/>
              <w:jc w:val="center"/>
              <w:rPr>
                <w:rFonts w:ascii="Calibri" w:hAnsi="Calibri"/>
              </w:rPr>
            </w:pPr>
            <w:r>
              <w:rPr>
                <w:rFonts w:cs="Calibri" w:ascii="Calibri" w:hAnsi="Calibri" w:asciiTheme="minorHAnsi" w:cstheme="minorHAnsi" w:hAnsiTheme="minorHAnsi"/>
                <w:color w:val="auto"/>
              </w:rPr>
              <w:t>(poskytovatel)</w:t>
            </w:r>
          </w:p>
        </w:tc>
        <w:tc>
          <w:tcPr>
            <w:tcW w:w="4748" w:type="dxa"/>
            <w:tcBorders/>
          </w:tcPr>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cs="Calibri" w:cstheme="minorHAnsi"/>
              </w:rPr>
            </w:pPr>
            <w:r>
              <w:rPr>
                <w:rFonts w:cs="Calibri" w:cstheme="minorHAnsi" w:ascii="Calibri" w:hAnsi="Calibri"/>
              </w:rPr>
            </w:r>
          </w:p>
          <w:p>
            <w:pPr>
              <w:pStyle w:val="Normal"/>
              <w:widowControl w:val="false"/>
              <w:tabs>
                <w:tab w:val="clear" w:pos="708"/>
                <w:tab w:val="left" w:pos="5670" w:leader="none"/>
              </w:tabs>
              <w:spacing w:lineRule="auto" w:line="276"/>
              <w:jc w:val="center"/>
              <w:rPr>
                <w:rFonts w:ascii="Calibri" w:hAnsi="Calibri"/>
              </w:rPr>
            </w:pPr>
            <w:r>
              <w:rPr>
                <w:rFonts w:cs="Calibri" w:ascii="Calibri" w:hAnsi="Calibri" w:asciiTheme="minorHAnsi" w:cstheme="minorHAnsi" w:hAnsiTheme="minorHAnsi"/>
              </w:rPr>
              <w:t>……………………………………………</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auto"/>
                <w:shd w:fill="FFFFFF" w:val="clear"/>
              </w:rPr>
            </w:pPr>
            <w:r>
              <w:rPr>
                <w:rFonts w:cs="Calibri" w:ascii="Calibri" w:hAnsi="Calibri" w:asciiTheme="minorHAnsi" w:cstheme="minorHAnsi" w:hAnsiTheme="minorHAnsi"/>
                <w:color w:val="000000"/>
                <w:shd w:fill="FFFFFF" w:val="clear"/>
              </w:rPr>
              <w:t>RNDr. Bc. Radka Balounová, Ph.D.</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cs="Calibri" w:asciiTheme="minorHAnsi" w:cstheme="minorHAnsi" w:hAnsiTheme="minorHAnsi"/>
                <w:color w:val="000000"/>
                <w:shd w:fill="FFFFFF" w:val="clear"/>
              </w:rPr>
            </w:pPr>
            <w:r>
              <w:rPr>
                <w:rFonts w:cs="Calibri" w:ascii="Calibri" w:hAnsi="Calibri" w:asciiTheme="minorHAnsi" w:cstheme="minorHAnsi" w:hAnsiTheme="minorHAnsi"/>
                <w:color w:val="000000"/>
                <w:shd w:fill="FFFFFF" w:val="clear"/>
              </w:rPr>
              <w:t>ředitelka školy</w:t>
            </w:r>
          </w:p>
          <w:p>
            <w:pPr>
              <w:pStyle w:val="Normal"/>
              <w:widowControl w:val="false"/>
              <w:tabs>
                <w:tab w:val="clear" w:pos="708"/>
                <w:tab w:val="left" w:pos="3855" w:leader="none"/>
                <w:tab w:val="left" w:pos="5670" w:leader="none"/>
              </w:tabs>
              <w:spacing w:lineRule="auto" w:line="276"/>
              <w:ind w:left="6372" w:hanging="6372"/>
              <w:jc w:val="center"/>
              <w:rPr>
                <w:rFonts w:ascii="Calibri" w:hAnsi="Calibri"/>
                <w:shd w:fill="FFFF00" w:val="clear"/>
              </w:rPr>
            </w:pPr>
            <w:r>
              <w:rPr>
                <w:rFonts w:cs="Calibri" w:ascii="Calibri" w:hAnsi="Calibri" w:asciiTheme="minorHAnsi" w:cstheme="minorHAnsi" w:hAnsiTheme="minorHAnsi"/>
                <w:color w:val="000000"/>
                <w:shd w:fill="FFFFFF" w:val="clear"/>
              </w:rPr>
              <w:t>(objednatel)</w:t>
            </w:r>
          </w:p>
        </w:tc>
      </w:tr>
    </w:tbl>
    <w:p>
      <w:pPr>
        <w:pStyle w:val="Normal"/>
        <w:spacing w:lineRule="auto" w:line="276"/>
        <w:jc w:val="both"/>
        <w:rPr>
          <w:rFonts w:ascii="Calibri" w:hAnsi="Calibri"/>
        </w:rPr>
      </w:pPr>
      <w:r>
        <w:rPr/>
      </w:r>
    </w:p>
    <w:sectPr>
      <w:headerReference w:type="default" r:id="rId3"/>
      <w:footerReference w:type="default" r:id="rId4"/>
      <w:type w:val="nextPage"/>
      <w:pgSz w:w="11906" w:h="16838"/>
      <w:pgMar w:left="1134" w:right="1274" w:gutter="0" w:header="258" w:top="315" w:footer="680" w:bottom="113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sz w:val="20"/>
        <w:szCs w:val="20"/>
      </w:rPr>
    </w:pP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3</w:t>
    </w:r>
    <w:r>
      <w:rPr>
        <w:sz w:val="20"/>
        <w:szCs w:val="20"/>
        <w:rFonts w:ascii="Calibri" w:hAnsi="Calibri"/>
      </w:rPr>
      <w:fldChar w:fldCharType="end"/>
    </w:r>
    <w:r>
      <w:rPr>
        <w:rFonts w:ascii="Calibri" w:hAnsi="Calibri"/>
        <w:caps/>
        <w:color w:val="000000" w:themeColor="text1"/>
        <w:sz w:val="20"/>
        <w:szCs w:val="20"/>
      </w:rPr>
      <w:t>/</w:t>
    </w:r>
    <w:r>
      <w:rPr>
        <w:rFonts w:ascii="Calibri" w:hAnsi="Calibri"/>
        <w:sz w:val="20"/>
        <w:szCs w:val="20"/>
      </w:rPr>
      <w:fldChar w:fldCharType="begin"/>
    </w:r>
    <w:r>
      <w:rPr>
        <w:sz w:val="20"/>
        <w:szCs w:val="20"/>
        <w:rFonts w:ascii="Calibri" w:hAnsi="Calibri"/>
      </w:rPr>
      <w:instrText xml:space="preserve"> NUMPAGES </w:instrText>
    </w:r>
    <w:r>
      <w:rPr>
        <w:sz w:val="20"/>
        <w:szCs w:val="20"/>
        <w:rFonts w:ascii="Calibri" w:hAnsi="Calibri"/>
      </w:rPr>
      <w:fldChar w:fldCharType="separate"/>
    </w:r>
    <w:r>
      <w:rPr>
        <w:sz w:val="20"/>
        <w:szCs w:val="20"/>
        <w:rFonts w:ascii="Calibri" w:hAnsi="Calibri"/>
      </w:rPr>
      <w:t>3</w:t>
    </w:r>
    <w:r>
      <w:rPr>
        <w:sz w:val="20"/>
        <w:szCs w:val="20"/>
        <w:rFonts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lineRule="auto" w:line="276"/>
      <w:jc w:val="right"/>
      <w:rPr/>
    </w:pPr>
    <w:r>
      <w:rPr/>
    </w:r>
  </w:p>
  <w:p>
    <w:pPr>
      <w:pStyle w:val="Zpat"/>
      <w:spacing w:lineRule="auto" w:line="276"/>
      <w:jc w:val="right"/>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Fonts w:ascii="Calibri" w:hAnsi="Calibri"/>
        <w:color w:val="00000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upperRoman"/>
      <w:suff w:val="nothing"/>
      <w:lvlText w:val="%1."/>
      <w:lvlJc w:val="left"/>
      <w:pPr>
        <w:tabs>
          <w:tab w:val="num" w:pos="0"/>
        </w:tabs>
        <w:ind w:left="0" w:hanging="0"/>
      </w:pPr>
      <w:rPr>
        <w:i w:val="false"/>
        <w:b/>
      </w:rPr>
    </w:lvl>
    <w:lvl w:ilvl="1">
      <w:start w:val="1"/>
      <w:numFmt w:val="decimal"/>
      <w:lvlText w:val="%1.%2."/>
      <w:lvlJc w:val="left"/>
      <w:pPr>
        <w:tabs>
          <w:tab w:val="num" w:pos="567"/>
        </w:tabs>
        <w:ind w:left="567" w:hanging="567"/>
      </w:pPr>
      <w:rPr>
        <w:dstrike w:val="false"/>
        <w:strike w:val="false"/>
        <w:i w:val="false"/>
        <w:b w:val="false"/>
      </w:rPr>
    </w:lvl>
    <w:lvl w:ilvl="2">
      <w:start w:val="1"/>
      <w:numFmt w:val="lowerLetter"/>
      <w:lvlText w:val="%3)"/>
      <w:lvlJc w:val="left"/>
      <w:pPr>
        <w:tabs>
          <w:tab w:val="num" w:pos="1134"/>
        </w:tabs>
        <w:ind w:left="1134" w:hanging="567"/>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rFonts w:cs="Times New Roman"/>
        <w:color w:val="000000"/>
      </w:rPr>
    </w:lvl>
    <w:lvl w:ilvl="3">
      <w:start w:val="1"/>
      <w:numFmt w:val="lowerRoman"/>
      <w:lvlText w:val="%4)"/>
      <w:lvlJc w:val="left"/>
      <w:pPr>
        <w:tabs>
          <w:tab w:val="num" w:pos="1701"/>
        </w:tabs>
        <w:ind w:left="1701" w:hanging="567"/>
      </w:pPr>
      <w:rPr>
        <w:i w:val="false"/>
        <w:b w:val="false"/>
      </w:rPr>
    </w:lvl>
    <w:lvl w:ilvl="4">
      <w:start w:val="1"/>
      <w:numFmt w:val="decimal"/>
      <w:lvlText w:val="%5)"/>
      <w:lvlJc w:val="left"/>
      <w:pPr>
        <w:tabs>
          <w:tab w:val="num" w:pos="2268"/>
        </w:tabs>
        <w:ind w:left="2268" w:hanging="567"/>
      </w:pPr>
      <w:rPr>
        <w:i w:val="false"/>
        <w:b w:val="false"/>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6">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7">
    <w:lvl w:ilvl="0">
      <w:start w:val="1"/>
      <w:numFmt w:val="decimal"/>
      <w:lvlText w:val="%1."/>
      <w:lvlJc w:val="left"/>
      <w:pPr>
        <w:tabs>
          <w:tab w:val="num" w:pos="720"/>
        </w:tabs>
        <w:ind w:left="720" w:hanging="360"/>
      </w:pPr>
      <w:rPr>
        <w:sz w:val="24"/>
        <w:szCs w:val="24"/>
        <w:rFonts w:ascii="Calibri" w:hAnsi="Calibri"/>
      </w:rPr>
    </w:lvl>
    <w:lvl w:ilvl="1">
      <w:start w:val="1"/>
      <w:numFmt w:val="decimal"/>
      <w:lvlText w:val="%2."/>
      <w:lvlJc w:val="left"/>
      <w:pPr>
        <w:tabs>
          <w:tab w:val="num" w:pos="1080"/>
        </w:tabs>
        <w:ind w:left="1080" w:hanging="360"/>
      </w:pPr>
      <w:rPr>
        <w:sz w:val="24"/>
        <w:szCs w:val="24"/>
        <w:rFonts w:ascii="Calibri" w:hAnsi="Calibri"/>
      </w:rPr>
    </w:lvl>
    <w:lvl w:ilvl="2">
      <w:start w:val="1"/>
      <w:numFmt w:val="decimal"/>
      <w:lvlText w:val="%3."/>
      <w:lvlJc w:val="left"/>
      <w:pPr>
        <w:tabs>
          <w:tab w:val="num" w:pos="1440"/>
        </w:tabs>
        <w:ind w:left="1440" w:hanging="360"/>
      </w:pPr>
      <w:rPr>
        <w:sz w:val="24"/>
        <w:szCs w:val="24"/>
        <w:rFonts w:ascii="Calibri" w:hAnsi="Calibri"/>
      </w:rPr>
    </w:lvl>
    <w:lvl w:ilvl="3">
      <w:start w:val="1"/>
      <w:numFmt w:val="decimal"/>
      <w:lvlText w:val="%4."/>
      <w:lvlJc w:val="left"/>
      <w:pPr>
        <w:tabs>
          <w:tab w:val="num" w:pos="1800"/>
        </w:tabs>
        <w:ind w:left="1800" w:hanging="360"/>
      </w:pPr>
      <w:rPr>
        <w:sz w:val="24"/>
        <w:szCs w:val="24"/>
        <w:rFonts w:ascii="Calibri" w:hAnsi="Calibri"/>
      </w:rPr>
    </w:lvl>
    <w:lvl w:ilvl="4">
      <w:start w:val="1"/>
      <w:numFmt w:val="decimal"/>
      <w:lvlText w:val="%5."/>
      <w:lvlJc w:val="left"/>
      <w:pPr>
        <w:tabs>
          <w:tab w:val="num" w:pos="2160"/>
        </w:tabs>
        <w:ind w:left="2160" w:hanging="360"/>
      </w:pPr>
      <w:rPr>
        <w:sz w:val="24"/>
        <w:szCs w:val="24"/>
        <w:rFonts w:ascii="Calibri" w:hAnsi="Calibri"/>
      </w:rPr>
    </w:lvl>
    <w:lvl w:ilvl="5">
      <w:start w:val="1"/>
      <w:numFmt w:val="decimal"/>
      <w:lvlText w:val="%6."/>
      <w:lvlJc w:val="left"/>
      <w:pPr>
        <w:tabs>
          <w:tab w:val="num" w:pos="2520"/>
        </w:tabs>
        <w:ind w:left="2520" w:hanging="360"/>
      </w:pPr>
      <w:rPr>
        <w:sz w:val="24"/>
        <w:szCs w:val="24"/>
        <w:rFonts w:ascii="Calibri" w:hAnsi="Calibri"/>
      </w:rPr>
    </w:lvl>
    <w:lvl w:ilvl="6">
      <w:start w:val="1"/>
      <w:numFmt w:val="decimal"/>
      <w:lvlText w:val="%7."/>
      <w:lvlJc w:val="left"/>
      <w:pPr>
        <w:tabs>
          <w:tab w:val="num" w:pos="2880"/>
        </w:tabs>
        <w:ind w:left="2880" w:hanging="360"/>
      </w:pPr>
      <w:rPr>
        <w:sz w:val="24"/>
        <w:szCs w:val="24"/>
        <w:rFonts w:ascii="Calibri" w:hAnsi="Calibri"/>
      </w:rPr>
    </w:lvl>
    <w:lvl w:ilvl="7">
      <w:start w:val="1"/>
      <w:numFmt w:val="decimal"/>
      <w:lvlText w:val="%8."/>
      <w:lvlJc w:val="left"/>
      <w:pPr>
        <w:tabs>
          <w:tab w:val="num" w:pos="3240"/>
        </w:tabs>
        <w:ind w:left="3240" w:hanging="360"/>
      </w:pPr>
      <w:rPr>
        <w:sz w:val="24"/>
        <w:szCs w:val="24"/>
        <w:rFonts w:ascii="Calibri" w:hAnsi="Calibri"/>
      </w:rPr>
    </w:lvl>
    <w:lvl w:ilvl="8">
      <w:start w:val="1"/>
      <w:numFmt w:val="decimal"/>
      <w:lvlText w:val="%9."/>
      <w:lvlJc w:val="left"/>
      <w:pPr>
        <w:tabs>
          <w:tab w:val="num" w:pos="3600"/>
        </w:tabs>
        <w:ind w:left="3600" w:hanging="360"/>
      </w:pPr>
      <w:rPr>
        <w:sz w:val="24"/>
        <w:szCs w:val="24"/>
        <w:rFonts w:ascii="Calibri" w:hAnsi="Calibri"/>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12ec"/>
    <w:pPr>
      <w:widowControl/>
      <w:suppressAutoHyphens w:val="true"/>
      <w:bidi w:val="0"/>
      <w:spacing w:before="0" w:after="0"/>
      <w:jc w:val="left"/>
    </w:pPr>
    <w:rPr>
      <w:rFonts w:ascii="Times New Roman" w:hAnsi="Times New Roman" w:eastAsia="Times New Roman" w:cs="Times New Roman"/>
      <w:color w:val="00000A"/>
      <w:kern w:val="0"/>
      <w:sz w:val="24"/>
      <w:szCs w:val="24"/>
      <w:lang w:eastAsia="cs-CZ" w:val="cs-CZ" w:bidi="ar-SA"/>
    </w:rPr>
  </w:style>
  <w:style w:type="character" w:styleId="DefaultParagraphFont" w:default="1">
    <w:name w:val="Default Paragraph Font"/>
    <w:uiPriority w:val="1"/>
    <w:semiHidden/>
    <w:unhideWhenUsed/>
    <w:qFormat/>
    <w:rPr/>
  </w:style>
  <w:style w:type="character" w:styleId="Internetovodkaz" w:customStyle="1">
    <w:name w:val="Internetový odkaz"/>
    <w:rsid w:val="008c12ec"/>
    <w:rPr>
      <w:color w:val="0000FF"/>
      <w:u w:val="single"/>
    </w:rPr>
  </w:style>
  <w:style w:type="character" w:styleId="Mozsmileys1" w:customStyle="1">
    <w:name w:val="moz-smiley-s1"/>
    <w:basedOn w:val="DefaultParagraphFont"/>
    <w:qFormat/>
    <w:rsid w:val="008c12ec"/>
    <w:rPr/>
  </w:style>
  <w:style w:type="character" w:styleId="ZhlavChar" w:customStyle="1">
    <w:name w:val="Záhlaví Char"/>
    <w:basedOn w:val="DefaultParagraphFont"/>
    <w:qFormat/>
    <w:rsid w:val="008c12ec"/>
    <w:rPr>
      <w:rFonts w:ascii="Times New Roman" w:hAnsi="Times New Roman" w:eastAsia="Times New Roman" w:cs="Times New Roman"/>
      <w:sz w:val="24"/>
      <w:szCs w:val="24"/>
      <w:lang w:eastAsia="cs-CZ"/>
    </w:rPr>
  </w:style>
  <w:style w:type="character" w:styleId="ZpatChar" w:customStyle="1">
    <w:name w:val="Zápatí Char"/>
    <w:basedOn w:val="DefaultParagraphFont"/>
    <w:uiPriority w:val="99"/>
    <w:qFormat/>
    <w:rsid w:val="008c12ec"/>
    <w:rPr>
      <w:rFonts w:ascii="Times New Roman" w:hAnsi="Times New Roman" w:eastAsia="Times New Roman" w:cs="Times New Roman"/>
      <w:sz w:val="24"/>
      <w:szCs w:val="24"/>
      <w:lang w:eastAsia="cs-CZ"/>
    </w:rPr>
  </w:style>
  <w:style w:type="character" w:styleId="Navtveninternetovodkaz" w:customStyle="1">
    <w:name w:val="Navštívený internetový odkaz"/>
    <w:basedOn w:val="DefaultParagraphFont"/>
    <w:uiPriority w:val="99"/>
    <w:semiHidden/>
    <w:unhideWhenUsed/>
    <w:qFormat/>
    <w:rsid w:val="00640464"/>
    <w:rPr>
      <w:color w:val="800080" w:themeColor="followedHyperlink"/>
      <w:u w:val="single"/>
    </w:rPr>
  </w:style>
  <w:style w:type="character" w:styleId="Zkladntext2Char" w:customStyle="1">
    <w:name w:val="Základní text 2 Char"/>
    <w:basedOn w:val="DefaultParagraphFont"/>
    <w:link w:val="BodyText2"/>
    <w:qFormat/>
    <w:rsid w:val="006f3621"/>
    <w:rPr>
      <w:rFonts w:ascii="Times New Roman" w:hAnsi="Times New Roman" w:eastAsia="Times New Roman" w:cs="Times New Roman"/>
      <w:sz w:val="20"/>
      <w:szCs w:val="20"/>
      <w:lang w:eastAsia="cs-CZ"/>
    </w:rPr>
  </w:style>
  <w:style w:type="character" w:styleId="TextbublinyChar" w:customStyle="1">
    <w:name w:val="Text bubliny Char"/>
    <w:basedOn w:val="DefaultParagraphFont"/>
    <w:link w:val="BalloonText"/>
    <w:uiPriority w:val="99"/>
    <w:semiHidden/>
    <w:qFormat/>
    <w:rsid w:val="00452695"/>
    <w:rPr>
      <w:rFonts w:ascii="Tahoma" w:hAnsi="Tahoma" w:eastAsia="Times New Roman" w:cs="Tahoma"/>
      <w:sz w:val="16"/>
      <w:szCs w:val="16"/>
      <w:lang w:eastAsia="cs-CZ"/>
    </w:rPr>
  </w:style>
  <w:style w:type="character" w:styleId="Appleconvertedspace" w:customStyle="1">
    <w:name w:val="apple-converted-space"/>
    <w:basedOn w:val="DefaultParagraphFont"/>
    <w:qFormat/>
    <w:rsid w:val="00bd1cb7"/>
    <w:rPr/>
  </w:style>
  <w:style w:type="character" w:styleId="Annotationreference">
    <w:name w:val="annotation reference"/>
    <w:basedOn w:val="DefaultParagraphFont"/>
    <w:uiPriority w:val="99"/>
    <w:semiHidden/>
    <w:unhideWhenUsed/>
    <w:qFormat/>
    <w:rsid w:val="00b61099"/>
    <w:rPr>
      <w:sz w:val="16"/>
      <w:szCs w:val="16"/>
    </w:rPr>
  </w:style>
  <w:style w:type="character" w:styleId="TextkomenteChar" w:customStyle="1">
    <w:name w:val="Text komentáře Char"/>
    <w:basedOn w:val="DefaultParagraphFont"/>
    <w:link w:val="Annotationtext"/>
    <w:uiPriority w:val="99"/>
    <w:semiHidden/>
    <w:qFormat/>
    <w:rsid w:val="00b61099"/>
    <w:rPr>
      <w:rFonts w:ascii="Times New Roman" w:hAnsi="Times New Roman" w:eastAsia="Times New Roman" w:cs="Times New Roman"/>
      <w:sz w:val="20"/>
      <w:szCs w:val="20"/>
      <w:lang w:eastAsia="cs-CZ"/>
    </w:rPr>
  </w:style>
  <w:style w:type="character" w:styleId="PedmtkomenteChar" w:customStyle="1">
    <w:name w:val="Předmět komentáře Char"/>
    <w:basedOn w:val="TextkomenteChar"/>
    <w:link w:val="Annotationsubject"/>
    <w:uiPriority w:val="99"/>
    <w:semiHidden/>
    <w:qFormat/>
    <w:rsid w:val="00b61099"/>
    <w:rPr>
      <w:rFonts w:ascii="Times New Roman" w:hAnsi="Times New Roman" w:eastAsia="Times New Roman" w:cs="Times New Roman"/>
      <w:b/>
      <w:bCs/>
      <w:sz w:val="20"/>
      <w:szCs w:val="20"/>
      <w:lang w:eastAsia="cs-CZ"/>
    </w:rPr>
  </w:style>
  <w:style w:type="character" w:styleId="Strong">
    <w:name w:val="Strong"/>
    <w:basedOn w:val="DefaultParagraphFont"/>
    <w:uiPriority w:val="22"/>
    <w:qFormat/>
    <w:rsid w:val="00281da4"/>
    <w:rPr>
      <w:b/>
      <w:bCs/>
    </w:rPr>
  </w:style>
  <w:style w:type="character" w:styleId="Symbolyproslovn" w:customStyle="1">
    <w:name w:val="Symboly pro číslování"/>
    <w:qFormat/>
    <w:rPr>
      <w:rFonts w:ascii="Calibri" w:hAnsi="Calibri"/>
      <w:sz w:val="24"/>
      <w:szCs w:val="24"/>
    </w:rPr>
  </w:style>
  <w:style w:type="character" w:styleId="Normaltextrun" w:customStyle="1">
    <w:name w:val="normaltextrun"/>
    <w:basedOn w:val="DefaultParagraphFont"/>
    <w:qFormat/>
    <w:rsid w:val="0075286e"/>
    <w:rPr/>
  </w:style>
  <w:style w:type="character" w:styleId="Eop" w:customStyle="1">
    <w:name w:val="eop"/>
    <w:basedOn w:val="DefaultParagraphFont"/>
    <w:qFormat/>
    <w:rsid w:val="0075286e"/>
    <w:rPr/>
  </w:style>
  <w:style w:type="character" w:styleId="Spellingerror" w:customStyle="1">
    <w:name w:val="spellingerror"/>
    <w:basedOn w:val="DefaultParagraphFont"/>
    <w:qFormat/>
    <w:rsid w:val="0075286e"/>
    <w:rPr/>
  </w:style>
  <w:style w:type="character" w:styleId="Slovn2Char" w:customStyle="1">
    <w:name w:val="Číslování 2 Char"/>
    <w:uiPriority w:val="3"/>
    <w:qFormat/>
    <w:rsid w:val="00650e9a"/>
    <w:rPr>
      <w:rFonts w:eastAsia="Times New Roman" w:cs="Times New Roman"/>
      <w:sz w:val="22"/>
      <w:szCs w:val="24"/>
      <w:lang w:eastAsia="zh-CN"/>
    </w:rPr>
  </w:style>
  <w:style w:type="paragraph" w:styleId="Nadpis" w:customStyle="1">
    <w:name w:val="Nadpis"/>
    <w:basedOn w:val="Normal"/>
    <w:next w:val="Tlotextu"/>
    <w:qFormat/>
    <w:pPr>
      <w:keepNext w:val="true"/>
      <w:spacing w:before="240" w:after="120"/>
    </w:pPr>
    <w:rPr>
      <w:rFonts w:ascii="Liberation Sans" w:hAnsi="Liberation Sans" w:eastAsia="Tahoma"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Lohit Devanagari"/>
      <w:i/>
      <w:iCs/>
      <w:sz w:val="24"/>
      <w:szCs w:val="24"/>
    </w:rPr>
  </w:style>
  <w:style w:type="paragraph" w:styleId="Rejstk" w:customStyle="1">
    <w:name w:val="Rejstřík"/>
    <w:basedOn w:val="Normal"/>
    <w:qFormat/>
    <w:pPr>
      <w:suppressLineNumbers/>
    </w:pPr>
    <w:rPr>
      <w:rFonts w:cs="FreeSans"/>
    </w:rPr>
  </w:style>
  <w:style w:type="paragraph" w:styleId="Caption">
    <w:name w:val="caption"/>
    <w:basedOn w:val="Normal"/>
    <w:qFormat/>
    <w:pPr>
      <w:suppressLineNumbers/>
      <w:spacing w:before="120" w:after="120"/>
    </w:pPr>
    <w:rPr>
      <w:rFonts w:cs="FreeSans"/>
      <w:i/>
      <w:iCs/>
    </w:rPr>
  </w:style>
  <w:style w:type="paragraph" w:styleId="ListParagraph">
    <w:name w:val="List Paragraph"/>
    <w:basedOn w:val="Normal"/>
    <w:uiPriority w:val="34"/>
    <w:qFormat/>
    <w:rsid w:val="008c12ec"/>
    <w:pPr>
      <w:spacing w:before="0" w:after="0"/>
      <w:ind w:left="720" w:hanging="0"/>
      <w:contextualSpacing/>
    </w:pPr>
    <w:rPr/>
  </w:style>
  <w:style w:type="paragraph" w:styleId="Zhlavazpat" w:customStyle="1">
    <w:name w:val="Záhlaví a zápatí"/>
    <w:basedOn w:val="Normal"/>
    <w:qFormat/>
    <w:pPr/>
    <w:rPr/>
  </w:style>
  <w:style w:type="paragraph" w:styleId="Zhlav">
    <w:name w:val="Header"/>
    <w:basedOn w:val="Normal"/>
    <w:link w:val="ZhlavChar"/>
    <w:unhideWhenUsed/>
    <w:rsid w:val="008c12ec"/>
    <w:pPr>
      <w:tabs>
        <w:tab w:val="clear" w:pos="708"/>
        <w:tab w:val="center" w:pos="4536" w:leader="none"/>
        <w:tab w:val="right" w:pos="9072" w:leader="none"/>
      </w:tabs>
    </w:pPr>
    <w:rPr/>
  </w:style>
  <w:style w:type="paragraph" w:styleId="Zpat">
    <w:name w:val="Footer"/>
    <w:basedOn w:val="Normal"/>
    <w:link w:val="ZpatChar"/>
    <w:uiPriority w:val="99"/>
    <w:unhideWhenUsed/>
    <w:rsid w:val="008c12ec"/>
    <w:pPr>
      <w:tabs>
        <w:tab w:val="clear" w:pos="708"/>
        <w:tab w:val="center" w:pos="4536" w:leader="none"/>
        <w:tab w:val="right" w:pos="9072" w:leader="none"/>
      </w:tabs>
    </w:pPr>
    <w:rPr/>
  </w:style>
  <w:style w:type="paragraph" w:styleId="BodyText2">
    <w:name w:val="Body Text 2"/>
    <w:basedOn w:val="Normal"/>
    <w:link w:val="Zkladntext2Char"/>
    <w:qFormat/>
    <w:rsid w:val="006f3621"/>
    <w:pPr>
      <w:spacing w:lineRule="auto" w:line="480" w:before="0" w:after="120"/>
    </w:pPr>
    <w:rPr>
      <w:sz w:val="20"/>
      <w:szCs w:val="20"/>
    </w:rPr>
  </w:style>
  <w:style w:type="paragraph" w:styleId="BalloonText">
    <w:name w:val="Balloon Text"/>
    <w:basedOn w:val="Normal"/>
    <w:link w:val="TextbublinyChar"/>
    <w:uiPriority w:val="99"/>
    <w:semiHidden/>
    <w:unhideWhenUsed/>
    <w:qFormat/>
    <w:rsid w:val="00452695"/>
    <w:pPr/>
    <w:rPr>
      <w:rFonts w:ascii="Tahoma" w:hAnsi="Tahoma" w:cs="Tahoma"/>
      <w:sz w:val="16"/>
      <w:szCs w:val="16"/>
    </w:rPr>
  </w:style>
  <w:style w:type="paragraph" w:styleId="Annotationtext">
    <w:name w:val="annotation text"/>
    <w:basedOn w:val="Normal"/>
    <w:link w:val="TextkomenteChar"/>
    <w:uiPriority w:val="99"/>
    <w:semiHidden/>
    <w:unhideWhenUsed/>
    <w:qFormat/>
    <w:rsid w:val="00b61099"/>
    <w:pPr/>
    <w:rPr>
      <w:sz w:val="20"/>
      <w:szCs w:val="20"/>
    </w:rPr>
  </w:style>
  <w:style w:type="paragraph" w:styleId="Annotationsubject">
    <w:name w:val="annotation subject"/>
    <w:basedOn w:val="Annotationtext"/>
    <w:link w:val="PedmtkomenteChar"/>
    <w:uiPriority w:val="99"/>
    <w:semiHidden/>
    <w:unhideWhenUsed/>
    <w:qFormat/>
    <w:rsid w:val="00b61099"/>
    <w:pPr/>
    <w:rPr>
      <w:b/>
      <w:bCs/>
    </w:rPr>
  </w:style>
  <w:style w:type="paragraph" w:styleId="Obsahrmce" w:customStyle="1">
    <w:name w:val="Obsah rámce"/>
    <w:basedOn w:val="Normal"/>
    <w:qFormat/>
    <w:pPr/>
    <w:rPr/>
  </w:style>
  <w:style w:type="paragraph" w:styleId="Default" w:customStyle="1">
    <w:name w:val="Default"/>
    <w:qFormat/>
    <w:rsid w:val="003b4122"/>
    <w:pPr>
      <w:widowControl/>
      <w:suppressAutoHyphens w:val="true"/>
      <w:bidi w:val="0"/>
      <w:spacing w:before="0" w:after="0"/>
      <w:jc w:val="left"/>
    </w:pPr>
    <w:rPr>
      <w:rFonts w:ascii="Calibri" w:hAnsi="Calibri" w:eastAsia="Times New Roman" w:cs="Calibri"/>
      <w:color w:val="000000"/>
      <w:kern w:val="0"/>
      <w:sz w:val="24"/>
      <w:szCs w:val="24"/>
      <w:lang w:eastAsia="cs-CZ" w:val="cs-CZ" w:bidi="ar-SA"/>
    </w:rPr>
  </w:style>
  <w:style w:type="paragraph" w:styleId="Obsahtabulky" w:customStyle="1">
    <w:name w:val="Obsah tabulky"/>
    <w:basedOn w:val="Normal"/>
    <w:qFormat/>
    <w:pPr>
      <w:widowControl w:val="false"/>
      <w:suppressLineNumbers/>
    </w:pPr>
    <w:rPr/>
  </w:style>
  <w:style w:type="paragraph" w:styleId="Paragraph" w:customStyle="1">
    <w:name w:val="paragraph"/>
    <w:basedOn w:val="Normal"/>
    <w:qFormat/>
    <w:rsid w:val="0075286e"/>
    <w:pPr>
      <w:suppressAutoHyphens w:val="false"/>
      <w:spacing w:beforeAutospacing="1" w:afterAutospacing="1"/>
    </w:pPr>
    <w:rPr>
      <w:color w:val="auto"/>
    </w:rPr>
  </w:style>
  <w:style w:type="paragraph" w:styleId="Seznamsodrkami41" w:customStyle="1">
    <w:name w:val="Seznam s odrážkami 41"/>
    <w:basedOn w:val="ListParagraph"/>
    <w:next w:val="Normal"/>
    <w:uiPriority w:val="3"/>
    <w:qFormat/>
    <w:rsid w:val="00650e9a"/>
    <w:pPr>
      <w:keepNext w:val="true"/>
      <w:numPr>
        <w:ilvl w:val="0"/>
        <w:numId w:val="4"/>
      </w:numPr>
      <w:tabs>
        <w:tab w:val="clear" w:pos="708"/>
        <w:tab w:val="left" w:pos="567" w:leader="none"/>
      </w:tabs>
      <w:spacing w:lineRule="auto" w:line="276" w:before="440" w:after="0"/>
      <w:contextualSpacing/>
      <w:jc w:val="center"/>
    </w:pPr>
    <w:rPr>
      <w:rFonts w:ascii="Cambria" w:hAnsi="Cambria" w:asciiTheme="majorHAnsi" w:hAnsiTheme="majorHAnsi"/>
      <w:b/>
      <w:color w:val="auto"/>
      <w:sz w:val="22"/>
      <w:szCs w:val="20"/>
      <w:lang w:eastAsia="zh-CN"/>
    </w:rPr>
  </w:style>
  <w:style w:type="paragraph" w:styleId="Slovanseznam21" w:customStyle="1">
    <w:name w:val="Číslovaný seznam 21"/>
    <w:basedOn w:val="ListParagraph"/>
    <w:uiPriority w:val="3"/>
    <w:qFormat/>
    <w:rsid w:val="00650e9a"/>
    <w:pPr>
      <w:tabs>
        <w:tab w:val="clear" w:pos="708"/>
        <w:tab w:val="left" w:pos="0"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31" w:customStyle="1">
    <w:name w:val="Číslovaný seznam 31"/>
    <w:basedOn w:val="ListParagraph"/>
    <w:uiPriority w:val="3"/>
    <w:qFormat/>
    <w:rsid w:val="00650e9a"/>
    <w:pPr>
      <w:tabs>
        <w:tab w:val="clear" w:pos="708"/>
        <w:tab w:val="left" w:pos="0" w:leader="none"/>
        <w:tab w:val="left" w:pos="567" w:leader="none"/>
      </w:tabs>
      <w:spacing w:lineRule="auto" w:line="276" w:before="60" w:after="60"/>
      <w:ind w:left="0" w:hanging="0"/>
      <w:contextualSpacing/>
      <w:jc w:val="both"/>
    </w:pPr>
    <w:rPr>
      <w:rFonts w:ascii="Calibri" w:hAnsi="Calibri" w:asciiTheme="minorHAnsi" w:hAnsiTheme="minorHAnsi"/>
      <w:color w:val="auto"/>
      <w:sz w:val="22"/>
      <w:lang w:eastAsia="zh-CN"/>
    </w:rPr>
  </w:style>
  <w:style w:type="paragraph" w:styleId="Slovanseznam41" w:customStyle="1">
    <w:name w:val="Číslovaný seznam 41"/>
    <w:basedOn w:val="Slovanseznam31"/>
    <w:uiPriority w:val="3"/>
    <w:qFormat/>
    <w:rsid w:val="00650e9a"/>
    <w:pPr/>
    <w:rPr/>
  </w:style>
  <w:style w:type="paragraph" w:styleId="Slovanseznam51" w:customStyle="1">
    <w:name w:val="Číslovaný seznam 51"/>
    <w:basedOn w:val="Slovanseznam41"/>
    <w:uiPriority w:val="3"/>
    <w:qFormat/>
    <w:rsid w:val="00650e9a"/>
    <w:pPr>
      <w:jc w:val="lef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fc22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0937CD7-C728-4E65-9D50-E0028700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Application>LibreOffice/7.3.5.2$Linux_X86_64 LibreOffice_project/30$Build-2</Application>
  <AppVersion>15.0000</AppVersion>
  <DocSecurity>0</DocSecurity>
  <Pages>3</Pages>
  <Words>973</Words>
  <Characters>5785</Characters>
  <CharactersWithSpaces>6711</CharactersWithSpaces>
  <Paragraphs>63</Paragraphs>
  <Company>Arcibiskupství pražské</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2019-04-04T12:59:00Z</dcterms:created>
  <dc:creator>lukas.matys@gmail.com</dc:creator>
  <dc:description/>
  <dc:language>cs-CZ</dc:language>
  <cp:lastModifiedBy/>
  <cp:lastPrinted>2020-09-29T10:41:00Z</cp:lastPrinted>
  <dcterms:modified xsi:type="dcterms:W3CDTF">2022-09-13T11:10:03Z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