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04" w:rsidRDefault="00AE5904" w:rsidP="00AE5904">
      <w:pPr>
        <w:pStyle w:val="Nzev"/>
      </w:pPr>
      <w:r>
        <w:t xml:space="preserve">ZMĚNA ZÁVAZKU </w:t>
      </w:r>
      <w:r w:rsidR="00806ECF">
        <w:t xml:space="preserve">Č. 2 </w:t>
      </w:r>
      <w:r>
        <w:t>Z DODATKU Č. 1 K RÁMCOVÉ SMLOUVĚ O POSKYTOVÁNÍ SLUŽEB</w:t>
      </w:r>
    </w:p>
    <w:p w:rsidR="00AE5904" w:rsidRDefault="00AE5904" w:rsidP="00AE5904"/>
    <w:p w:rsidR="00AE5904" w:rsidRPr="000B6E82" w:rsidRDefault="00AE5904" w:rsidP="00AE5904">
      <w:pPr>
        <w:pStyle w:val="Podnadpis"/>
        <w:spacing w:after="120"/>
      </w:pPr>
      <w:r>
        <w:t>Smluvní strany</w:t>
      </w:r>
    </w:p>
    <w:p w:rsidR="00AE5904" w:rsidRDefault="00CC54F1" w:rsidP="00AE5904">
      <w:r>
        <w:rPr>
          <w:noProof/>
        </w:rPr>
        <w:pict w14:anchorId="2515AD05">
          <v:rect id="_x0000_i1025" alt="" style="width:517.35pt;height:.05pt;mso-width-percent:0;mso-height-percent:0;mso-width-percent:0;mso-height-percent:0" o:hralign="center" o:hrstd="t" o:hr="t" fillcolor="#a0a0a0" stroked="f"/>
        </w:pict>
      </w:r>
    </w:p>
    <w:p w:rsidR="00AE5904" w:rsidRPr="000B6E82" w:rsidRDefault="00AE5904" w:rsidP="00AE5904">
      <w:pPr>
        <w:rPr>
          <w:b/>
        </w:rPr>
      </w:pPr>
      <w:r w:rsidRPr="000B6E82">
        <w:rPr>
          <w:b/>
        </w:rPr>
        <w:t>Česká republika – Ministerstvo průmyslu a obchodu</w:t>
      </w:r>
      <w:r>
        <w:rPr>
          <w:b/>
        </w:rPr>
        <w:t xml:space="preserve"> </w:t>
      </w:r>
    </w:p>
    <w:p w:rsidR="00AE5904" w:rsidRDefault="00AE5904" w:rsidP="00AE5904">
      <w:pPr>
        <w:contextualSpacing/>
      </w:pPr>
      <w:r>
        <w:t xml:space="preserve">Se sídlem: </w:t>
      </w:r>
      <w:r>
        <w:tab/>
        <w:t xml:space="preserve"> </w:t>
      </w:r>
      <w:r>
        <w:tab/>
      </w:r>
      <w:r>
        <w:tab/>
        <w:t xml:space="preserve">Praha 1, Na Františku 32, PSČ 110 15 </w:t>
      </w:r>
    </w:p>
    <w:p w:rsidR="00AE5904" w:rsidRDefault="00AE5904" w:rsidP="00AE5904">
      <w:pPr>
        <w:contextualSpacing/>
      </w:pPr>
      <w:r>
        <w:t xml:space="preserve">IČ: </w:t>
      </w:r>
      <w:r>
        <w:tab/>
        <w:t xml:space="preserve"> </w:t>
      </w:r>
      <w:r>
        <w:tab/>
        <w:t xml:space="preserve"> </w:t>
      </w:r>
      <w:r>
        <w:tab/>
      </w:r>
      <w:r>
        <w:tab/>
        <w:t xml:space="preserve">47609109 </w:t>
      </w:r>
    </w:p>
    <w:p w:rsidR="00AE5904" w:rsidRDefault="00AE5904" w:rsidP="00AE5904">
      <w:pPr>
        <w:contextualSpacing/>
      </w:pPr>
      <w:r>
        <w:t xml:space="preserve">DIČ: </w:t>
      </w:r>
      <w:r>
        <w:tab/>
        <w:t xml:space="preserve"> </w:t>
      </w:r>
      <w:r>
        <w:tab/>
        <w:t xml:space="preserve"> </w:t>
      </w:r>
      <w:r>
        <w:tab/>
      </w:r>
      <w:r>
        <w:tab/>
        <w:t xml:space="preserve">CZ47609109, neplátce DPH </w:t>
      </w:r>
    </w:p>
    <w:p w:rsidR="00AE5904" w:rsidRDefault="00AE5904" w:rsidP="00AE5904">
      <w:pPr>
        <w:contextualSpacing/>
      </w:pPr>
      <w:r>
        <w:t xml:space="preserve">Bankovní spojení: </w:t>
      </w:r>
      <w:r>
        <w:tab/>
      </w:r>
      <w:r>
        <w:tab/>
      </w:r>
      <w:r w:rsidR="00CC54F1">
        <w:t>XXXXX</w:t>
      </w:r>
    </w:p>
    <w:p w:rsidR="00AE5904" w:rsidRPr="003A5215" w:rsidRDefault="00AE5904" w:rsidP="00AE5904">
      <w:pPr>
        <w:contextualSpacing/>
      </w:pPr>
      <w:r w:rsidRPr="00973426">
        <w:t xml:space="preserve">Jednající: </w:t>
      </w:r>
      <w:r w:rsidRPr="00973426">
        <w:tab/>
        <w:t xml:space="preserve"> </w:t>
      </w:r>
      <w:r w:rsidRPr="00973426">
        <w:tab/>
      </w:r>
      <w:r w:rsidRPr="00973426">
        <w:tab/>
      </w:r>
      <w:r w:rsidR="00CC54F1">
        <w:t>XXXXX</w:t>
      </w:r>
    </w:p>
    <w:p w:rsidR="00AE5904" w:rsidRDefault="00AE5904" w:rsidP="00AE5904">
      <w:pPr>
        <w:contextualSpacing/>
      </w:pPr>
    </w:p>
    <w:p w:rsidR="00AE5904" w:rsidRDefault="00AE5904" w:rsidP="00AE5904">
      <w:pPr>
        <w:contextualSpacing/>
      </w:pPr>
      <w:r>
        <w:t>(dále jen “</w:t>
      </w:r>
      <w:r w:rsidRPr="0001373D">
        <w:rPr>
          <w:b/>
          <w:bCs/>
        </w:rPr>
        <w:t>Objednatel</w:t>
      </w:r>
      <w:r>
        <w:t xml:space="preserve">”) na straně jedné </w:t>
      </w:r>
    </w:p>
    <w:p w:rsidR="00AE5904" w:rsidRDefault="00CC54F1" w:rsidP="00AE5904">
      <w:r>
        <w:rPr>
          <w:noProof/>
        </w:rPr>
        <w:pict w14:anchorId="4B9B5339">
          <v:rect id="_x0000_i1026" alt="" style="width:517.35pt;height:.05pt;mso-width-percent:0;mso-height-percent:0;mso-width-percent:0;mso-height-percent:0" o:hralign="center" o:hrstd="t" o:hr="t" fillcolor="#a0a0a0" stroked="f"/>
        </w:pict>
      </w:r>
    </w:p>
    <w:p w:rsidR="00AE5904" w:rsidRDefault="00AE5904" w:rsidP="00AE5904">
      <w:pPr>
        <w:spacing w:after="120"/>
      </w:pPr>
      <w:r>
        <w:t>a</w:t>
      </w:r>
    </w:p>
    <w:p w:rsidR="00AE5904" w:rsidRDefault="00CC54F1" w:rsidP="00AE5904">
      <w:r>
        <w:rPr>
          <w:noProof/>
        </w:rPr>
        <w:pict w14:anchorId="20D48EF5">
          <v:rect id="_x0000_i1027" alt="" style="width:517.35pt;height:.05pt;mso-width-percent:0;mso-height-percent:0;mso-width-percent:0;mso-height-percent:0" o:hralign="center" o:hrstd="t" o:hr="t" fillcolor="#a0a0a0" stroked="f"/>
        </w:pict>
      </w:r>
    </w:p>
    <w:p w:rsidR="00AE5904" w:rsidRPr="000B6E82" w:rsidRDefault="00AE5904" w:rsidP="00AE5904">
      <w:pPr>
        <w:rPr>
          <w:b/>
        </w:rPr>
      </w:pPr>
      <w:r>
        <w:rPr>
          <w:b/>
        </w:rPr>
        <w:t>Společnost:</w:t>
      </w:r>
      <w:r w:rsidRPr="000B6E82">
        <w:rPr>
          <w:b/>
        </w:rPr>
        <w:tab/>
      </w:r>
      <w:r>
        <w:rPr>
          <w:b/>
        </w:rPr>
        <w:tab/>
      </w:r>
      <w:r w:rsidRPr="000B6E82">
        <w:rPr>
          <w:b/>
        </w:rPr>
        <w:tab/>
      </w:r>
      <w:r>
        <w:t>ASD Software, s.r.o.</w:t>
      </w:r>
    </w:p>
    <w:p w:rsidR="00AE5904" w:rsidRDefault="00AE5904" w:rsidP="00AE5904">
      <w:pPr>
        <w:contextualSpacing/>
      </w:pPr>
      <w:r>
        <w:t xml:space="preserve">Se sídlem: </w:t>
      </w:r>
      <w:r>
        <w:tab/>
        <w:t xml:space="preserve"> </w:t>
      </w:r>
      <w:r>
        <w:tab/>
      </w:r>
      <w:r>
        <w:tab/>
      </w:r>
      <w:r w:rsidRPr="004C700C">
        <w:t>Žerotínova 2981/55A, 787 01 Šumperk</w:t>
      </w:r>
    </w:p>
    <w:p w:rsidR="00AE5904" w:rsidRDefault="005E5112" w:rsidP="005E5112">
      <w:pPr>
        <w:ind w:left="2835" w:hanging="2835"/>
        <w:contextualSpacing/>
      </w:pPr>
      <w:r>
        <w:t xml:space="preserve">                                                         </w:t>
      </w:r>
      <w:r w:rsidR="00AE5904" w:rsidRPr="008A7F8E">
        <w:t>zapsaná v obchodním rejstříku vedeném u Krajského obchodního soudu v Ostravě,</w:t>
      </w:r>
      <w:r>
        <w:t xml:space="preserve">    </w:t>
      </w:r>
      <w:r w:rsidR="00AE5904" w:rsidRPr="008A7F8E">
        <w:t>oddíl C, vložka 7973</w:t>
      </w:r>
    </w:p>
    <w:p w:rsidR="00AE5904" w:rsidRDefault="00AE5904" w:rsidP="00AE5904">
      <w:pPr>
        <w:contextualSpacing/>
      </w:pPr>
      <w:r>
        <w:t xml:space="preserve">IČ: </w:t>
      </w:r>
      <w:r>
        <w:tab/>
        <w:t xml:space="preserve"> </w:t>
      </w:r>
      <w:r>
        <w:tab/>
        <w:t xml:space="preserve"> </w:t>
      </w:r>
      <w:r>
        <w:tab/>
      </w:r>
      <w:r>
        <w:tab/>
      </w:r>
      <w:r w:rsidRPr="004C700C">
        <w:t>62363930</w:t>
      </w:r>
    </w:p>
    <w:p w:rsidR="00AE5904" w:rsidRDefault="00AE5904" w:rsidP="00AE5904">
      <w:pPr>
        <w:contextualSpacing/>
      </w:pPr>
      <w:r>
        <w:t xml:space="preserve">DIČ: </w:t>
      </w:r>
      <w:r>
        <w:tab/>
        <w:t xml:space="preserve"> </w:t>
      </w:r>
      <w:r>
        <w:tab/>
        <w:t xml:space="preserve"> </w:t>
      </w:r>
      <w:r>
        <w:tab/>
      </w:r>
      <w:r>
        <w:tab/>
      </w:r>
      <w:r w:rsidRPr="008A7F8E">
        <w:t>CZ62363930</w:t>
      </w:r>
      <w:r>
        <w:t xml:space="preserve"> </w:t>
      </w:r>
    </w:p>
    <w:p w:rsidR="00AE5904" w:rsidRDefault="00AE5904" w:rsidP="00AE5904">
      <w:pPr>
        <w:contextualSpacing/>
      </w:pPr>
      <w:r>
        <w:t xml:space="preserve">Bankovní spojení: </w:t>
      </w:r>
      <w:r>
        <w:tab/>
      </w:r>
      <w:r>
        <w:tab/>
      </w:r>
      <w:r w:rsidRPr="008A7F8E">
        <w:t xml:space="preserve">Komerční banka Šumperk, </w:t>
      </w:r>
      <w:r w:rsidR="00CC54F1">
        <w:t>XXXXX</w:t>
      </w:r>
    </w:p>
    <w:p w:rsidR="00AE5904" w:rsidRDefault="00AE5904" w:rsidP="00AE5904">
      <w:pPr>
        <w:contextualSpacing/>
      </w:pPr>
      <w:r>
        <w:t xml:space="preserve">Jednající: </w:t>
      </w:r>
      <w:r>
        <w:tab/>
        <w:t xml:space="preserve"> </w:t>
      </w:r>
      <w:r>
        <w:tab/>
      </w:r>
      <w:r>
        <w:tab/>
      </w:r>
      <w:r w:rsidR="00CC54F1">
        <w:t>XXXXX</w:t>
      </w:r>
    </w:p>
    <w:p w:rsidR="00AE5904" w:rsidRDefault="00AE5904" w:rsidP="00AE5904">
      <w:pPr>
        <w:contextualSpacing/>
      </w:pPr>
    </w:p>
    <w:p w:rsidR="00AE5904" w:rsidRDefault="00AE5904" w:rsidP="00AE5904">
      <w:pPr>
        <w:contextualSpacing/>
      </w:pPr>
      <w:r>
        <w:t>(dále jen “</w:t>
      </w:r>
      <w:r w:rsidRPr="0001373D">
        <w:rPr>
          <w:b/>
          <w:bCs/>
        </w:rPr>
        <w:t>Poskytovatel</w:t>
      </w:r>
      <w:r>
        <w:t>”) na straně druhé</w:t>
      </w:r>
    </w:p>
    <w:p w:rsidR="00AE5904" w:rsidRDefault="00CC54F1" w:rsidP="00AE5904">
      <w:r>
        <w:rPr>
          <w:noProof/>
        </w:rPr>
        <w:pict w14:anchorId="157D15B0">
          <v:rect id="_x0000_i1028" alt="" style="width:517.35pt;height:.05pt;mso-width-percent:0;mso-height-percent:0;mso-width-percent:0;mso-height-percent:0" o:hralign="center" o:hrstd="t" o:hr="t" fillcolor="#a0a0a0" stroked="f"/>
        </w:pict>
      </w:r>
    </w:p>
    <w:p w:rsidR="00AE5904" w:rsidRDefault="00AE5904" w:rsidP="00AE5904">
      <w:pPr>
        <w:spacing w:after="200" w:line="276" w:lineRule="auto"/>
      </w:pPr>
      <w:r>
        <w:br w:type="page"/>
      </w:r>
    </w:p>
    <w:p w:rsidR="00AE5904" w:rsidRDefault="00AE5904" w:rsidP="00AE5904"/>
    <w:p w:rsidR="00AE5904" w:rsidRDefault="00AE5904" w:rsidP="0027676B">
      <w:pPr>
        <w:spacing w:after="240"/>
        <w:jc w:val="both"/>
      </w:pPr>
      <w:r>
        <w:t>Poskytovatel a Objednatel (dále společně jen „</w:t>
      </w:r>
      <w:r w:rsidRPr="000B6E82">
        <w:rPr>
          <w:b/>
        </w:rPr>
        <w:t>Smluvní strany</w:t>
      </w:r>
      <w:r>
        <w:t xml:space="preserve">“) dnešního dne uzavřeli tuto </w:t>
      </w:r>
      <w:r w:rsidRPr="00B863A6">
        <w:rPr>
          <w:b/>
          <w:bCs/>
        </w:rPr>
        <w:t>Změnu závazku</w:t>
      </w:r>
      <w:r>
        <w:t xml:space="preserve"> dle § 1746 odst. 2 zákona č. 89/2012 Sb., občanský zákoník, ve znění pozdějších předpisů (dále jen „</w:t>
      </w:r>
      <w:r w:rsidRPr="000B6E82">
        <w:rPr>
          <w:b/>
        </w:rPr>
        <w:t>občanský zákoník</w:t>
      </w:r>
      <w:r>
        <w:t xml:space="preserve">“) a </w:t>
      </w:r>
      <w:r w:rsidRPr="00322D01">
        <w:t>§</w:t>
      </w:r>
      <w:r>
        <w:t xml:space="preserve"> 222 odst. </w:t>
      </w:r>
      <w:r w:rsidR="008F0998">
        <w:t>5 a § 222 odst. 6</w:t>
      </w:r>
      <w:r>
        <w:t xml:space="preserve"> zákona č. 134/2016 Sb., o zadávání veřejných zakázek, ve znění pozdějších předpisů (dále jen „</w:t>
      </w:r>
      <w:r w:rsidRPr="0001373D">
        <w:rPr>
          <w:b/>
          <w:bCs/>
        </w:rPr>
        <w:t>ZZVZ</w:t>
      </w:r>
      <w:r>
        <w:t>“) ke smlouvě - Dodatku č. 1 k Rámcové smlouvě o poskytování služeb – uzavřené mezi Smluvními stranami dne 1. 4. 2021 (dále jen „</w:t>
      </w:r>
      <w:r w:rsidRPr="00D02F8C">
        <w:rPr>
          <w:b/>
          <w:bCs/>
        </w:rPr>
        <w:t>Smlouva</w:t>
      </w:r>
      <w:r>
        <w:t xml:space="preserve">“) na základě jednacího řízení bez uveřejnění podle § 63 odst. 5 ZZVZ z důvodu krajně naléhavé okolnosti, jehož oznámení o výsledku bylo pod ev. č. formuláře </w:t>
      </w:r>
      <w:r w:rsidRPr="00D02F8C">
        <w:t>F2021-015609</w:t>
      </w:r>
      <w:r>
        <w:t xml:space="preserve"> uveřejněno ve Věstníku veřejných zakázek dne 3. 5. 2021</w:t>
      </w:r>
      <w:r w:rsidR="00A41A4D">
        <w:t>, ve znění Změny závazku z dodatku č. 1 k rámcové smlouvě o</w:t>
      </w:r>
      <w:r w:rsidR="00BF5736">
        <w:t> </w:t>
      </w:r>
      <w:r w:rsidR="00A41A4D">
        <w:t>poskytování služeb ze dne 21. 9. 2022</w:t>
      </w:r>
      <w:r>
        <w:t>.</w:t>
      </w:r>
    </w:p>
    <w:p w:rsidR="008F0998" w:rsidRDefault="00AE5904" w:rsidP="0027676B">
      <w:pPr>
        <w:spacing w:after="240"/>
        <w:jc w:val="both"/>
      </w:pPr>
      <w:r>
        <w:t xml:space="preserve">V souladu s § 222 odst. </w:t>
      </w:r>
      <w:r w:rsidR="008F0998">
        <w:t>5</w:t>
      </w:r>
      <w:r>
        <w:t xml:space="preserve"> ZZVZ je možné provést takovou změnu závazku ze smlouvy na veřejnou zakázku, </w:t>
      </w:r>
      <w:r w:rsidR="008F0998">
        <w:t xml:space="preserve">jejíž podstata spočívá v zajištění dodatečných </w:t>
      </w:r>
      <w:r w:rsidR="00F306DA">
        <w:t>služeb</w:t>
      </w:r>
      <w:r w:rsidR="008F0998">
        <w:t xml:space="preserve"> </w:t>
      </w:r>
      <w:r w:rsidR="001C7996">
        <w:t xml:space="preserve">1) </w:t>
      </w:r>
      <w:r w:rsidR="008F0998" w:rsidRPr="001C7996">
        <w:rPr>
          <w:b/>
          <w:bCs/>
        </w:rPr>
        <w:t>od dodavatele původní veřejné zakázky, které nebyly zahrnuty v původním závazku ze smlouvy na veřejnou zakázku</w:t>
      </w:r>
      <w:r w:rsidR="008F0998">
        <w:t xml:space="preserve">, a které jsou </w:t>
      </w:r>
      <w:r w:rsidR="001C7996">
        <w:t xml:space="preserve">2) </w:t>
      </w:r>
      <w:r w:rsidR="008F0998" w:rsidRPr="001C7996">
        <w:rPr>
          <w:b/>
          <w:bCs/>
        </w:rPr>
        <w:t>nezbytné</w:t>
      </w:r>
      <w:r w:rsidR="008F0998">
        <w:t xml:space="preserve">, a zároveň změna v osobě dodavatele </w:t>
      </w:r>
      <w:r w:rsidR="001C7996">
        <w:t>3</w:t>
      </w:r>
      <w:r>
        <w:t xml:space="preserve">) </w:t>
      </w:r>
      <w:r w:rsidR="008F0998" w:rsidRPr="00DD0FCA">
        <w:rPr>
          <w:b/>
          <w:bCs/>
        </w:rPr>
        <w:t>není možná z ekonomických anebo technických důvodů</w:t>
      </w:r>
      <w:r w:rsidR="008F0998">
        <w:t xml:space="preserve"> spočívajících zejména v požadavcích na slučitelnost nebo interoperabilitu se stávajícím zařízením, službami nebo instalacemi pořízenými zadavatelem v původním zadávacím řízení</w:t>
      </w:r>
      <w:r>
        <w:t xml:space="preserve"> </w:t>
      </w:r>
      <w:r w:rsidR="001C7996">
        <w:t>4</w:t>
      </w:r>
      <w:r>
        <w:t xml:space="preserve">) </w:t>
      </w:r>
      <w:r w:rsidR="008F0998" w:rsidRPr="00DD0FCA">
        <w:rPr>
          <w:b/>
          <w:bCs/>
        </w:rPr>
        <w:t>by způsobila dodavateli značné obtíže nebo výrazné zvýšení nákladů</w:t>
      </w:r>
      <w:r w:rsidR="008F0998">
        <w:t xml:space="preserve"> a </w:t>
      </w:r>
      <w:r w:rsidR="001C7996">
        <w:t>5</w:t>
      </w:r>
      <w:r w:rsidR="008F0998">
        <w:t xml:space="preserve">) </w:t>
      </w:r>
      <w:r w:rsidR="008F0998" w:rsidRPr="00DD0FCA">
        <w:rPr>
          <w:b/>
          <w:bCs/>
        </w:rPr>
        <w:t xml:space="preserve">hodnota </w:t>
      </w:r>
      <w:r w:rsidR="008F0998">
        <w:t xml:space="preserve">dodatečných stavebních prací, služeb nebo dodávek </w:t>
      </w:r>
      <w:r w:rsidR="008F0998" w:rsidRPr="00DD0FCA">
        <w:rPr>
          <w:b/>
          <w:bCs/>
        </w:rPr>
        <w:t xml:space="preserve">nepřekročí </w:t>
      </w:r>
      <w:r w:rsidR="001C7996">
        <w:rPr>
          <w:b/>
          <w:bCs/>
        </w:rPr>
        <w:t>5</w:t>
      </w:r>
      <w:r w:rsidR="008F0998" w:rsidRPr="00DD0FCA">
        <w:rPr>
          <w:b/>
          <w:bCs/>
        </w:rPr>
        <w:t>0</w:t>
      </w:r>
      <w:r w:rsidR="001C7996">
        <w:rPr>
          <w:b/>
          <w:bCs/>
        </w:rPr>
        <w:t xml:space="preserve"> </w:t>
      </w:r>
      <w:r w:rsidR="008F0998" w:rsidRPr="00DD0FCA">
        <w:rPr>
          <w:b/>
          <w:bCs/>
        </w:rPr>
        <w:t>% původní hodnoty závazku</w:t>
      </w:r>
      <w:r>
        <w:t>.</w:t>
      </w:r>
      <w:r w:rsidR="008F0998">
        <w:t xml:space="preserve"> </w:t>
      </w:r>
    </w:p>
    <w:p w:rsidR="008F0998" w:rsidRDefault="008F0998" w:rsidP="0027676B">
      <w:pPr>
        <w:spacing w:after="240"/>
        <w:jc w:val="both"/>
      </w:pPr>
      <w:r>
        <w:t>V souladu s § 222 odst. 6 ZZVZ je pak možné provést takovou změnu závazku ze smlouvy</w:t>
      </w:r>
      <w:r w:rsidR="001C7996">
        <w:t>,</w:t>
      </w:r>
      <w:r>
        <w:t xml:space="preserve"> 1) jejíž </w:t>
      </w:r>
      <w:r w:rsidRPr="00DD0FCA">
        <w:rPr>
          <w:b/>
          <w:bCs/>
        </w:rPr>
        <w:t>potřeba vznikla v důsledku okolností, které zadavatel jednající s náležitou péči nemohl předvídat</w:t>
      </w:r>
      <w:r w:rsidR="001C7996">
        <w:rPr>
          <w:b/>
          <w:bCs/>
        </w:rPr>
        <w:t>,</w:t>
      </w:r>
      <w:r>
        <w:t xml:space="preserve"> 2) </w:t>
      </w:r>
      <w:r w:rsidRPr="00DD0FCA">
        <w:rPr>
          <w:b/>
          <w:bCs/>
        </w:rPr>
        <w:t>nemění celkovou povahu veřejné zakázky</w:t>
      </w:r>
      <w:r>
        <w:t xml:space="preserve"> a 3) </w:t>
      </w:r>
      <w:r w:rsidRPr="00DD0FCA">
        <w:rPr>
          <w:b/>
          <w:bCs/>
        </w:rPr>
        <w:t xml:space="preserve">hodnota </w:t>
      </w:r>
      <w:r w:rsidRPr="001C7996">
        <w:rPr>
          <w:b/>
          <w:bCs/>
        </w:rPr>
        <w:t>změny</w:t>
      </w:r>
      <w:r>
        <w:t xml:space="preserve"> </w:t>
      </w:r>
      <w:r w:rsidRPr="00DD0FCA">
        <w:rPr>
          <w:b/>
          <w:bCs/>
        </w:rPr>
        <w:t xml:space="preserve">nepřekročí </w:t>
      </w:r>
      <w:r w:rsidR="001C7996">
        <w:rPr>
          <w:b/>
          <w:bCs/>
        </w:rPr>
        <w:t>5</w:t>
      </w:r>
      <w:r w:rsidRPr="00DD0FCA">
        <w:rPr>
          <w:b/>
          <w:bCs/>
        </w:rPr>
        <w:t>0</w:t>
      </w:r>
      <w:r w:rsidR="001C7996">
        <w:rPr>
          <w:b/>
          <w:bCs/>
        </w:rPr>
        <w:t xml:space="preserve"> </w:t>
      </w:r>
      <w:r w:rsidRPr="00DD0FCA">
        <w:rPr>
          <w:b/>
          <w:bCs/>
        </w:rPr>
        <w:t>% původní hodnoty závazku</w:t>
      </w:r>
      <w:r>
        <w:t xml:space="preserve">. </w:t>
      </w:r>
    </w:p>
    <w:p w:rsidR="00E903E5" w:rsidRDefault="00E903E5" w:rsidP="0027676B">
      <w:pPr>
        <w:spacing w:after="240"/>
        <w:jc w:val="both"/>
      </w:pPr>
      <w:r>
        <w:t xml:space="preserve">V souladu s § 222 odst. 9 ZZVZ se hodnota </w:t>
      </w:r>
      <w:r w:rsidR="00A41A4D">
        <w:t xml:space="preserve">všech </w:t>
      </w:r>
      <w:r>
        <w:t>změn</w:t>
      </w:r>
      <w:r w:rsidR="00A41A4D">
        <w:t xml:space="preserve"> </w:t>
      </w:r>
      <w:r>
        <w:t>závazku podle § 222 odst. 5</w:t>
      </w:r>
      <w:r w:rsidR="001C7996">
        <w:t xml:space="preserve"> a 6</w:t>
      </w:r>
      <w:r>
        <w:t xml:space="preserve"> ZZVZ sčítá, </w:t>
      </w:r>
      <w:r w:rsidR="001C7996">
        <w:t>přičemž</w:t>
      </w:r>
      <w:r>
        <w:t xml:space="preserve"> celkový cenový nárůst </w:t>
      </w:r>
      <w:r w:rsidR="001C7996">
        <w:t>těchto změn</w:t>
      </w:r>
      <w:r>
        <w:t xml:space="preserve"> nesmí přesáhnout </w:t>
      </w:r>
      <w:r w:rsidR="001C7996">
        <w:t>3</w:t>
      </w:r>
      <w:r>
        <w:t>0</w:t>
      </w:r>
      <w:r w:rsidR="00BF5736">
        <w:t xml:space="preserve"> </w:t>
      </w:r>
      <w:r>
        <w:t xml:space="preserve">% původní hodnoty závazku, tedy částku </w:t>
      </w:r>
      <w:r w:rsidR="001C7996">
        <w:rPr>
          <w:b/>
          <w:bCs/>
        </w:rPr>
        <w:t>9 390 000</w:t>
      </w:r>
      <w:r w:rsidRPr="001C7996">
        <w:rPr>
          <w:b/>
          <w:bCs/>
        </w:rPr>
        <w:t>,- Kč</w:t>
      </w:r>
      <w:r w:rsidR="00BF5736">
        <w:rPr>
          <w:b/>
          <w:bCs/>
        </w:rPr>
        <w:t xml:space="preserve"> bez DPH</w:t>
      </w:r>
      <w:r w:rsidRPr="001C7996">
        <w:rPr>
          <w:b/>
          <w:bCs/>
        </w:rPr>
        <w:t>.</w:t>
      </w:r>
      <w:r>
        <w:t xml:space="preserve"> </w:t>
      </w:r>
    </w:p>
    <w:p w:rsidR="00AE5904" w:rsidRDefault="00AE5904" w:rsidP="0027676B">
      <w:pPr>
        <w:spacing w:after="240"/>
        <w:jc w:val="both"/>
      </w:pPr>
      <w:r>
        <w:t xml:space="preserve">Touto Změnou závazku ze Smlouvy dochází ke </w:t>
      </w:r>
      <w:r w:rsidR="009A4A6A">
        <w:t xml:space="preserve">změně maximální </w:t>
      </w:r>
      <w:r w:rsidRPr="00AA1A89">
        <w:t>cen</w:t>
      </w:r>
      <w:r>
        <w:t>y</w:t>
      </w:r>
      <w:r w:rsidRPr="00AA1A89">
        <w:t xml:space="preserve"> za </w:t>
      </w:r>
      <w:r w:rsidR="007477B5" w:rsidRPr="00AA1A89">
        <w:t>vešk</w:t>
      </w:r>
      <w:r w:rsidR="007477B5">
        <w:t>eré</w:t>
      </w:r>
      <w:r w:rsidR="007477B5" w:rsidRPr="00AA1A89">
        <w:t xml:space="preserve"> </w:t>
      </w:r>
      <w:r w:rsidRPr="00AA1A89">
        <w:t xml:space="preserve">plnění </w:t>
      </w:r>
      <w:r w:rsidR="007477B5" w:rsidRPr="00AA1A89">
        <w:t>poskytovan</w:t>
      </w:r>
      <w:r w:rsidR="007477B5">
        <w:t>é</w:t>
      </w:r>
      <w:r w:rsidR="007477B5" w:rsidRPr="00AA1A89">
        <w:t xml:space="preserve"> </w:t>
      </w:r>
      <w:r w:rsidRPr="00AA1A89">
        <w:t>postupně dle Smlouvy na základě objednávek</w:t>
      </w:r>
      <w:r>
        <w:t>.</w:t>
      </w:r>
    </w:p>
    <w:p w:rsidR="00F306DA" w:rsidRDefault="00DD0FCA" w:rsidP="0027676B">
      <w:pPr>
        <w:spacing w:after="240"/>
        <w:jc w:val="both"/>
        <w:rPr>
          <w:rFonts w:cstheme="minorHAnsi"/>
        </w:rPr>
      </w:pPr>
      <w:r>
        <w:t>Jde-li o splnění podmínek pro provedení změny závazku v souladu s § 222 odst. 5 ZZV</w:t>
      </w:r>
      <w:r w:rsidR="00BF5736">
        <w:t>Z</w:t>
      </w:r>
      <w:r>
        <w:t xml:space="preserve">, tak </w:t>
      </w:r>
      <w:r>
        <w:rPr>
          <w:rFonts w:cstheme="minorHAnsi"/>
          <w:b/>
          <w:bCs/>
        </w:rPr>
        <w:t xml:space="preserve">vícepráce spočívající v rozšíření </w:t>
      </w:r>
      <w:r w:rsidRPr="00F306DA">
        <w:rPr>
          <w:b/>
          <w:bCs/>
        </w:rPr>
        <w:t>AIS MPO</w:t>
      </w:r>
      <w:r>
        <w:t>,</w:t>
      </w:r>
      <w:r w:rsidRPr="00DD0FCA">
        <w:t xml:space="preserve"> </w:t>
      </w:r>
      <w:r>
        <w:t>které j</w:t>
      </w:r>
      <w:r w:rsidRPr="00F306DA">
        <w:rPr>
          <w:b/>
          <w:bCs/>
        </w:rPr>
        <w:t xml:space="preserve">sou </w:t>
      </w:r>
      <w:r w:rsidR="00F306DA" w:rsidRPr="00F306DA">
        <w:rPr>
          <w:b/>
          <w:bCs/>
        </w:rPr>
        <w:t>nezbytné</w:t>
      </w:r>
      <w:r w:rsidRPr="00F306DA">
        <w:rPr>
          <w:b/>
          <w:bCs/>
        </w:rPr>
        <w:t xml:space="preserve"> z důvodu rozšíření výčtu kompenzačních programů realizovaných prostřednictvím AIS MPO</w:t>
      </w:r>
      <w:r w:rsidR="00F306DA">
        <w:t xml:space="preserve"> </w:t>
      </w:r>
      <w:r w:rsidR="00F306DA" w:rsidRPr="00F306DA">
        <w:rPr>
          <w:b/>
          <w:bCs/>
        </w:rPr>
        <w:t>o kompenzační programy zmírňující negativní dopady vysokých cen energií pro dotčené subjekty České republiky</w:t>
      </w:r>
      <w:r>
        <w:t xml:space="preserve">, </w:t>
      </w:r>
      <w:r w:rsidR="00F306DA">
        <w:t xml:space="preserve">které </w:t>
      </w:r>
      <w:r w:rsidRPr="00F306DA">
        <w:rPr>
          <w:b/>
          <w:bCs/>
        </w:rPr>
        <w:t>nebyly</w:t>
      </w:r>
      <w:r w:rsidRPr="00F306DA">
        <w:rPr>
          <w:rFonts w:cstheme="minorHAnsi"/>
          <w:b/>
          <w:bCs/>
        </w:rPr>
        <w:t xml:space="preserve"> zahrnuty v předmětu veřejné zakázky</w:t>
      </w:r>
      <w:r>
        <w:rPr>
          <w:rFonts w:cstheme="minorHAnsi"/>
        </w:rPr>
        <w:t xml:space="preserve">. </w:t>
      </w:r>
      <w:r w:rsidRPr="00F306DA">
        <w:rPr>
          <w:rFonts w:cstheme="minorHAnsi"/>
        </w:rPr>
        <w:t>Současně</w:t>
      </w:r>
      <w:r w:rsidRPr="002A0996">
        <w:rPr>
          <w:rFonts w:cstheme="minorHAnsi"/>
          <w:b/>
          <w:bCs/>
        </w:rPr>
        <w:t xml:space="preserve"> změna v osobě dodavatele </w:t>
      </w:r>
      <w:r w:rsidR="00F306DA">
        <w:rPr>
          <w:rFonts w:cstheme="minorHAnsi"/>
          <w:b/>
          <w:bCs/>
        </w:rPr>
        <w:t xml:space="preserve">v dané situaci není fakticky </w:t>
      </w:r>
      <w:r w:rsidRPr="002A0996">
        <w:rPr>
          <w:rFonts w:cstheme="minorHAnsi"/>
          <w:b/>
          <w:bCs/>
        </w:rPr>
        <w:t>možná</w:t>
      </w:r>
      <w:r w:rsidRPr="00F306DA">
        <w:rPr>
          <w:rFonts w:cstheme="minorHAnsi"/>
          <w:b/>
          <w:bCs/>
        </w:rPr>
        <w:t xml:space="preserve">, a to </w:t>
      </w:r>
      <w:r w:rsidR="002A0996" w:rsidRPr="00F306DA">
        <w:rPr>
          <w:rFonts w:cstheme="minorHAnsi"/>
          <w:b/>
          <w:bCs/>
        </w:rPr>
        <w:t xml:space="preserve">zejména </w:t>
      </w:r>
      <w:r w:rsidRPr="00F306DA">
        <w:rPr>
          <w:rFonts w:cstheme="minorHAnsi"/>
          <w:b/>
          <w:bCs/>
        </w:rPr>
        <w:t xml:space="preserve">z důvodů </w:t>
      </w:r>
      <w:r w:rsidR="00F306DA">
        <w:rPr>
          <w:rFonts w:cstheme="minorHAnsi"/>
          <w:b/>
          <w:bCs/>
        </w:rPr>
        <w:t xml:space="preserve">technických a </w:t>
      </w:r>
      <w:r w:rsidRPr="00F306DA">
        <w:rPr>
          <w:rFonts w:cstheme="minorHAnsi"/>
          <w:b/>
          <w:bCs/>
        </w:rPr>
        <w:t>ekonomických</w:t>
      </w:r>
      <w:r>
        <w:rPr>
          <w:rFonts w:cstheme="minorHAnsi"/>
        </w:rPr>
        <w:t>,</w:t>
      </w:r>
      <w:r w:rsidR="00F306DA">
        <w:rPr>
          <w:rFonts w:cstheme="minorHAnsi"/>
        </w:rPr>
        <w:t xml:space="preserve"> přičemž </w:t>
      </w:r>
      <w:r w:rsidR="00F306DA" w:rsidRPr="00F306DA">
        <w:rPr>
          <w:rFonts w:cstheme="minorHAnsi"/>
          <w:b/>
          <w:bCs/>
        </w:rPr>
        <w:t>hypotetická změna v osobě dodavatele by zadavateli způsobila jak značné (především technické) obtíže, tak i výrazné zvýšení nákladů</w:t>
      </w:r>
      <w:r w:rsidR="00F306DA">
        <w:rPr>
          <w:rFonts w:cstheme="minorHAnsi"/>
        </w:rPr>
        <w:t xml:space="preserve">. S ohledem na hodnotu změny závazku ve výši 9 390 </w:t>
      </w:r>
      <w:r w:rsidR="00827F8D">
        <w:rPr>
          <w:rFonts w:cstheme="minorHAnsi"/>
        </w:rPr>
        <w:t>0</w:t>
      </w:r>
      <w:r w:rsidR="00F306DA">
        <w:rPr>
          <w:rFonts w:cstheme="minorHAnsi"/>
        </w:rPr>
        <w:t>00,-</w:t>
      </w:r>
      <w:r w:rsidR="00F306DA" w:rsidRPr="00BF5736">
        <w:rPr>
          <w:rFonts w:cstheme="minorHAnsi"/>
        </w:rPr>
        <w:t xml:space="preserve"> Kč</w:t>
      </w:r>
      <w:r w:rsidR="00BF5736">
        <w:rPr>
          <w:rFonts w:cstheme="minorHAnsi"/>
        </w:rPr>
        <w:t xml:space="preserve"> bez DPH</w:t>
      </w:r>
      <w:r w:rsidR="00F306DA" w:rsidRPr="00F306DA">
        <w:rPr>
          <w:rFonts w:cstheme="minorHAnsi"/>
          <w:b/>
          <w:bCs/>
        </w:rPr>
        <w:t xml:space="preserve"> je splněna i podmínka spočívající ve</w:t>
      </w:r>
      <w:r w:rsidR="00BF5736">
        <w:rPr>
          <w:rFonts w:cstheme="minorHAnsi"/>
          <w:b/>
          <w:bCs/>
        </w:rPr>
        <w:t> </w:t>
      </w:r>
      <w:r w:rsidR="00F306DA" w:rsidRPr="00F306DA">
        <w:rPr>
          <w:rFonts w:cstheme="minorHAnsi"/>
          <w:b/>
          <w:bCs/>
        </w:rPr>
        <w:t>finančním limitu 50 %, resp. 30 % původní hodnoty závazku ze smlouvy na veřejnou zakázku</w:t>
      </w:r>
      <w:r w:rsidR="00F306DA">
        <w:rPr>
          <w:rFonts w:cstheme="minorHAnsi"/>
        </w:rPr>
        <w:t>.</w:t>
      </w:r>
    </w:p>
    <w:p w:rsidR="002963F6" w:rsidRPr="00F306DA" w:rsidRDefault="002A0996" w:rsidP="0027676B">
      <w:pPr>
        <w:spacing w:after="240"/>
        <w:jc w:val="both"/>
        <w:rPr>
          <w:b/>
          <w:bCs/>
        </w:rPr>
      </w:pPr>
      <w:r>
        <w:lastRenderedPageBreak/>
        <w:t>Jde-li o splnění podmínek pro provedení změny závazku v souladu s § 222 odst. 6 ZZV</w:t>
      </w:r>
      <w:r w:rsidR="00BF5736">
        <w:t>Z</w:t>
      </w:r>
      <w:r>
        <w:t xml:space="preserve">, </w:t>
      </w:r>
      <w:r w:rsidR="00F306DA">
        <w:t>pak lze konstatovat, že</w:t>
      </w:r>
      <w:r w:rsidR="00BF5736">
        <w:t> </w:t>
      </w:r>
      <w:r w:rsidRPr="00F306DA">
        <w:rPr>
          <w:b/>
          <w:bCs/>
        </w:rPr>
        <w:t xml:space="preserve">potřeba této změny vznikla </w:t>
      </w:r>
      <w:r w:rsidR="0019050A" w:rsidRPr="00F306DA">
        <w:rPr>
          <w:b/>
          <w:bCs/>
        </w:rPr>
        <w:t>v důsledku</w:t>
      </w:r>
      <w:r w:rsidR="0019050A">
        <w:t xml:space="preserve"> </w:t>
      </w:r>
      <w:r w:rsidR="00F306DA">
        <w:rPr>
          <w:b/>
          <w:bCs/>
        </w:rPr>
        <w:t>nečekaného a extrémn</w:t>
      </w:r>
      <w:r w:rsidR="00F306DA" w:rsidRPr="00F306DA">
        <w:rPr>
          <w:b/>
          <w:bCs/>
        </w:rPr>
        <w:t>ího</w:t>
      </w:r>
      <w:r w:rsidR="0019050A" w:rsidRPr="00F306DA">
        <w:rPr>
          <w:b/>
          <w:bCs/>
        </w:rPr>
        <w:t xml:space="preserve"> nárustu cen </w:t>
      </w:r>
      <w:r w:rsidR="00F306DA" w:rsidRPr="00F306DA">
        <w:rPr>
          <w:b/>
          <w:bCs/>
        </w:rPr>
        <w:t xml:space="preserve">elektřiny, </w:t>
      </w:r>
      <w:r w:rsidR="00C87F3E" w:rsidRPr="00F306DA">
        <w:rPr>
          <w:b/>
          <w:bCs/>
        </w:rPr>
        <w:t>která ode dne uzavření Smlouvy vzrostla o 577</w:t>
      </w:r>
      <w:r w:rsidR="00F306DA">
        <w:rPr>
          <w:b/>
          <w:bCs/>
        </w:rPr>
        <w:t xml:space="preserve"> </w:t>
      </w:r>
      <w:r w:rsidR="00C87F3E" w:rsidRPr="00F306DA">
        <w:rPr>
          <w:b/>
          <w:bCs/>
        </w:rPr>
        <w:t>%</w:t>
      </w:r>
      <w:r w:rsidR="00C87F3E" w:rsidRPr="00F306DA">
        <w:rPr>
          <w:rStyle w:val="Znakapoznpodarou"/>
          <w:b/>
          <w:bCs/>
        </w:rPr>
        <w:footnoteReference w:id="1"/>
      </w:r>
      <w:r w:rsidR="00F306DA" w:rsidRPr="00F306DA">
        <w:rPr>
          <w:b/>
          <w:bCs/>
        </w:rPr>
        <w:t>, přičemž právě ke kompenzaci této zcela nepredikovatelné situace má ze strany zadavatele dojít prostřednictvím kompenzačních programů v AIS MPO</w:t>
      </w:r>
      <w:r w:rsidR="00C87F3E">
        <w:t>.</w:t>
      </w:r>
      <w:r>
        <w:t xml:space="preserve"> </w:t>
      </w:r>
      <w:r w:rsidR="00F306DA">
        <w:t xml:space="preserve">Takovou situaci – kdy zadavatel bude nucen rozšířit kompenzační programy AIS MPO – </w:t>
      </w:r>
      <w:r w:rsidR="00F306DA" w:rsidRPr="00F306DA">
        <w:rPr>
          <w:b/>
          <w:bCs/>
        </w:rPr>
        <w:t xml:space="preserve">nemohl </w:t>
      </w:r>
      <w:r w:rsidR="002963F6" w:rsidRPr="00F306DA">
        <w:rPr>
          <w:b/>
          <w:bCs/>
        </w:rPr>
        <w:t xml:space="preserve">zadavatel </w:t>
      </w:r>
      <w:r w:rsidR="00F306DA" w:rsidRPr="00F306DA">
        <w:rPr>
          <w:b/>
          <w:bCs/>
        </w:rPr>
        <w:t>jednající s náležitou péčí</w:t>
      </w:r>
      <w:r w:rsidR="002963F6" w:rsidRPr="00F306DA">
        <w:rPr>
          <w:b/>
          <w:bCs/>
        </w:rPr>
        <w:t xml:space="preserve"> </w:t>
      </w:r>
      <w:r w:rsidR="00F306DA" w:rsidRPr="00F306DA">
        <w:rPr>
          <w:b/>
          <w:bCs/>
        </w:rPr>
        <w:t>v žádném</w:t>
      </w:r>
      <w:r w:rsidR="002963F6" w:rsidRPr="00F306DA">
        <w:rPr>
          <w:b/>
          <w:bCs/>
        </w:rPr>
        <w:t xml:space="preserve"> </w:t>
      </w:r>
      <w:r w:rsidR="00F306DA" w:rsidRPr="00F306DA">
        <w:rPr>
          <w:b/>
          <w:bCs/>
        </w:rPr>
        <w:t>případě</w:t>
      </w:r>
      <w:r w:rsidR="002963F6" w:rsidRPr="00F306DA">
        <w:rPr>
          <w:b/>
          <w:bCs/>
        </w:rPr>
        <w:t xml:space="preserve"> předpokládat</w:t>
      </w:r>
      <w:r w:rsidR="002963F6">
        <w:t xml:space="preserve">. </w:t>
      </w:r>
      <w:r w:rsidR="00AE5904">
        <w:t>Jde-li o naplnění podmínk</w:t>
      </w:r>
      <w:r w:rsidR="002963F6">
        <w:t>y</w:t>
      </w:r>
      <w:r w:rsidR="00AE5904">
        <w:t xml:space="preserve"> spočívající v požadavku na neměnnost celkové povahy veřejné zakázky, pak tato je splněna. Provedenou změnou Smlouvy dochází </w:t>
      </w:r>
      <w:r w:rsidR="00AE5904" w:rsidRPr="00F306DA">
        <w:rPr>
          <w:b/>
          <w:bCs/>
        </w:rPr>
        <w:t>toliko k</w:t>
      </w:r>
      <w:r w:rsidR="002963F6" w:rsidRPr="00F306DA">
        <w:rPr>
          <w:b/>
          <w:bCs/>
        </w:rPr>
        <w:t>e kompenzačnímu navýšení ceny plnění</w:t>
      </w:r>
      <w:r w:rsidR="00AE5904" w:rsidRPr="00F306DA">
        <w:rPr>
          <w:b/>
          <w:bCs/>
        </w:rPr>
        <w:t xml:space="preserve">, přičemž původní povaha plnění, tj. veřejné zakázky zůstává zcela zachována; takovým </w:t>
      </w:r>
      <w:r w:rsidR="002963F6" w:rsidRPr="00F306DA">
        <w:rPr>
          <w:b/>
          <w:bCs/>
        </w:rPr>
        <w:t>kompenzačním navýšením cen</w:t>
      </w:r>
      <w:r w:rsidR="00AE5904" w:rsidRPr="00F306DA">
        <w:rPr>
          <w:b/>
          <w:bCs/>
        </w:rPr>
        <w:t xml:space="preserve"> tak s ohledem na </w:t>
      </w:r>
      <w:r w:rsidR="002963F6" w:rsidRPr="00F306DA">
        <w:rPr>
          <w:b/>
          <w:bCs/>
        </w:rPr>
        <w:t>povahu této změny</w:t>
      </w:r>
      <w:r w:rsidR="00AE5904" w:rsidRPr="00F306DA">
        <w:rPr>
          <w:b/>
          <w:bCs/>
        </w:rPr>
        <w:t xml:space="preserve"> nemůže dojít ke změně celkové povahy veřejné zakázky</w:t>
      </w:r>
      <w:r w:rsidR="00AE5904">
        <w:t xml:space="preserve">. </w:t>
      </w:r>
      <w:r w:rsidR="00F306DA">
        <w:t xml:space="preserve">Shodně jako v případě změny závazku ze smlouvy podle § 222 odst. </w:t>
      </w:r>
      <w:r w:rsidR="00BF5736">
        <w:t>6</w:t>
      </w:r>
      <w:r w:rsidR="00F306DA">
        <w:t xml:space="preserve"> ZZVZ je s ohledem na hodnotu změny i v tomto případě </w:t>
      </w:r>
      <w:r w:rsidR="00F306DA" w:rsidRPr="00F306DA">
        <w:rPr>
          <w:b/>
          <w:bCs/>
        </w:rPr>
        <w:t>naplněna podmínka finančního limitu pro takovou změnu.</w:t>
      </w:r>
    </w:p>
    <w:p w:rsidR="00AE5904" w:rsidRDefault="00AE5904" w:rsidP="0027676B">
      <w:pPr>
        <w:spacing w:after="240"/>
        <w:jc w:val="both"/>
        <w:rPr>
          <w:b/>
        </w:rPr>
      </w:pPr>
      <w:r w:rsidRPr="000B6E82">
        <w:rPr>
          <w:b/>
        </w:rPr>
        <w:t>Smluvní strany, vědomy si svých závazků v</w:t>
      </w:r>
      <w:r>
        <w:rPr>
          <w:b/>
        </w:rPr>
        <w:t> této</w:t>
      </w:r>
      <w:r w:rsidRPr="000B6E82">
        <w:rPr>
          <w:b/>
        </w:rPr>
        <w:t xml:space="preserve"> </w:t>
      </w:r>
      <w:r>
        <w:rPr>
          <w:b/>
        </w:rPr>
        <w:t>Změně závazku</w:t>
      </w:r>
      <w:r w:rsidRPr="000B6E82">
        <w:rPr>
          <w:b/>
        </w:rPr>
        <w:t xml:space="preserve"> obsažených a s úmyslem být t</w:t>
      </w:r>
      <w:r>
        <w:rPr>
          <w:b/>
        </w:rPr>
        <w:t>outo</w:t>
      </w:r>
      <w:r w:rsidRPr="000B6E82">
        <w:rPr>
          <w:b/>
        </w:rPr>
        <w:t xml:space="preserve"> </w:t>
      </w:r>
      <w:r>
        <w:rPr>
          <w:b/>
        </w:rPr>
        <w:t>Změnou závazku</w:t>
      </w:r>
      <w:r w:rsidRPr="000B6E82">
        <w:rPr>
          <w:b/>
        </w:rPr>
        <w:t xml:space="preserve"> vázány, dohodly se na následujícím znění </w:t>
      </w:r>
      <w:r>
        <w:rPr>
          <w:b/>
        </w:rPr>
        <w:t>Změny závazku</w:t>
      </w:r>
      <w:r w:rsidRPr="000B6E82">
        <w:rPr>
          <w:b/>
        </w:rPr>
        <w:t>:</w:t>
      </w:r>
    </w:p>
    <w:p w:rsidR="0027676B" w:rsidRPr="000B6E82" w:rsidRDefault="0027676B" w:rsidP="0027676B">
      <w:pPr>
        <w:spacing w:after="240"/>
        <w:jc w:val="both"/>
        <w:rPr>
          <w:b/>
        </w:rPr>
      </w:pPr>
    </w:p>
    <w:p w:rsidR="00AE5904" w:rsidRDefault="00AE5904" w:rsidP="0027676B">
      <w:pPr>
        <w:pStyle w:val="Nadpis1"/>
        <w:numPr>
          <w:ilvl w:val="0"/>
          <w:numId w:val="1"/>
        </w:numPr>
        <w:tabs>
          <w:tab w:val="num" w:pos="360"/>
        </w:tabs>
        <w:spacing w:after="240"/>
        <w:ind w:left="0" w:firstLine="0"/>
        <w:jc w:val="center"/>
      </w:pPr>
      <w:r>
        <w:t xml:space="preserve">Předmět Změny závazku </w:t>
      </w:r>
    </w:p>
    <w:p w:rsidR="00AE5904" w:rsidRDefault="00AE5904" w:rsidP="0027676B">
      <w:pPr>
        <w:pStyle w:val="Odstavecseseznamem"/>
        <w:numPr>
          <w:ilvl w:val="1"/>
          <w:numId w:val="1"/>
        </w:numPr>
        <w:spacing w:after="240"/>
        <w:ind w:left="567" w:hanging="567"/>
        <w:contextualSpacing w:val="0"/>
        <w:jc w:val="both"/>
      </w:pPr>
      <w:r>
        <w:t xml:space="preserve">Smluvní strany se dohodly na tom, že odst. 1.2 Smlouvy se ruší a nahrazuje se následujícím zněním: </w:t>
      </w:r>
    </w:p>
    <w:p w:rsidR="00AE5904" w:rsidRDefault="0027676B" w:rsidP="0027676B">
      <w:pPr>
        <w:spacing w:after="240"/>
        <w:ind w:left="567"/>
        <w:jc w:val="both"/>
        <w:rPr>
          <w:i/>
          <w:iCs/>
        </w:rPr>
      </w:pPr>
      <w:r>
        <w:rPr>
          <w:i/>
          <w:iCs/>
        </w:rPr>
        <w:t>„</w:t>
      </w:r>
      <w:r w:rsidR="00C67750">
        <w:rPr>
          <w:i/>
          <w:iCs/>
        </w:rPr>
        <w:t>Maximální</w:t>
      </w:r>
      <w:r w:rsidR="00C67750" w:rsidRPr="00FA2268">
        <w:rPr>
          <w:i/>
          <w:iCs/>
        </w:rPr>
        <w:t xml:space="preserve"> </w:t>
      </w:r>
      <w:r w:rsidR="00AE5904" w:rsidRPr="00FA2268">
        <w:rPr>
          <w:i/>
          <w:iCs/>
        </w:rPr>
        <w:t xml:space="preserve">cena za </w:t>
      </w:r>
      <w:r w:rsidR="00A03DE8" w:rsidRPr="00FA2268">
        <w:rPr>
          <w:i/>
          <w:iCs/>
        </w:rPr>
        <w:t>vešker</w:t>
      </w:r>
      <w:r w:rsidR="00A03DE8">
        <w:rPr>
          <w:i/>
          <w:iCs/>
        </w:rPr>
        <w:t>é</w:t>
      </w:r>
      <w:r w:rsidR="00A03DE8" w:rsidRPr="00FA2268">
        <w:rPr>
          <w:i/>
          <w:iCs/>
        </w:rPr>
        <w:t xml:space="preserve"> </w:t>
      </w:r>
      <w:r w:rsidR="00AE5904" w:rsidRPr="00FA2268">
        <w:rPr>
          <w:i/>
          <w:iCs/>
        </w:rPr>
        <w:t xml:space="preserve">plnění </w:t>
      </w:r>
      <w:r w:rsidR="00A03DE8" w:rsidRPr="00FA2268">
        <w:rPr>
          <w:i/>
          <w:iCs/>
        </w:rPr>
        <w:t>poskytovan</w:t>
      </w:r>
      <w:r w:rsidR="00A03DE8">
        <w:rPr>
          <w:i/>
          <w:iCs/>
        </w:rPr>
        <w:t>é</w:t>
      </w:r>
      <w:r w:rsidR="00A03DE8" w:rsidRPr="00FA2268">
        <w:rPr>
          <w:i/>
          <w:iCs/>
        </w:rPr>
        <w:t xml:space="preserve"> </w:t>
      </w:r>
      <w:r w:rsidR="00AE5904" w:rsidRPr="00FA2268">
        <w:rPr>
          <w:i/>
          <w:iCs/>
        </w:rPr>
        <w:t>postupně dle této Smlouvy na základě objednávek činí</w:t>
      </w:r>
      <w:r w:rsidR="00CC1D40">
        <w:rPr>
          <w:i/>
          <w:iCs/>
        </w:rPr>
        <w:tab/>
      </w:r>
      <w:r w:rsidR="00A03DE8">
        <w:rPr>
          <w:i/>
          <w:iCs/>
        </w:rPr>
        <w:br/>
      </w:r>
      <w:r w:rsidR="00707064">
        <w:rPr>
          <w:i/>
          <w:iCs/>
        </w:rPr>
        <w:t>58 334 820</w:t>
      </w:r>
      <w:r w:rsidR="00AE5904" w:rsidRPr="00FA2268">
        <w:rPr>
          <w:i/>
          <w:iCs/>
        </w:rPr>
        <w:t>,- Kč bez DPH.“</w:t>
      </w:r>
    </w:p>
    <w:p w:rsidR="00AE5904" w:rsidRDefault="00AE5904" w:rsidP="00983CD6">
      <w:pPr>
        <w:pStyle w:val="Nadpis1"/>
        <w:numPr>
          <w:ilvl w:val="0"/>
          <w:numId w:val="1"/>
        </w:numPr>
        <w:spacing w:after="240"/>
        <w:jc w:val="center"/>
      </w:pPr>
      <w:r>
        <w:t xml:space="preserve">Závěrečná ustanovení </w:t>
      </w:r>
    </w:p>
    <w:p w:rsidR="00AE5904" w:rsidRDefault="00AE5904" w:rsidP="00983CD6">
      <w:pPr>
        <w:pStyle w:val="Odstavecseseznamem"/>
        <w:numPr>
          <w:ilvl w:val="1"/>
          <w:numId w:val="1"/>
        </w:numPr>
        <w:spacing w:after="240"/>
        <w:ind w:left="567" w:hanging="567"/>
        <w:contextualSpacing w:val="0"/>
        <w:jc w:val="both"/>
      </w:pPr>
      <w:r>
        <w:t xml:space="preserve">Tato Změna závazku nabývá platnosti dnem podpisu oběma Smluvními stranami a účinnosti dnem zveřejnění v registru smluv. Tato Změna závazku je vyhotovena ve dvou stejnopisech, z nichž každá ze Smluvních stran obdrží po jednom vyhotovení. </w:t>
      </w:r>
    </w:p>
    <w:p w:rsidR="00AE5904" w:rsidRDefault="00AE5904" w:rsidP="00983CD6">
      <w:pPr>
        <w:pStyle w:val="Odstavecseseznamem"/>
        <w:numPr>
          <w:ilvl w:val="1"/>
          <w:numId w:val="1"/>
        </w:numPr>
        <w:spacing w:after="240"/>
        <w:ind w:left="567" w:hanging="567"/>
        <w:contextualSpacing w:val="0"/>
        <w:jc w:val="both"/>
      </w:pPr>
      <w:r>
        <w:t>Smluvní strany souhlasí s uveřejněním plného znění této Změny závazku v registru smluv podle zákona č. 340/2015 Sb., o zvláštních podmínkách účinnosti některých smluv, uveřejňování těchto smluv a o registru smluv (zákon o registru smluv), a rovněž na profilu Objednatele, případně i na dalších místech, kde tak stanoví právní předpis. Uveřejnění Změny závazku prostřednictvím registru smluv zajistí Objednatel.</w:t>
      </w:r>
    </w:p>
    <w:p w:rsidR="00AE5904" w:rsidRDefault="00AE5904" w:rsidP="00983CD6">
      <w:pPr>
        <w:pStyle w:val="Odstavecseseznamem"/>
        <w:numPr>
          <w:ilvl w:val="1"/>
          <w:numId w:val="1"/>
        </w:numPr>
        <w:spacing w:after="240"/>
        <w:ind w:left="567" w:hanging="567"/>
        <w:contextualSpacing w:val="0"/>
        <w:jc w:val="both"/>
      </w:pPr>
      <w:r>
        <w:t xml:space="preserve">Poskytovatel bere na vědomí, že je na základě § 2 písm. e) zákona č. 320/2001 Sb., o finanční kontrole v platném znění, osobou povinnou spolupůsobit při výkonu finanční kontroly. </w:t>
      </w:r>
    </w:p>
    <w:p w:rsidR="00AE5904" w:rsidRDefault="00AE5904" w:rsidP="00983CD6">
      <w:pPr>
        <w:pStyle w:val="Odstavecseseznamem"/>
        <w:numPr>
          <w:ilvl w:val="1"/>
          <w:numId w:val="1"/>
        </w:numPr>
        <w:spacing w:after="240"/>
        <w:ind w:left="567" w:hanging="567"/>
        <w:contextualSpacing w:val="0"/>
        <w:jc w:val="both"/>
      </w:pPr>
      <w:r>
        <w:lastRenderedPageBreak/>
        <w:t>Tato Změna závazku představuje úplnou dohodu Smluvních stran. Tuto Změnu závazku lze změnit nebo doplňovat pouze na základě dohody obou Smluvních stran, která bude mít formu písemného dodatku, podepsaného oprávněnými zástupci obou Smluvních stran.</w:t>
      </w:r>
    </w:p>
    <w:p w:rsidR="00AE5904" w:rsidRDefault="00AE5904" w:rsidP="00983CD6">
      <w:pPr>
        <w:pStyle w:val="Odstavecseseznamem"/>
        <w:numPr>
          <w:ilvl w:val="1"/>
          <w:numId w:val="1"/>
        </w:numPr>
        <w:spacing w:after="240"/>
        <w:ind w:left="567" w:hanging="567"/>
        <w:contextualSpacing w:val="0"/>
        <w:jc w:val="both"/>
      </w:pPr>
      <w:r>
        <w:t>Smluvní strany prohlašují, že si tuto Změnu závazku před jejím podpisem přečetly, že byla uzavřena po vzájemném projednání podle jejich pravé a svobodné vůle, že nebyla uzavřena v tísni nebo za nápadně nevýhodných podmínek, což stvrzují svými podpisy. Smluvní strany dále prohlašují, že tato Změna závazku je podepisována osobami oprávněnými jednat za Smluvní strany.</w:t>
      </w:r>
    </w:p>
    <w:p w:rsidR="0027676B" w:rsidRPr="00B35538" w:rsidRDefault="0027676B" w:rsidP="0027676B">
      <w:pPr>
        <w:pStyle w:val="Odstavecseseznamem"/>
        <w:spacing w:after="240"/>
        <w:ind w:left="567"/>
        <w:contextualSpacing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AE5904" w:rsidTr="00E2044F">
        <w:trPr>
          <w:trHeight w:val="1361"/>
        </w:trPr>
        <w:tc>
          <w:tcPr>
            <w:tcW w:w="4814" w:type="dxa"/>
          </w:tcPr>
          <w:p w:rsidR="00AE5904" w:rsidRPr="00744853" w:rsidRDefault="00AE5904" w:rsidP="0027676B">
            <w:pPr>
              <w:spacing w:after="240"/>
              <w:jc w:val="both"/>
            </w:pPr>
            <w:r w:rsidRPr="00744853">
              <w:t>V Praze dne</w:t>
            </w:r>
            <w:r w:rsidR="005E5112">
              <w:t xml:space="preserve"> dle </w:t>
            </w:r>
            <w:r w:rsidR="002109AB">
              <w:t>elektronického podpisu</w:t>
            </w:r>
          </w:p>
        </w:tc>
        <w:tc>
          <w:tcPr>
            <w:tcW w:w="4814" w:type="dxa"/>
          </w:tcPr>
          <w:p w:rsidR="00AE5904" w:rsidRDefault="00AE5904" w:rsidP="0027676B">
            <w:pPr>
              <w:spacing w:after="240"/>
              <w:jc w:val="both"/>
            </w:pPr>
            <w:r>
              <w:t>V </w:t>
            </w:r>
            <w:r w:rsidR="002109AB">
              <w:t>Šumperku</w:t>
            </w:r>
            <w:r>
              <w:t xml:space="preserve"> dne</w:t>
            </w:r>
            <w:r w:rsidR="00CC1D40">
              <w:t xml:space="preserve"> dle elektronického podpisu</w:t>
            </w:r>
          </w:p>
        </w:tc>
      </w:tr>
      <w:tr w:rsidR="00AE5904" w:rsidTr="00E2044F">
        <w:trPr>
          <w:trHeight w:val="1361"/>
        </w:trPr>
        <w:tc>
          <w:tcPr>
            <w:tcW w:w="4814" w:type="dxa"/>
          </w:tcPr>
          <w:p w:rsidR="00AE5904" w:rsidRDefault="00AE5904" w:rsidP="0027676B">
            <w:pPr>
              <w:spacing w:after="240"/>
              <w:jc w:val="both"/>
            </w:pPr>
            <w:r>
              <w:t>Za Objednatele</w:t>
            </w:r>
          </w:p>
        </w:tc>
        <w:tc>
          <w:tcPr>
            <w:tcW w:w="4814" w:type="dxa"/>
          </w:tcPr>
          <w:p w:rsidR="00AE5904" w:rsidRDefault="00AE5904" w:rsidP="0027676B">
            <w:pPr>
              <w:spacing w:after="240"/>
              <w:jc w:val="both"/>
            </w:pPr>
            <w:r>
              <w:t>Za Poskytovatele</w:t>
            </w:r>
          </w:p>
        </w:tc>
      </w:tr>
      <w:tr w:rsidR="00AE5904" w:rsidTr="00E2044F">
        <w:trPr>
          <w:trHeight w:val="1361"/>
        </w:trPr>
        <w:tc>
          <w:tcPr>
            <w:tcW w:w="4814" w:type="dxa"/>
          </w:tcPr>
          <w:p w:rsidR="00AE5904" w:rsidRDefault="00AE5904" w:rsidP="0027676B">
            <w:pPr>
              <w:spacing w:after="240"/>
              <w:jc w:val="both"/>
            </w:pPr>
          </w:p>
          <w:p w:rsidR="00AE5904" w:rsidRDefault="00AE5904" w:rsidP="0027676B">
            <w:pPr>
              <w:spacing w:after="240"/>
              <w:jc w:val="both"/>
            </w:pPr>
            <w:r>
              <w:t>----------------------------------------------------------------</w:t>
            </w:r>
          </w:p>
          <w:p w:rsidR="00AE5904" w:rsidRDefault="00CC54F1" w:rsidP="002109AB">
            <w:pPr>
              <w:spacing w:after="240"/>
              <w:jc w:val="both"/>
            </w:pPr>
            <w:r>
              <w:t>XXXXX</w:t>
            </w:r>
          </w:p>
        </w:tc>
        <w:tc>
          <w:tcPr>
            <w:tcW w:w="4814" w:type="dxa"/>
          </w:tcPr>
          <w:p w:rsidR="00AE5904" w:rsidRDefault="00AE5904" w:rsidP="0027676B">
            <w:pPr>
              <w:spacing w:after="240"/>
              <w:jc w:val="both"/>
            </w:pPr>
          </w:p>
          <w:p w:rsidR="00AE5904" w:rsidRDefault="00AE5904" w:rsidP="0027676B">
            <w:pPr>
              <w:spacing w:after="240"/>
              <w:jc w:val="both"/>
            </w:pPr>
            <w:r>
              <w:t>----------------------------------------------------------------</w:t>
            </w:r>
          </w:p>
          <w:p w:rsidR="00AE5904" w:rsidRDefault="00CC54F1" w:rsidP="0027676B">
            <w:pPr>
              <w:spacing w:after="240"/>
              <w:jc w:val="both"/>
            </w:pPr>
            <w:r>
              <w:t>XXXXX</w:t>
            </w:r>
            <w:bookmarkStart w:id="0" w:name="_GoBack"/>
            <w:bookmarkEnd w:id="0"/>
          </w:p>
        </w:tc>
      </w:tr>
    </w:tbl>
    <w:p w:rsidR="00AE5904" w:rsidRDefault="00AE5904" w:rsidP="0027676B">
      <w:pPr>
        <w:spacing w:after="240"/>
      </w:pPr>
    </w:p>
    <w:sectPr w:rsidR="00AE5904" w:rsidSect="00CC1D40">
      <w:footerReference w:type="default" r:id="rId8"/>
      <w:endnotePr>
        <w:numFmt w:val="decimal"/>
      </w:endnotePr>
      <w:pgSz w:w="11907" w:h="16840"/>
      <w:pgMar w:top="1417" w:right="1417" w:bottom="1417" w:left="1417" w:header="567" w:footer="29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E9" w:rsidRDefault="002C42E9" w:rsidP="00C87F3E">
      <w:pPr>
        <w:spacing w:after="0" w:line="240" w:lineRule="auto"/>
      </w:pPr>
      <w:r>
        <w:separator/>
      </w:r>
    </w:p>
  </w:endnote>
  <w:endnote w:type="continuationSeparator" w:id="0">
    <w:p w:rsidR="002C42E9" w:rsidRDefault="002C42E9" w:rsidP="00C8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617739"/>
      <w:docPartObj>
        <w:docPartGallery w:val="Page Numbers (Bottom of Page)"/>
        <w:docPartUnique/>
      </w:docPartObj>
    </w:sdtPr>
    <w:sdtEndPr/>
    <w:sdtContent>
      <w:sdt>
        <w:sdtPr>
          <w:id w:val="1728636285"/>
          <w:docPartObj>
            <w:docPartGallery w:val="Page Numbers (Top of Page)"/>
            <w:docPartUnique/>
          </w:docPartObj>
        </w:sdtPr>
        <w:sdtEndPr/>
        <w:sdtContent>
          <w:p w:rsidR="005950B2" w:rsidRDefault="007B4BB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sdtContent>
      </w:sdt>
    </w:sdtContent>
  </w:sdt>
  <w:p w:rsidR="005950B2" w:rsidRDefault="00CC54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E9" w:rsidRDefault="002C42E9" w:rsidP="00C87F3E">
      <w:pPr>
        <w:spacing w:after="0" w:line="240" w:lineRule="auto"/>
      </w:pPr>
      <w:r>
        <w:separator/>
      </w:r>
    </w:p>
  </w:footnote>
  <w:footnote w:type="continuationSeparator" w:id="0">
    <w:p w:rsidR="002C42E9" w:rsidRDefault="002C42E9" w:rsidP="00C87F3E">
      <w:pPr>
        <w:spacing w:after="0" w:line="240" w:lineRule="auto"/>
      </w:pPr>
      <w:r>
        <w:continuationSeparator/>
      </w:r>
    </w:p>
  </w:footnote>
  <w:footnote w:id="1">
    <w:p w:rsidR="00C87F3E" w:rsidRDefault="00C87F3E">
      <w:pPr>
        <w:pStyle w:val="Textpoznpodarou"/>
      </w:pPr>
      <w:r>
        <w:rPr>
          <w:rStyle w:val="Znakapoznpodarou"/>
        </w:rPr>
        <w:footnoteRef/>
      </w:r>
      <w:r>
        <w:t xml:space="preserve"> Zdroj pro srovnání cen elektřiny od 1. 4. 2021 do 22. 10. 2022 </w:t>
      </w:r>
      <w:r w:rsidRPr="00C87F3E">
        <w:t>https://www.kurzy.cz/komodity/cena-elektriny-graf-vyvoje-ceny/?dat_field=01.04.2021&amp;dat_field2=22.10.2022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4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D26E65"/>
    <w:multiLevelType w:val="multilevel"/>
    <w:tmpl w:val="2C1A557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04"/>
    <w:rsid w:val="00052C15"/>
    <w:rsid w:val="00182E18"/>
    <w:rsid w:val="0019050A"/>
    <w:rsid w:val="001C7996"/>
    <w:rsid w:val="002109AB"/>
    <w:rsid w:val="0027676B"/>
    <w:rsid w:val="002963F6"/>
    <w:rsid w:val="002A0996"/>
    <w:rsid w:val="002C42E9"/>
    <w:rsid w:val="00416563"/>
    <w:rsid w:val="005E5112"/>
    <w:rsid w:val="0063485B"/>
    <w:rsid w:val="00636101"/>
    <w:rsid w:val="00707064"/>
    <w:rsid w:val="007477B5"/>
    <w:rsid w:val="00754163"/>
    <w:rsid w:val="007B4BBF"/>
    <w:rsid w:val="00806ECF"/>
    <w:rsid w:val="00827F8D"/>
    <w:rsid w:val="0087036C"/>
    <w:rsid w:val="008F0998"/>
    <w:rsid w:val="00971074"/>
    <w:rsid w:val="00983CD6"/>
    <w:rsid w:val="009A4A6A"/>
    <w:rsid w:val="00A03DE8"/>
    <w:rsid w:val="00A41A4D"/>
    <w:rsid w:val="00A66509"/>
    <w:rsid w:val="00AE5904"/>
    <w:rsid w:val="00B033A3"/>
    <w:rsid w:val="00B11796"/>
    <w:rsid w:val="00B96027"/>
    <w:rsid w:val="00BD38A2"/>
    <w:rsid w:val="00BF0005"/>
    <w:rsid w:val="00BF5736"/>
    <w:rsid w:val="00C67750"/>
    <w:rsid w:val="00C87F3E"/>
    <w:rsid w:val="00CA15C1"/>
    <w:rsid w:val="00CC1D40"/>
    <w:rsid w:val="00CC54F1"/>
    <w:rsid w:val="00CE6496"/>
    <w:rsid w:val="00DD0FCA"/>
    <w:rsid w:val="00E903E5"/>
    <w:rsid w:val="00EF5A1D"/>
    <w:rsid w:val="00F04337"/>
    <w:rsid w:val="00F306DA"/>
    <w:rsid w:val="00F601E7"/>
    <w:rsid w:val="00FC5B0C"/>
    <w:rsid w:val="00FC7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44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5904"/>
    <w:pPr>
      <w:spacing w:line="293" w:lineRule="auto"/>
    </w:pPr>
    <w:rPr>
      <w:color w:val="000000" w:themeColor="text1"/>
    </w:rPr>
  </w:style>
  <w:style w:type="paragraph" w:styleId="Nadpis1">
    <w:name w:val="heading 1"/>
    <w:basedOn w:val="Normln"/>
    <w:next w:val="Normln"/>
    <w:link w:val="Nadpis1Char"/>
    <w:qFormat/>
    <w:rsid w:val="00AE5904"/>
    <w:pPr>
      <w:keepNext/>
      <w:keepLines/>
      <w:spacing w:before="160" w:after="0"/>
      <w:outlineLvl w:val="0"/>
    </w:pPr>
    <w:rPr>
      <w:rFonts w:asciiTheme="majorHAnsi" w:eastAsiaTheme="majorEastAsia" w:hAnsiTheme="majorHAnsi" w:cstheme="majorBidi"/>
      <w:b/>
      <w:color w:val="44546A" w:themeColor="text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904"/>
    <w:rPr>
      <w:rFonts w:asciiTheme="majorHAnsi" w:eastAsiaTheme="majorEastAsia" w:hAnsiTheme="majorHAnsi" w:cstheme="majorBidi"/>
      <w:b/>
      <w:color w:val="44546A" w:themeColor="text2"/>
      <w:sz w:val="28"/>
      <w:szCs w:val="32"/>
    </w:rPr>
  </w:style>
  <w:style w:type="paragraph" w:styleId="Odstavecseseznamem">
    <w:name w:val="List Paragraph"/>
    <w:aliases w:val="Bulleted List,3,POCG Table Text,Issue Action POC,List Paragraph1,Dot pt,F5 List Paragraph,List Paragraph Char Char Char,Indicator Text,Colorful List - Accent 11,Numbered Para 1,Bullet 1,Bullet Points,List Paragraph2,MAIN CONTENT"/>
    <w:basedOn w:val="Normln"/>
    <w:link w:val="OdstavecseseznamemChar"/>
    <w:uiPriority w:val="34"/>
    <w:unhideWhenUsed/>
    <w:qFormat/>
    <w:rsid w:val="00AE5904"/>
    <w:pPr>
      <w:ind w:left="720"/>
      <w:contextualSpacing/>
    </w:pPr>
  </w:style>
  <w:style w:type="paragraph" w:styleId="Nzev">
    <w:name w:val="Title"/>
    <w:basedOn w:val="Normln"/>
    <w:next w:val="Normln"/>
    <w:link w:val="NzevChar"/>
    <w:uiPriority w:val="4"/>
    <w:qFormat/>
    <w:rsid w:val="00AE5904"/>
    <w:pPr>
      <w:keepNext/>
      <w:keepLines/>
      <w:spacing w:after="0" w:line="240" w:lineRule="auto"/>
      <w:contextualSpacing/>
    </w:pPr>
    <w:rPr>
      <w:rFonts w:asciiTheme="majorHAnsi" w:eastAsiaTheme="majorEastAsia" w:hAnsiTheme="majorHAnsi" w:cstheme="majorBidi"/>
      <w:color w:val="44546A" w:themeColor="text2"/>
      <w:spacing w:val="-10"/>
      <w:kern w:val="28"/>
      <w:sz w:val="48"/>
      <w:szCs w:val="56"/>
    </w:rPr>
  </w:style>
  <w:style w:type="character" w:customStyle="1" w:styleId="NzevChar">
    <w:name w:val="Název Char"/>
    <w:basedOn w:val="Standardnpsmoodstavce"/>
    <w:link w:val="Nzev"/>
    <w:uiPriority w:val="4"/>
    <w:rsid w:val="00AE5904"/>
    <w:rPr>
      <w:rFonts w:asciiTheme="majorHAnsi" w:eastAsiaTheme="majorEastAsia" w:hAnsiTheme="majorHAnsi" w:cstheme="majorBidi"/>
      <w:color w:val="44546A" w:themeColor="text2"/>
      <w:spacing w:val="-10"/>
      <w:kern w:val="28"/>
      <w:sz w:val="48"/>
      <w:szCs w:val="56"/>
    </w:rPr>
  </w:style>
  <w:style w:type="paragraph" w:styleId="Podnadpis">
    <w:name w:val="Subtitle"/>
    <w:basedOn w:val="Normln"/>
    <w:next w:val="Normln"/>
    <w:link w:val="PodnadpisChar"/>
    <w:uiPriority w:val="11"/>
    <w:qFormat/>
    <w:rsid w:val="00AE5904"/>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11"/>
    <w:rsid w:val="00AE5904"/>
    <w:rPr>
      <w:rFonts w:eastAsiaTheme="minorEastAsia"/>
      <w:color w:val="595959" w:themeColor="text1" w:themeTint="A6"/>
      <w:spacing w:val="15"/>
      <w:sz w:val="28"/>
    </w:rPr>
  </w:style>
  <w:style w:type="paragraph" w:styleId="Zpat">
    <w:name w:val="footer"/>
    <w:basedOn w:val="Normln"/>
    <w:link w:val="ZpatChar"/>
    <w:uiPriority w:val="99"/>
    <w:unhideWhenUsed/>
    <w:rsid w:val="00AE5904"/>
    <w:pPr>
      <w:tabs>
        <w:tab w:val="center" w:pos="4536"/>
        <w:tab w:val="right" w:pos="9072"/>
      </w:tabs>
      <w:spacing w:after="0" w:line="240" w:lineRule="auto"/>
    </w:pPr>
  </w:style>
  <w:style w:type="character" w:customStyle="1" w:styleId="ZpatChar">
    <w:name w:val="Zápatí Char"/>
    <w:basedOn w:val="Standardnpsmoodstavce"/>
    <w:link w:val="Zpat"/>
    <w:uiPriority w:val="99"/>
    <w:rsid w:val="00AE5904"/>
    <w:rPr>
      <w:color w:val="000000" w:themeColor="text1"/>
    </w:rPr>
  </w:style>
  <w:style w:type="character" w:styleId="Odkaznakoment">
    <w:name w:val="annotation reference"/>
    <w:basedOn w:val="Standardnpsmoodstavce"/>
    <w:uiPriority w:val="99"/>
    <w:unhideWhenUsed/>
    <w:rsid w:val="00AE5904"/>
    <w:rPr>
      <w:sz w:val="16"/>
      <w:szCs w:val="16"/>
    </w:rPr>
  </w:style>
  <w:style w:type="paragraph" w:styleId="Textkomente">
    <w:name w:val="annotation text"/>
    <w:aliases w:val="RL Text komentáře"/>
    <w:basedOn w:val="Normln"/>
    <w:link w:val="TextkomenteChar"/>
    <w:uiPriority w:val="99"/>
    <w:unhideWhenUsed/>
    <w:rsid w:val="00AE5904"/>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AE5904"/>
    <w:rPr>
      <w:color w:val="000000" w:themeColor="text1"/>
      <w:sz w:val="20"/>
      <w:szCs w:val="20"/>
    </w:rPr>
  </w:style>
  <w:style w:type="table" w:styleId="Mkatabulky">
    <w:name w:val="Table Grid"/>
    <w:basedOn w:val="Normlntabulka"/>
    <w:uiPriority w:val="39"/>
    <w:rsid w:val="00AE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ed List Char,3 Char,POCG Table Text Char,Issue Action POC Char,List Paragraph1 Char,Dot pt Char,F5 List Paragraph Char,List Paragraph Char Char Char Char,Indicator Text Char,Colorful List - Accent 11 Char,Bullet 1 Char"/>
    <w:basedOn w:val="Standardnpsmoodstavce"/>
    <w:link w:val="Odstavecseseznamem"/>
    <w:uiPriority w:val="34"/>
    <w:qFormat/>
    <w:locked/>
    <w:rsid w:val="00AE5904"/>
    <w:rPr>
      <w:color w:val="000000" w:themeColor="text1"/>
    </w:rPr>
  </w:style>
  <w:style w:type="paragraph" w:styleId="Textpoznpodarou">
    <w:name w:val="footnote text"/>
    <w:basedOn w:val="Normln"/>
    <w:link w:val="TextpoznpodarouChar"/>
    <w:uiPriority w:val="99"/>
    <w:semiHidden/>
    <w:unhideWhenUsed/>
    <w:rsid w:val="00C87F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7F3E"/>
    <w:rPr>
      <w:color w:val="000000" w:themeColor="text1"/>
      <w:sz w:val="20"/>
      <w:szCs w:val="20"/>
    </w:rPr>
  </w:style>
  <w:style w:type="character" w:styleId="Znakapoznpodarou">
    <w:name w:val="footnote reference"/>
    <w:basedOn w:val="Standardnpsmoodstavce"/>
    <w:uiPriority w:val="99"/>
    <w:semiHidden/>
    <w:unhideWhenUsed/>
    <w:rsid w:val="00C87F3E"/>
    <w:rPr>
      <w:vertAlign w:val="superscript"/>
    </w:rPr>
  </w:style>
  <w:style w:type="paragraph" w:styleId="Zhlav">
    <w:name w:val="header"/>
    <w:basedOn w:val="Normln"/>
    <w:link w:val="ZhlavChar"/>
    <w:uiPriority w:val="99"/>
    <w:unhideWhenUsed/>
    <w:rsid w:val="00A665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6509"/>
    <w:rPr>
      <w:color w:val="000000" w:themeColor="text1"/>
    </w:rPr>
  </w:style>
  <w:style w:type="paragraph" w:styleId="Pedmtkomente">
    <w:name w:val="annotation subject"/>
    <w:basedOn w:val="Textkomente"/>
    <w:next w:val="Textkomente"/>
    <w:link w:val="PedmtkomenteChar"/>
    <w:uiPriority w:val="99"/>
    <w:semiHidden/>
    <w:unhideWhenUsed/>
    <w:rsid w:val="001C7996"/>
    <w:rPr>
      <w:b/>
      <w:bCs/>
    </w:rPr>
  </w:style>
  <w:style w:type="character" w:customStyle="1" w:styleId="PedmtkomenteChar">
    <w:name w:val="Předmět komentáře Char"/>
    <w:basedOn w:val="TextkomenteChar"/>
    <w:link w:val="Pedmtkomente"/>
    <w:uiPriority w:val="99"/>
    <w:semiHidden/>
    <w:rsid w:val="001C7996"/>
    <w:rPr>
      <w:b/>
      <w:bCs/>
      <w:color w:val="000000" w:themeColor="text1"/>
      <w:sz w:val="20"/>
      <w:szCs w:val="20"/>
    </w:rPr>
  </w:style>
  <w:style w:type="paragraph" w:styleId="Textbubliny">
    <w:name w:val="Balloon Text"/>
    <w:basedOn w:val="Normln"/>
    <w:link w:val="TextbublinyChar"/>
    <w:uiPriority w:val="99"/>
    <w:semiHidden/>
    <w:unhideWhenUsed/>
    <w:rsid w:val="00F601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01E7"/>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AE00-BB64-4E7D-BC05-BE2C4379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5313044D.dotm</Template>
  <TotalTime>0</TotalTime>
  <Pages>4</Pages>
  <Words>1025</Words>
  <Characters>6053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2022-11-23T12:55:00Z</dcterms:created>
  <dcterms:modified xsi:type="dcterms:W3CDTF">2022-11-23T12:55:00Z</dcterms:modified>
</cp:coreProperties>
</file>