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A5E5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SMLOUVA O POSKYTNUTÍ DOTACE Z ROZPOČTU MĚSTA LITOMYŠL č. 185/2022</w:t>
      </w:r>
    </w:p>
    <w:p w14:paraId="5B3CC4C0" w14:textId="2E65E60B" w:rsidR="00551EBF" w:rsidRPr="00551EBF" w:rsidRDefault="00551EBF" w:rsidP="00551EBF">
      <w:pPr>
        <w:spacing w:after="24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(dále jen „Smlouva“)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</w:p>
    <w:p w14:paraId="6690281F" w14:textId="3E46ABA8" w:rsidR="00551EBF" w:rsidRDefault="00551EBF" w:rsidP="00551EB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t>Město Litomyšl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se sídlem: Bří Šťastných 1000, 570 20 Litomyšl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 xml:space="preserve">v zastoupení: Mgr. Daniel </w:t>
      </w:r>
      <w:proofErr w:type="spellStart"/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Brýdl</w:t>
      </w:r>
      <w:proofErr w:type="spellEnd"/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, LL.M., starosta města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IČ: 00276944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DIČ: CZ00276944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bankovní spojení: 926591/0100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(dále jen „poskytovatel dotace“ nebo „poskytovatel“)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a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t>HZH, s.r.o.</w:t>
      </w: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v zastoupení</w:t>
      </w:r>
      <w:r w:rsidR="00003D2D">
        <w:rPr>
          <w:rFonts w:ascii="Verdana" w:eastAsia="Times New Roman" w:hAnsi="Verdana"/>
          <w:color w:val="000000"/>
          <w:sz w:val="18"/>
          <w:szCs w:val="18"/>
          <w:lang w:eastAsia="cs-CZ"/>
        </w:rPr>
        <w:t>: XXX</w:t>
      </w:r>
      <w:r w:rsidR="00003D2D"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 xml:space="preserve">se sídlem: </w:t>
      </w:r>
      <w:r w:rsidR="00003D2D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XXX, 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PSČ 57001 Litomyšl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IČ: 62027140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 xml:space="preserve">bankovní spojení: </w:t>
      </w:r>
      <w:r w:rsidR="00003D2D">
        <w:rPr>
          <w:rFonts w:ascii="Verdana" w:eastAsia="Times New Roman" w:hAnsi="Verdana"/>
          <w:color w:val="000000"/>
          <w:sz w:val="18"/>
          <w:szCs w:val="18"/>
          <w:lang w:eastAsia="cs-CZ"/>
        </w:rPr>
        <w:t>XXX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(dále jen „příjemce dotace“ nebo „příjemce“)</w:t>
      </w:r>
    </w:p>
    <w:p w14:paraId="3281DB93" w14:textId="77777777" w:rsidR="00551EBF" w:rsidRPr="00551EBF" w:rsidRDefault="00551EBF" w:rsidP="00551EB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3602BAA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I.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ZÁKLADNÍ USTANOVENÍ</w:t>
      </w:r>
    </w:p>
    <w:p w14:paraId="5B780301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(1) Dotaci poskytuje Zastupitelstvo města Litomyšl podle § 85 písm. c) zákona č. 128/2000 Sb., o obcích (obecní zřízení), ve znění pozdějších předpisů (dále jen „zákon o obcích“) na základě žádosti čj. </w:t>
      </w:r>
      <w:proofErr w:type="spellStart"/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MěÚ</w:t>
      </w:r>
      <w:proofErr w:type="spellEnd"/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Litomyšl 030824/2022 ze dne 04. 05. 2022.</w:t>
      </w:r>
    </w:p>
    <w:p w14:paraId="390891EC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6182CEF" w14:textId="63AB2DCA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 Dotace je ve smyslu zákona č. 320/2001 Sb., o finanční kontrole ve veřejné správě a o změně některých zákonů (zákon o finanční kontrole), ve znění pozdějších předpisů, veřejnou finanční podporou.</w:t>
      </w:r>
    </w:p>
    <w:p w14:paraId="6E1BE71F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8809210" w14:textId="3AD1533F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(3) Tato Smlouva je smlouvou veřejnoprávní a je uzavřena podle zákona č. 250/2000 Sb., o rozpočtových pravidlech územních rozpočtů, ve znění pozdějších předpisů (dále jen „zákon o rozpočtových pravidlech územních rozpočtů“) a zákona č. 500/2004 Sb., správní řád, ve znění pozdějších předpisů.</w:t>
      </w:r>
    </w:p>
    <w:p w14:paraId="0B735E3F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7701CFE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II.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PŘEDMĚT A ÚČEL SMLOUVY</w:t>
      </w:r>
    </w:p>
    <w:p w14:paraId="33152A6B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(1) Předmětem této Smlouvy je poskytnutí účelové neinvestiční dotace příjemci dotace v souladu s usnesením Zastupitelstva města Litomyšl č. 125/22 ze dne 15. 09. 2022.</w:t>
      </w:r>
    </w:p>
    <w:p w14:paraId="75BDF3DF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E092529" w14:textId="3F7E9243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 </w:t>
      </w: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t>Dotace je poskytnuta na opravu fasády a teracového obkladu v hlavním průčelí objektu na Smetanově náměstí č.p. 84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 v souladu s Dotačním programem na obnovu hlavních průčelí objektů v městské památkové rezervaci v Litomyšli na rok 2022.</w:t>
      </w:r>
    </w:p>
    <w:p w14:paraId="5805F4D5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FE36B03" w14:textId="63F35FDD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(3) Poskytovatel dotace stanoví časovou použitelnost dotace do 25. 11. 2022. V době do 12. 12. 2022 bude dosaženo účelu uvedeného v odst. (2) tohoto článku.</w:t>
      </w:r>
    </w:p>
    <w:p w14:paraId="0AB19E58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28D391D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lastRenderedPageBreak/>
        <w:t>III.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VÝŠE DOTACE</w:t>
      </w:r>
    </w:p>
    <w:p w14:paraId="5ED5045F" w14:textId="4FC4B65A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(1) Dotace podle této Smlouvy se poskytuje </w:t>
      </w: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t>ve výši 93 180 Kč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 (slovy devadesát tři tisíce jedno sto osmdesát korun českých).</w:t>
      </w:r>
      <w:r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To je ve výši 60 % z uznatelných nákladů vynaložených na restaurátorské práce dle bodu B) finančního rámce dotačního programu při realizaci akce v roce 2022, maximálně však ve výši 33.180,-Kč (slovy </w:t>
      </w:r>
      <w:proofErr w:type="spellStart"/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třicettřitisícstoosmdesát</w:t>
      </w:r>
      <w:proofErr w:type="spellEnd"/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korun českých) a ve výši 44,9 % z uznatelných nákladů vynaložených na ostatní práce dle bodu D) finančního rámce dotačního programu při realizaci akce v roce 2022, maximálně však ve výši 60.000,-Kč (slovy šedesát tisíc korun českých).</w:t>
      </w:r>
    </w:p>
    <w:p w14:paraId="5BBF2F0A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D158D80" w14:textId="7A384515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 Dotace podle této Smlouvy je příjemci dotace poskytována pouze k úhradě výdajů podle účelu uvedeného v článku II. odst. (2).</w:t>
      </w:r>
    </w:p>
    <w:p w14:paraId="2EE22AF0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IV.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PLATEBNÍ PODMÍNKY</w:t>
      </w:r>
    </w:p>
    <w:p w14:paraId="3595FEF2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(1) Dotaci poskytne poskytovatel příjemci v celé částce jednou splátkou do 30 dní od platnosti a účinnosti Smlouvy.</w:t>
      </w:r>
    </w:p>
    <w:p w14:paraId="0594976C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1837CDAD" w14:textId="7EADA5E3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 Peněžní prostředky budou poskytnuty příjemci na účet uvedený ve Smlouvě.</w:t>
      </w:r>
    </w:p>
    <w:p w14:paraId="66C1E807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FDA1C66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V.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PODMÍNKY POSKYTNUTÍ DOTACE</w:t>
      </w:r>
    </w:p>
    <w:p w14:paraId="5D803185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t>1. Individuální podmínky</w:t>
      </w:r>
    </w:p>
    <w:p w14:paraId="19F8AB90" w14:textId="77777777" w:rsidR="00551EBF" w:rsidRP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Individuální podmínky nebyly sjednány.</w:t>
      </w:r>
    </w:p>
    <w:p w14:paraId="73DA6A88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t>2. Obecné podmínky</w:t>
      </w:r>
    </w:p>
    <w:p w14:paraId="1D35DE97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(1) Příjemce dotace je povinen </w:t>
      </w: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t>nejpozději do 12. 12. 2022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 poskytovateli dotace vyúčtovat poskytnutou dotaci.</w:t>
      </w:r>
    </w:p>
    <w:p w14:paraId="62801EA7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36A91202" w14:textId="6E58DF6C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 Příjemce dotace je povinen za účelem ověření plnění povinností vyplývajících z této Smlouvy vytvořit podmínky k provedení kontroly vztahující se k účelu poskytnuté dotace, poskytnout veškeré doklady vážící se k účelu dotace a poskytnout součinnost všem osobám oprávněným k provádění kontroly. Těmito oprávněnými osobami jsou zaměstnanci Města Litomyšl zařazení do organizační struktury Městského úřadu Litomyšl pověření starostou města.</w:t>
      </w:r>
    </w:p>
    <w:p w14:paraId="6AAE838B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F24B7B0" w14:textId="6824E693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(3) Příjemce dotace je povinen uchovávat doklady vztahující se k přijaté dotaci. Lhůta pro uchování dokladů se začne počítat od 1. ledna následujícího kalendářního roku poté, kdy byla provedena poslední platba na účet příjemce a trvá po dobu deseti let. Po celou tuto dobu je příjemce dotace povinen umožnit poskytovateli dotace, jakož i ostatním subjektům oprávněným ke kontrole podle odst. (2) tohoto článku, vstup na pozemky, do zařízení a objektů spojených s projektem a jeho realizací a umožnit jim přístup k veškeré výše uvedené dokumentaci.</w:t>
      </w:r>
    </w:p>
    <w:p w14:paraId="52B6C2EC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EA79011" w14:textId="43F96C26" w:rsidR="00551EBF" w:rsidRP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(4) Příjemce dotace je povinen vést evidenci minimálně v tomto rozsahu: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a) evidence příjmů a výdajů včetně uschování dokladů,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b) předmětné doklady musí být správné, úplné, průkazné, srozumitelné a průběžně chronologicky vedené způsobem zaručujícím jejich trvalost.</w:t>
      </w:r>
    </w:p>
    <w:p w14:paraId="42830F50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D4E8756" w14:textId="4860BEC3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(5) Příjemce dotace, který je plátcem daně z přidané hodnoty (dále jen „DPH“), zajistí, aby DPH nebyla hrazena z dotace v té výši, v jaké si příjemce dotace uplatní odpočet DPH na vstupu podle zákona o DPH. V případě, že dodatečně uplatní odpočet DPH, je povinen uplatněnou část čerpané dotace vrátit.</w:t>
      </w:r>
    </w:p>
    <w:p w14:paraId="58AAB9B2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18"/>
          <w:szCs w:val="18"/>
          <w:lang w:eastAsia="cs-CZ"/>
        </w:rPr>
        <w:lastRenderedPageBreak/>
        <w:t>3. Další podmínky</w:t>
      </w:r>
    </w:p>
    <w:p w14:paraId="28A2B822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a) Příjemce dotace zabezpečí, aby doklady, k jejichž úhradě byla dotace použita, byly označeny textem „Financováno z rozpočtu města Litomyšl, č. smlouvy 185/2022“.</w:t>
      </w:r>
    </w:p>
    <w:p w14:paraId="057EBB5C" w14:textId="57F8A0F1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b) Příjemce dotace je povinen odpovídajícím způsobem prezentovat poskytovatele dotace.</w:t>
      </w:r>
    </w:p>
    <w:p w14:paraId="78431284" w14:textId="77777777" w:rsidR="00551EBF" w:rsidRP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9E66514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VI.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PORUŠENÍ PODMÍNEK PRO POSKYTNUTÍ DOTACE</w:t>
      </w:r>
    </w:p>
    <w:p w14:paraId="46C093FF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(1) Při porušení podmínek uvedených v článku II. Předmět a účel Smlouvy nebo v článku V. části 2. Obecné podmínky bude postupováno podle § 22 zákona o rozpočtových pravidlech územních rozpočtů (Porušení rozpočtové kázně).</w:t>
      </w:r>
    </w:p>
    <w:p w14:paraId="4F6BAF28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4FA6E68" w14:textId="3D50E28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 Při porušení podmínek uvedených v článku V. části 3. Další podmínky bude postupováno dle § 10a odstavec (6) a § 22 odstavec (6) zákona o rozpočtových pravidlech územních rozpočtů. Při stanovení sankce poskytovatel dotace přihlédne k závažnosti porušení a jeho vlivu na dodržení účelu dotace.</w:t>
      </w:r>
    </w:p>
    <w:p w14:paraId="630F1B40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66A84A3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VII.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ZMĚNA SMLOUVY, UKONČENÍ SMLOUVY</w:t>
      </w:r>
    </w:p>
    <w:p w14:paraId="6F6F60E4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(1) Smlouvu je možné změnit na základě písemného dodatku ke Smlouvě podepsaného oprávněnými zástupci obou smluvních stran.</w:t>
      </w:r>
    </w:p>
    <w:p w14:paraId="2C804DA1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1EE4F873" w14:textId="712B7DA6" w:rsidR="00551EBF" w:rsidRP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(2)Ve výjimečných případech je možné Smlouvu jak ze strany příjemce dotace, tak ze strany poskytovatele dotace ukončit před dosažením vlastního účelu Smlouvy, a to: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a) dohodou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b) výpovědí Smlouvy ze strany poskytovatele dotace.</w:t>
      </w:r>
    </w:p>
    <w:p w14:paraId="0FF7BDAD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511C23BA" w14:textId="5B144F83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(3) Předčasným ukončením Smlouvy však nezaniká povinnost příjemce dotace vrátit poskytovateli dotace poskytnuté prostředky, včetně penále, příslušenství, či právo poskytovatele dotace na náhradu škody.</w:t>
      </w:r>
    </w:p>
    <w:p w14:paraId="353B419D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3F936924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VIII.</w:t>
      </w: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br/>
        <w:t>ZÁVĚREČNÁ USTANOVENÍ</w:t>
      </w:r>
    </w:p>
    <w:p w14:paraId="15356A5D" w14:textId="77777777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(1) Příjemce dotace prohlašuje, že všechny údaje, které uvedl v této Smlouvě, případně v žádosti o dotaci, jsou pravdivé a úplné a je si vědom následků, které by uvedení nepravdivých nebo neúplných údajů mělo.</w:t>
      </w:r>
    </w:p>
    <w:p w14:paraId="270A8588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3D3E34EC" w14:textId="2E344A13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(2) V případě přeměny nebo zrušení příjemce dotace s likvidací je příjemce dotace povinen vrátit nevyčerpanou část dotace nejpozději do 30 dnů ode dne účinnosti přeměny nebo zrušení příjemce dotace na účet poskytovatele dotace uvedený v záhlaví této smlouvy; v této lhůtě je příjemce dotace povinen poskytovateli dotace předložit rovněž vyúčtování (finanční vypořádání) dotace.</w:t>
      </w:r>
    </w:p>
    <w:p w14:paraId="0ADFA441" w14:textId="77777777" w:rsid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168111FC" w14:textId="59B188F2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(3) Tato Smlouva se vyhotovuje ve dvou vyhotoveních, z nichž každé má platnost originálu, a každá ze smluvních stran obdrží jedno vyhotovení.</w:t>
      </w:r>
    </w:p>
    <w:p w14:paraId="470567E9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09BB8A0" w14:textId="40ACFA26" w:rsidR="00551EBF" w:rsidRP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(4) Nedílnou součástí této Smlouvy je formulář Finanční vyúčtování dotace.</w:t>
      </w:r>
    </w:p>
    <w:p w14:paraId="29F78F72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106C84A" w14:textId="357022E6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(5) Právní úkon byl projednán na jednání Zastupitelstva Města Litomyšl dne 15. 09. 2022 a schválen usnesením 125/22 (tento text je doložkou ve smyslu §41 Zákona o obcích).</w:t>
      </w:r>
    </w:p>
    <w:p w14:paraId="4F9666F5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1C3E8398" w14:textId="1946E39B" w:rsidR="00551EBF" w:rsidRPr="00551EBF" w:rsidRDefault="00551EBF" w:rsidP="00551EBF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(6) Smluvní strany se dohodly, že poskytovatel dotace bezodkladně po uzavření této smlouvy odešle smlouvu k řádnému uveřejnění do registru smluv vedeného Ministerstvem vnitra ČR. Tato smlouva nabývá platnosti okamžikem jejího podepsání poslední ze smluvních stran a účinnosti dnem jejího 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lastRenderedPageBreak/>
        <w:t>uveřejnění v registru smluv. Smluvní strany berou na vědomí, že nebude-li smlouva zveřejněna ani 90. den od jejího uzavření, je následujícím dnem zrušena od počátku.</w:t>
      </w:r>
    </w:p>
    <w:p w14:paraId="2DE89549" w14:textId="77777777" w:rsidR="00551EBF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</w:p>
    <w:p w14:paraId="254B275A" w14:textId="3746B05C" w:rsidR="00551EBF" w:rsidRPr="00551EBF" w:rsidRDefault="00551EBF" w:rsidP="00551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6511"/>
      </w:tblGrid>
      <w:tr w:rsidR="00551EBF" w:rsidRPr="00551EBF" w14:paraId="5D542EAD" w14:textId="77777777" w:rsidTr="00551EBF">
        <w:trPr>
          <w:trHeight w:val="1377"/>
        </w:trPr>
        <w:tc>
          <w:tcPr>
            <w:tcW w:w="0" w:type="auto"/>
            <w:shd w:val="clear" w:color="auto" w:fill="auto"/>
            <w:hideMark/>
          </w:tcPr>
          <w:p w14:paraId="4F3165F6" w14:textId="4B980C93" w:rsidR="00551EBF" w:rsidRPr="00551EBF" w:rsidRDefault="00551EBF" w:rsidP="006409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 xml:space="preserve">V Litomyšli dne </w:t>
            </w:r>
            <w:r w:rsidR="00640983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27. 10. 2022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511" w:type="dxa"/>
            <w:shd w:val="clear" w:color="auto" w:fill="auto"/>
            <w:hideMark/>
          </w:tcPr>
          <w:p w14:paraId="232744F6" w14:textId="77777777" w:rsidR="00640983" w:rsidRDefault="00551EBF" w:rsidP="00551EBF">
            <w:pPr>
              <w:spacing w:after="24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................................................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  <w:t>za poskytovatele dotace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  <w:t xml:space="preserve">Mgr. Daniel </w:t>
            </w:r>
            <w:proofErr w:type="spellStart"/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Brýdl</w:t>
            </w:r>
            <w:proofErr w:type="spellEnd"/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, LL.M., starosta města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</w:p>
          <w:p w14:paraId="35216609" w14:textId="348D57E0" w:rsidR="00551EBF" w:rsidRPr="00551EBF" w:rsidRDefault="00551EBF" w:rsidP="00551EBF">
            <w:pPr>
              <w:spacing w:after="24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</w:p>
        </w:tc>
      </w:tr>
      <w:tr w:rsidR="00551EBF" w:rsidRPr="00551EBF" w14:paraId="4A6F4F44" w14:textId="77777777" w:rsidTr="00551EBF">
        <w:trPr>
          <w:trHeight w:val="828"/>
        </w:trPr>
        <w:tc>
          <w:tcPr>
            <w:tcW w:w="0" w:type="auto"/>
            <w:shd w:val="clear" w:color="auto" w:fill="auto"/>
            <w:hideMark/>
          </w:tcPr>
          <w:p w14:paraId="018F80A9" w14:textId="1243FD56" w:rsidR="00551EBF" w:rsidRPr="00551EBF" w:rsidRDefault="00551EBF" w:rsidP="00551E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 xml:space="preserve"> Litomyšli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 xml:space="preserve"> dne </w:t>
            </w:r>
            <w:r w:rsidR="00003D2D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14.11.2022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511" w:type="dxa"/>
            <w:shd w:val="clear" w:color="auto" w:fill="auto"/>
            <w:hideMark/>
          </w:tcPr>
          <w:p w14:paraId="794796C0" w14:textId="1A930F52" w:rsidR="00551EBF" w:rsidRPr="00551EBF" w:rsidRDefault="00551EBF" w:rsidP="006409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................................................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  <w:t>za příjemce dotace</w:t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</w:p>
        </w:tc>
      </w:tr>
    </w:tbl>
    <w:p w14:paraId="512E88BB" w14:textId="77777777" w:rsidR="00D948DD" w:rsidRDefault="00551EBF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</w:p>
    <w:p w14:paraId="1CF1075E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544FE214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170AE86B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9300F20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5ED8FB2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5F307EE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6C66405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F2D7540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C3A4C16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F94A117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5252C3D7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4F9FE3B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8124751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1450682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67296A5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3A6DD21A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C21C5D8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1D9D31F9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7A238C3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F95609D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9A6E8CB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42B151A4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3A0BB680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3AFAF814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8787E23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1FB76A4F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11C453A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56839D4F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5ABBEAC8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6A50119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FE12719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D0FF7CF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11EC1C0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F83D04E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4E17507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72FB88A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0D9621B3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772C7711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6B1A3F55" w14:textId="77777777" w:rsidR="00D948DD" w:rsidRDefault="00D948DD" w:rsidP="00551EB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</w:p>
    <w:p w14:paraId="2B40D153" w14:textId="7FE0B8B0" w:rsidR="00551EBF" w:rsidRPr="00551EBF" w:rsidRDefault="00551EBF" w:rsidP="00551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předkladatel</w:t>
      </w:r>
      <w:r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Ing. Pavel Chadima</w:t>
      </w: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vyhotovil Ing. Ivana Smolová</w:t>
      </w:r>
    </w:p>
    <w:p w14:paraId="70AB2D06" w14:textId="146EE80C" w:rsidR="00551EBF" w:rsidRPr="00551EBF" w:rsidRDefault="00551EBF" w:rsidP="00551EB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lastRenderedPageBreak/>
        <w:t>Doručit nejpozději do 12. 12. 2022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 xml:space="preserve">pro Oddělení majetkoprávní </w:t>
      </w:r>
      <w:proofErr w:type="spellStart"/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>MěÚ</w:t>
      </w:r>
      <w:proofErr w:type="spellEnd"/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Litomyšl</w:t>
      </w:r>
    </w:p>
    <w:p w14:paraId="71EB3125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7"/>
          <w:szCs w:val="27"/>
          <w:lang w:eastAsia="cs-CZ"/>
        </w:rPr>
        <w:t>FINANČNÍ VYÚČTOVÁNÍ</w:t>
      </w:r>
    </w:p>
    <w:p w14:paraId="66C93CEB" w14:textId="77777777" w:rsidR="00551EBF" w:rsidRPr="00551EBF" w:rsidRDefault="00551EBF" w:rsidP="00551EBF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>ke </w:t>
      </w:r>
      <w:r w:rsidRPr="00551EBF">
        <w:rPr>
          <w:rFonts w:ascii="Verdana" w:eastAsia="Times New Roman" w:hAnsi="Verdana"/>
          <w:b/>
          <w:bCs/>
          <w:color w:val="000000"/>
          <w:sz w:val="20"/>
          <w:szCs w:val="20"/>
          <w:lang w:eastAsia="cs-CZ"/>
        </w:rPr>
        <w:t>SMLOUVĚ O POSKYTNUTÍ DOTACE Z ROZPOČTU MĚSTA LITOMYŠL č. 185/2022</w:t>
      </w:r>
    </w:p>
    <w:p w14:paraId="5132F38A" w14:textId="77777777" w:rsidR="00551EBF" w:rsidRPr="00551EBF" w:rsidRDefault="00551EBF" w:rsidP="00551EB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>Město Litomyšl poskytlo účelovou dotaci na základě usnesení Zastupitelstva č. 125/22 ze dne 15. 09. 2022 ve výši 93 180 Kč.</w:t>
      </w:r>
    </w:p>
    <w:p w14:paraId="2AB5CBC0" w14:textId="74F299FA" w:rsidR="00551EBF" w:rsidRPr="00551EBF" w:rsidRDefault="00551EBF" w:rsidP="00551EB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0"/>
          <w:szCs w:val="20"/>
          <w:lang w:eastAsia="cs-CZ"/>
        </w:rPr>
        <w:t>komu: HZH, s.r.o.</w:t>
      </w:r>
      <w:r w:rsidRPr="00551EBF">
        <w:rPr>
          <w:rFonts w:ascii="Verdana" w:eastAsia="Times New Roman" w:hAnsi="Verdana"/>
          <w:b/>
          <w:bCs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v zastoupení: </w:t>
      </w:r>
      <w:r w:rsidR="00FA72A9">
        <w:rPr>
          <w:rFonts w:ascii="Verdana" w:eastAsia="Times New Roman" w:hAnsi="Verdana"/>
          <w:color w:val="000000"/>
          <w:sz w:val="20"/>
          <w:szCs w:val="20"/>
          <w:lang w:eastAsia="cs-CZ"/>
        </w:rPr>
        <w:t>XXX</w:t>
      </w:r>
      <w:bookmarkStart w:id="0" w:name="_GoBack"/>
      <w:bookmarkEnd w:id="0"/>
    </w:p>
    <w:p w14:paraId="1B565DB1" w14:textId="77777777" w:rsidR="00551EBF" w:rsidRPr="00551EBF" w:rsidRDefault="00551EBF" w:rsidP="00551EB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551EBF">
        <w:rPr>
          <w:rFonts w:ascii="Verdana" w:eastAsia="Times New Roman" w:hAnsi="Verdana"/>
          <w:b/>
          <w:bCs/>
          <w:color w:val="000000"/>
          <w:sz w:val="20"/>
          <w:szCs w:val="20"/>
          <w:lang w:eastAsia="cs-CZ"/>
        </w:rPr>
        <w:t>účel: Dotace byla poskytnuta na opravu fasády a teracového obkladu v hlavním průčelí objektu na Smetanově náměstí č.p. 84.</w:t>
      </w:r>
    </w:p>
    <w:p w14:paraId="5B551A14" w14:textId="77777777" w:rsidR="00551EBF" w:rsidRPr="00551EBF" w:rsidRDefault="00551EBF" w:rsidP="00551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51EBF">
        <w:rPr>
          <w:rFonts w:ascii="Verdana" w:eastAsia="Times New Roman" w:hAnsi="Verdana"/>
          <w:color w:val="000000"/>
          <w:sz w:val="18"/>
          <w:szCs w:val="18"/>
          <w:lang w:eastAsia="cs-CZ"/>
        </w:rPr>
        <w:t>Dotace byla použita na: (soupis dokladů)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358"/>
        <w:gridCol w:w="2264"/>
        <w:gridCol w:w="3170"/>
        <w:gridCol w:w="1358"/>
      </w:tblGrid>
      <w:tr w:rsidR="00551EBF" w:rsidRPr="00551EBF" w14:paraId="34FA6DB7" w14:textId="77777777" w:rsidTr="00551EBF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655BE" w14:textId="77777777" w:rsidR="00551EBF" w:rsidRPr="00551EBF" w:rsidRDefault="00551EBF" w:rsidP="00551E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44A1E" w14:textId="77777777" w:rsidR="00551EBF" w:rsidRPr="00551EBF" w:rsidRDefault="00551EBF" w:rsidP="00551E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číslo dokladu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C308D" w14:textId="77777777" w:rsidR="00551EBF" w:rsidRPr="00551EBF" w:rsidRDefault="00551EBF" w:rsidP="00551E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F47EB" w14:textId="77777777" w:rsidR="00551EBF" w:rsidRPr="00551EBF" w:rsidRDefault="00551EBF" w:rsidP="00551E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6F324" w14:textId="77777777" w:rsidR="00551EBF" w:rsidRPr="00551EBF" w:rsidRDefault="00551EBF" w:rsidP="00551E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551EBF" w:rsidRPr="00551EBF" w14:paraId="41E396B4" w14:textId="77777777" w:rsidTr="00551EB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FE3D2" w14:textId="5E77E752" w:rsidR="00551EBF" w:rsidRPr="00551EBF" w:rsidRDefault="00551EBF" w:rsidP="00640983">
            <w:pPr>
              <w:spacing w:after="2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  <w:r w:rsidRPr="00551EBF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br/>
            </w:r>
          </w:p>
        </w:tc>
      </w:tr>
      <w:tr w:rsidR="00551EBF" w:rsidRPr="00551EBF" w14:paraId="3B5618C9" w14:textId="77777777" w:rsidTr="00551E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93FB2" w14:textId="77777777" w:rsidR="00551EBF" w:rsidRPr="00551EBF" w:rsidRDefault="00551EBF" w:rsidP="00551E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br/>
              <w:t>celkem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D745F" w14:textId="77777777" w:rsidR="00551EBF" w:rsidRPr="00551EBF" w:rsidRDefault="00551EBF" w:rsidP="00551EB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551EBF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br/>
              <w:t>.......................... Kč</w:t>
            </w:r>
          </w:p>
        </w:tc>
      </w:tr>
    </w:tbl>
    <w:p w14:paraId="135C1F61" w14:textId="38F21AC4" w:rsidR="00A81940" w:rsidRPr="00390F9A" w:rsidRDefault="00551EBF" w:rsidP="00390F9A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>Nevyčerpaný zůstatek ve výši Kč:...................... byl městu Litomyšl vrácen dne ...................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Prezentace Města Litomyšl byla uskutečněna formou .............................................................................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(uvést a vhodně doložit – vzorek tiskovin s logem města, odkaz na web apod.)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Zpracoval: .................................................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b/>
          <w:bCs/>
          <w:color w:val="000000"/>
          <w:sz w:val="20"/>
          <w:szCs w:val="20"/>
          <w:lang w:eastAsia="cs-CZ"/>
        </w:rPr>
        <w:t>Za správnost odpovídá: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a/ razítko a podpis statutárního zástupce příjemce (popř. jiné zodpovědné osoby)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- jméno, funkce, podpis: .................................................................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jména a podpisy případných dalších zástupců příjemce: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.................................................................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>V ................................. dne .........................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  <w:t xml:space="preserve">Vyúčtování převzal vedoucí odboru </w:t>
      </w:r>
      <w:proofErr w:type="spellStart"/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>MěÚ</w:t>
      </w:r>
      <w:proofErr w:type="spellEnd"/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Litomyšl ........................... dne</w:t>
      </w:r>
      <w:r w:rsidR="00D948DD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t>...................</w:t>
      </w:r>
      <w:r w:rsidRPr="00551EBF">
        <w:rPr>
          <w:rFonts w:ascii="Verdana" w:eastAsia="Times New Roman" w:hAnsi="Verdana"/>
          <w:color w:val="000000"/>
          <w:sz w:val="20"/>
          <w:szCs w:val="20"/>
          <w:lang w:eastAsia="cs-CZ"/>
        </w:rPr>
        <w:br/>
      </w:r>
      <w:r w:rsidRPr="00551EBF">
        <w:rPr>
          <w:rFonts w:ascii="Verdana" w:eastAsia="Times New Roman" w:hAnsi="Verdana"/>
          <w:color w:val="000000"/>
          <w:sz w:val="15"/>
          <w:szCs w:val="15"/>
          <w:lang w:eastAsia="cs-CZ"/>
        </w:rPr>
        <w:t>Tento formulář je možné stáhnout pro doplnění v počítači z adresy www.litomysl.cz/</w:t>
      </w:r>
      <w:proofErr w:type="spellStart"/>
      <w:r w:rsidRPr="00551EBF">
        <w:rPr>
          <w:rFonts w:ascii="Verdana" w:eastAsia="Times New Roman" w:hAnsi="Verdana"/>
          <w:color w:val="000000"/>
          <w:sz w:val="15"/>
          <w:szCs w:val="15"/>
          <w:lang w:eastAsia="cs-CZ"/>
        </w:rPr>
        <w:t>ucelove_dotace</w:t>
      </w:r>
      <w:proofErr w:type="spellEnd"/>
      <w:r w:rsidRPr="00551EBF">
        <w:rPr>
          <w:rFonts w:ascii="Verdana" w:eastAsia="Times New Roman" w:hAnsi="Verdana"/>
          <w:color w:val="000000"/>
          <w:sz w:val="15"/>
          <w:szCs w:val="15"/>
          <w:lang w:eastAsia="cs-CZ"/>
        </w:rPr>
        <w:t>/</w:t>
      </w:r>
      <w:proofErr w:type="spellStart"/>
      <w:r w:rsidRPr="00551EBF">
        <w:rPr>
          <w:rFonts w:ascii="Verdana" w:eastAsia="Times New Roman" w:hAnsi="Verdana"/>
          <w:color w:val="000000"/>
          <w:sz w:val="15"/>
          <w:szCs w:val="15"/>
          <w:lang w:eastAsia="cs-CZ"/>
        </w:rPr>
        <w:t>formular_vyuctovani</w:t>
      </w:r>
      <w:proofErr w:type="spellEnd"/>
      <w:r w:rsidRPr="00551EBF">
        <w:rPr>
          <w:rFonts w:ascii="Verdana" w:eastAsia="Times New Roman" w:hAnsi="Verdana"/>
          <w:color w:val="000000"/>
          <w:sz w:val="15"/>
          <w:szCs w:val="15"/>
          <w:lang w:eastAsia="cs-CZ"/>
        </w:rPr>
        <w:t>.</w:t>
      </w:r>
    </w:p>
    <w:sectPr w:rsidR="00A81940" w:rsidRPr="0039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C0"/>
    <w:rsid w:val="00003D2D"/>
    <w:rsid w:val="002669F3"/>
    <w:rsid w:val="002A78B5"/>
    <w:rsid w:val="002B59C0"/>
    <w:rsid w:val="00390F9A"/>
    <w:rsid w:val="00413D6D"/>
    <w:rsid w:val="00551EBF"/>
    <w:rsid w:val="00640983"/>
    <w:rsid w:val="00A81940"/>
    <w:rsid w:val="00AC60A7"/>
    <w:rsid w:val="00CF471D"/>
    <w:rsid w:val="00D948DD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8085"/>
  <w15:chartTrackingRefBased/>
  <w15:docId w15:val="{F2AABDC0-95D9-4255-A79D-FA283C4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D6D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D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Smolova Ivana, Mesto Litomysl</dc:creator>
  <cp:keywords/>
  <dc:description/>
  <cp:lastModifiedBy>Smolova Ivana, Mesto Litomysl</cp:lastModifiedBy>
  <cp:revision>5</cp:revision>
  <dcterms:created xsi:type="dcterms:W3CDTF">2022-11-02T07:00:00Z</dcterms:created>
  <dcterms:modified xsi:type="dcterms:W3CDTF">2022-11-23T11:09:00Z</dcterms:modified>
</cp:coreProperties>
</file>