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545" w:right="770" w:bottom="1926" w:left="8721" w:header="117" w:footer="3" w:gutter="0"/>
          <w:pgNumType w:start="1"/>
          <w:cols w:space="720"/>
          <w:noEndnote/>
          <w:rtlGutter w:val="0"/>
          <w:docGrid w:linePitch="360"/>
        </w:sectPr>
      </w:pPr>
      <w:bookmarkStart w:id="0" w:name="bookmark0"/>
      <w:r>
        <w:rPr>
          <w:rStyle w:val="CharStyle3"/>
        </w:rPr>
        <w:t>lllllllllllllllllllllllll</w:t>
      </w:r>
      <w:bookmarkEnd w:id="0"/>
    </w:p>
    <w:p>
      <w:pPr>
        <w:pStyle w:val="Style7"/>
        <w:keepNext/>
        <w:keepLines/>
        <w:framePr w:w="3259" w:h="312" w:wrap="none" w:vAnchor="text" w:hAnchor="page" w:x="450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rStyle w:val="CharStyle8"/>
          <w:b/>
          <w:bCs/>
        </w:rPr>
        <w:t>RÁMCOVÁ KUPNÍ SMLOUVA</w:t>
      </w:r>
      <w:bookmarkEnd w:id="2"/>
    </w:p>
    <w:p>
      <w:pPr>
        <w:pStyle w:val="Style9"/>
        <w:keepNext w:val="0"/>
        <w:keepLines w:val="0"/>
        <w:framePr w:w="931" w:h="202" w:wrap="none" w:vAnchor="text" w:hAnchor="page" w:x="9019" w:y="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Style w:val="CharStyle10"/>
          <w:sz w:val="16"/>
          <w:szCs w:val="16"/>
        </w:rPr>
        <w:t>2022008246</w:t>
      </w:r>
    </w:p>
    <w:p>
      <w:pPr>
        <w:widowControl w:val="0"/>
        <w:spacing w:after="31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45" w:right="769" w:bottom="1018" w:left="143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615950</wp:posOffset>
                </wp:positionV>
                <wp:extent cx="1637030" cy="355981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3559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(dále jen „kupující“)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a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Kontaktní osoba: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DIČ: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Zápis v OR: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Bankovní spojení (číslo účtu):</w:t>
                            </w:r>
                          </w:p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3"/>
                              </w:rPr>
                              <w:t>(dále jen „prodávající“)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700000000000003pt;margin-top:48.5pt;width:128.90000000000001pt;height:280.3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Jméno: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Sídlo: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Jednající: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Kontaktní osoba: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Zápis v OR: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Bankovní spojení (číslo účtu):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(dále jen „kupující“)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a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Jméno: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Sídlo: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Jednající: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Kontaktní osoba: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DIČ: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Zápis v OR: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Bankovní spojení (číslo účtu):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(dále jen „prodávající“)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/>
        <w:ind w:right="0"/>
        <w:jc w:val="both"/>
      </w:pPr>
      <w:bookmarkStart w:id="7" w:name="bookmark7"/>
      <w:r>
        <w:rPr>
          <w:rStyle w:val="CharStyle17"/>
        </w:rPr>
        <w:t>uzavřená v souladu s ustanovením § 2079 a násl. zákona č. 89/2012 Sb., občanský zákoník, mezi níže uvedenými smluvními stranami</w:t>
      </w:r>
      <w:bookmarkEnd w:id="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firstLine="40"/>
        <w:jc w:val="both"/>
      </w:pPr>
      <w:r>
        <w:rPr>
          <w:rStyle w:val="CharStyle13"/>
          <w:b/>
          <w:bCs/>
        </w:rPr>
        <w:t>Zdravotnická záchranná služba Jihomoravského kraje, příspěvková organizace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Kamenice 798/1 d, 625 00 Brno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MUDr. Hana Albrechtová, ředitelka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  <w:spacing w:val="4"/>
          <w:shd w:val="clear" w:color="auto" w:fill="000000"/>
        </w:rPr>
        <w:t>........</w:t>
      </w:r>
      <w:r>
        <w:rPr>
          <w:rStyle w:val="CharStyle13"/>
          <w:spacing w:val="5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1"/>
          <w:shd w:val="clear" w:color="auto" w:fill="000000"/>
        </w:rPr>
        <w:t>.........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hd w:val="clear" w:color="auto" w:fill="000000"/>
          <w:lang w:val="en-US" w:eastAsia="en-US" w:bidi="en-US"/>
        </w:rPr>
        <w:t>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8"/>
          <w:shd w:val="clear" w:color="auto" w:fill="000000"/>
        </w:rPr>
        <w:t>...</w:t>
      </w:r>
      <w:r>
        <w:rPr>
          <w:rStyle w:val="CharStyle13"/>
          <w:spacing w:val="9"/>
          <w:shd w:val="clear" w:color="auto" w:fill="000000"/>
        </w:rPr>
        <w:t>..</w:t>
      </w:r>
      <w:r>
        <w:rPr>
          <w:rStyle w:val="CharStyle13"/>
          <w:shd w:val="clear" w:color="auto" w:fill="000000"/>
        </w:rPr>
        <w:t>​.......​</w:t>
      </w:r>
      <w:r>
        <w:rPr>
          <w:rStyle w:val="CharStyle13"/>
          <w:spacing w:val="6"/>
          <w:shd w:val="clear" w:color="auto" w:fill="000000"/>
        </w:rPr>
        <w:t>...</w:t>
      </w:r>
      <w:r>
        <w:rPr>
          <w:rStyle w:val="CharStyle13"/>
          <w:spacing w:val="7"/>
          <w:shd w:val="clear" w:color="auto" w:fill="000000"/>
        </w:rPr>
        <w:t>...</w:t>
      </w:r>
      <w:r>
        <w:rPr>
          <w:rStyle w:val="CharStyle13"/>
          <w:shd w:val="clear" w:color="auto" w:fill="000000"/>
        </w:rPr>
        <w:t>​........​</w:t>
      </w:r>
      <w:r>
        <w:rPr>
          <w:rStyle w:val="CharStyle13"/>
          <w:spacing w:val="6"/>
          <w:shd w:val="clear" w:color="auto" w:fill="000000"/>
        </w:rPr>
        <w:t>....</w:t>
      </w:r>
      <w:r>
        <w:rPr>
          <w:rStyle w:val="CharStyle13"/>
          <w:spacing w:val="7"/>
          <w:shd w:val="clear" w:color="auto" w:fill="000000"/>
        </w:rPr>
        <w:t>....</w:t>
      </w:r>
      <w:r>
        <w:rPr>
          <w:rStyle w:val="CharStyle13"/>
          <w:shd w:val="clear" w:color="auto" w:fill="000000"/>
        </w:rPr>
        <w:t>​.......​.......​......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3"/>
        </w:rPr>
        <w:t>00346292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3"/>
        </w:rPr>
        <w:t>CZ00346292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rStyle w:val="CharStyle13"/>
        </w:rPr>
        <w:t>Krajský soud v Brně sp. zn. Pr 1245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660"/>
        <w:jc w:val="left"/>
      </w:pPr>
      <w:r>
        <w:rPr>
          <w:rStyle w:val="CharStyle13"/>
        </w:rPr>
        <w:t>MONETA Money Bank, a.s., č. ú. 117203514/0600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  <w:b/>
          <w:bCs/>
        </w:rPr>
        <w:t>VBM - lékařská technika, spol. s r. 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Blanenská 982/15, 664 34 Kuřím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Jiří Pavelka, jednatel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  <w:spacing w:val="3"/>
          <w:shd w:val="clear" w:color="auto" w:fill="000000"/>
        </w:rPr>
        <w:t>.....</w:t>
      </w:r>
      <w:r>
        <w:rPr>
          <w:rStyle w:val="CharStyle13"/>
          <w:spacing w:val="4"/>
          <w:shd w:val="clear" w:color="auto" w:fill="000000"/>
        </w:rPr>
        <w:t>....</w:t>
      </w:r>
      <w:r>
        <w:rPr>
          <w:rStyle w:val="CharStyle13"/>
          <w:shd w:val="clear" w:color="auto" w:fill="000000"/>
        </w:rPr>
        <w:t>​</w:t>
      </w:r>
      <w:r>
        <w:rPr>
          <w:rStyle w:val="CharStyle13"/>
          <w:spacing w:val="3"/>
          <w:shd w:val="clear" w:color="auto" w:fill="000000"/>
        </w:rPr>
        <w:t>.............</w:t>
      </w:r>
      <w:r>
        <w:rPr>
          <w:rStyle w:val="CharStyle13"/>
          <w:spacing w:val="4"/>
          <w:shd w:val="clear" w:color="auto" w:fill="000000"/>
        </w:rPr>
        <w:t>...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46992472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CZ46992472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rStyle w:val="CharStyle13"/>
        </w:rPr>
        <w:t>Krajský soud v Brně, sp. zn. O 8646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360" w:line="240" w:lineRule="auto"/>
        <w:ind w:left="0" w:right="0" w:firstLine="660"/>
        <w:jc w:val="both"/>
      </w:pPr>
      <w:r>
        <w:rPr>
          <w:rStyle w:val="CharStyle13"/>
        </w:rPr>
        <w:t>Komerční banka, a.s., č. ú. 200606621/0100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Prodávající je oprávněn na základě svého vlastnického práva nakládat se zbožím ve formě koniotomických setů pro skalpelovou techniku, jejichž specifikace, včetně jejích jednotkových cen, je uvedena v příloze č. 1, která je nedílnou součástí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Prodávající se zavazuje dodávat zboží podle čl. 1 této smlouvy kupujícímu a převádět na Jihomoravský kraj, jako jeho zřizovatele, vlastnické právo k tomuto zboží, a to ve specifikaci a rozsahu dle jednotlivých dílčích kupních smluv. Jednotlivá dílčí kupní smlouva se přitom považuje za uzavřenou doručením jednotlivé písemné výzvy (objednávky) do rukou prodávajícího, a to ve znění, daném touto výzvou (objednávkou) a touto rámcovou kupní smlouvou. Výzva (objednávka) kupujícího musí obsahovat vždy údaj o specifikaci a množství objednaného zboží, datum a jméno kupujícího. Výzvu (objednávku) kupujícího lze učinit i elektronickou formou (e-mailem).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>Součástí dodávky zboží podle čl. 2 této smlouvy je vždy rovněž dodání všech dokladů, které se k dodávanému zboží vztahují a návody k použití v českém jazyce.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400" w:right="0" w:hanging="400"/>
        <w:jc w:val="both"/>
      </w:pPr>
      <w:r>
        <w:rPr>
          <w:rStyle w:val="CharStyle13"/>
        </w:rPr>
        <w:t xml:space="preserve">Prodávající se zavazuje plnit svůj závazek k dodání zboží podle čl. 1 této smlouvy vždy nejpozději do </w:t>
      </w:r>
      <w:r>
        <w:rPr>
          <w:rStyle w:val="CharStyle13"/>
          <w:b/>
          <w:bCs/>
        </w:rPr>
        <w:t xml:space="preserve">5-ti pracovních dní </w:t>
      </w:r>
      <w:r>
        <w:rPr>
          <w:rStyle w:val="CharStyle13"/>
        </w:rPr>
        <w:t>ode dne účinnosti příslušné dílčí kupní smlouvy. Tento závazek se bude považovat za splněný po předání a převzetí příslušného zboží, prostého všech vad, formou písemného předávacího protokolu, podepsaného oběma stranami. Místem plnění tohoto závazku prodávajícího, je centrální sklad v sídle kupujícího,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after="0" w:line="240" w:lineRule="auto"/>
        <w:ind w:left="400" w:right="0" w:hanging="400"/>
        <w:jc w:val="both"/>
      </w:pPr>
      <w:r>
        <w:rPr>
          <w:rStyle w:val="CharStyle13"/>
        </w:rPr>
        <w:t>Kupující se zavazuje převzít objednané zboží podle čl. 1 této smlouvy, prosté všech zjevných vad, ve lhůtě a místě podle této smlouvy. Kupující je oprávněn odmítnout převzetí zboží, bude-li se na něm vyskytovat jakákoliv vada.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Nebezpečí škody na převáděném zboží podle čl. 1 této smlouvy a vlastnické právo k tomuto zboží přechází z prodávajícího na kupujícího dnem faktického převzetí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Kupující se zavazuje zaplatit prodávajícímu za předmět koupě a prodeje podle čl. 1 této smlouvy kupní cenu ve výši součinu počtu dodaných kusů zboží podle čl. 1 této smlouvy a jednotkových cen tohoto zboží. Součástí těchto cen jsou veškeré náklady prodávajícího na splnění jeho závazku k dodání zboží podle této smlouvy. Výše uvedené ceny se prodávající zavazuje garantovat po dobu podle čl. 20 této smlouvy. Změna ceny je možná v souvislosti se změnou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" w:val="left"/>
          <w:tab w:pos="1558" w:val="left"/>
        </w:tabs>
        <w:bidi w:val="0"/>
        <w:spacing w:before="0" w:after="0" w:line="214" w:lineRule="auto"/>
        <w:ind w:left="0" w:right="0" w:firstLine="0"/>
        <w:jc w:val="both"/>
      </w:pPr>
      <w:r>
        <w:rPr>
          <w:rStyle w:val="CharStyle13"/>
        </w:rPr>
        <w:t>Kupní cena podle čl. 7 této smlouvy je splatná na účet prodávajícího po splnění závazku prodávajícího k dodání zboží podle čl. 1 této smlouvy způsobem podle čl. 4 této smlouvy ve lhůtě QO</w:t>
        <w:tab/>
        <w:t xml:space="preserve">rxrlrx rjnn &lt;4rxri i </w:t>
      </w:r>
      <w:r>
        <w:rPr>
          <w:rStyle w:val="CharStyle13"/>
          <w:smallCaps/>
        </w:rPr>
        <w:t>Azmtx</w:t>
      </w:r>
      <w:r>
        <w:rPr>
          <w:rStyle w:val="CharStyle13"/>
        </w:rPr>
        <w:t xml:space="preserve"> í iz~» i íkxz-x nírnmnAInn </w:t>
      </w:r>
      <w:r>
        <w:rPr>
          <w:rStyle w:val="CharStyle13"/>
          <w:i/>
          <w:iCs/>
        </w:rPr>
        <w:t>\ tx iťir^rsx</w:t>
      </w:r>
      <w:r>
        <w:rPr>
          <w:rStyle w:val="CharStyle13"/>
        </w:rPr>
        <w:t xml:space="preserve"> zó í /-fo IzFi i rx z/A o ArxxzAkx Arxlrl'-* Ai i\</w:t>
      </w:r>
    </w:p>
    <w:p>
      <w:pPr>
        <w:pStyle w:val="Style32"/>
        <w:keepNext w:val="0"/>
        <w:keepLines w:val="0"/>
        <w:widowControl w:val="0"/>
        <w:shd w:val="clear" w:color="auto" w:fill="auto"/>
        <w:tabs>
          <w:tab w:pos="1178" w:val="left"/>
        </w:tabs>
        <w:bidi w:val="0"/>
        <w:spacing w:before="0" w:after="0"/>
        <w:ind w:left="0" w:right="0"/>
        <w:jc w:val="both"/>
      </w:pPr>
      <w:r>
        <w:rPr>
          <w:rStyle w:val="CharStyle33"/>
          <w:b/>
          <w:bCs/>
        </w:rPr>
        <w:t>MM</w:t>
        <w:tab/>
        <w:t xml:space="preserve">Ml 1M MMM Ml lO MM1MMMII1 JMJHIM piMMI 1 11 1M1 IM V </w:t>
      </w:r>
      <w:r>
        <w:rPr>
          <w:rStyle w:val="CharStyle33"/>
          <w:i/>
          <w:iCs/>
          <w:sz w:val="19"/>
          <w:szCs w:val="19"/>
        </w:rPr>
        <w:t>y</w:t>
      </w:r>
      <w:r>
        <w:rPr>
          <w:rStyle w:val="CharStyle33"/>
          <w:b/>
          <w:bCs/>
        </w:rPr>
        <w:t xml:space="preserve"> MMLM v C4I I I I M I\IM I </w:t>
      </w:r>
      <w:r>
        <w:rPr>
          <w:rStyle w:val="CharStyle33"/>
          <w:i/>
          <w:iCs/>
          <w:sz w:val="19"/>
          <w:szCs w:val="19"/>
        </w:rPr>
        <w:t>y</w:t>
      </w:r>
      <w:r>
        <w:rPr>
          <w:rStyle w:val="CharStyle33"/>
          <w:b/>
          <w:bCs/>
        </w:rPr>
        <w:t xml:space="preserve"> / M MI IM V MI I M MMIMMMM^.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20"/>
        <w:jc w:val="both"/>
      </w:pPr>
      <w:r>
        <w:rPr>
          <w:rStyle w:val="CharStyle13"/>
        </w:rPr>
        <w:t xml:space="preserve">Faktura/daňový doklad bude doručena elektronicky na email: 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shd w:val="clear" w:color="auto" w:fill="000000"/>
        </w:rPr>
        <w:t>​..</w:t>
      </w:r>
      <w:r>
        <w:rPr>
          <w:rStyle w:val="CharStyle13"/>
        </w:rPr>
        <w:t xml:space="preserve"> 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color w:val="7EADDF"/>
          <w:lang w:val="en-US" w:eastAsia="en-US" w:bidi="en-US"/>
        </w:rPr>
        <w:t xml:space="preserve"> </w:t>
      </w:r>
      <w:r>
        <w:rPr>
          <w:rStyle w:val="CharStyle13"/>
        </w:rPr>
        <w:t xml:space="preserve">Na faktuře/daňovém dokladu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P22V00004049. </w:t>
      </w:r>
      <w:r>
        <w:rPr>
          <w:rStyle w:val="CharStyle13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framePr w:w="8443" w:h="254" w:hSpace="398" w:vSpace="677" w:wrap="notBeside" w:vAnchor="text" w:hAnchor="text" w:x="406" w:y="1"/>
        <w:widowControl w:val="0"/>
        <w:rPr>
          <w:sz w:val="2"/>
          <w:szCs w:val="2"/>
        </w:rPr>
      </w:pPr>
      <w:r>
        <w:drawing>
          <wp:inline>
            <wp:extent cx="5364480" cy="16446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5364480" cy="164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4445" distR="5497195" simplePos="0" relativeHeight="1258293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12065</wp:posOffset>
                </wp:positionV>
                <wp:extent cx="121920" cy="14351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8"/>
                                <w:b/>
                                <w:bCs/>
                              </w:rPr>
                              <w:t>9.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0.35000000000000003pt;margin-top:0.95000000000000007pt;width:9.5999999999999996pt;height:11.300000000000001pt;z-index:-125829373;mso-wrap-distance-left:0.35000000000000003pt;mso-wrap-distance-right:432.85000000000002pt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8"/>
                          <w:b/>
                          <w:bCs/>
                        </w:rPr>
                        <w:t>9.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4445" distR="260985" simplePos="0" relativeHeight="12582938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158750</wp:posOffset>
                </wp:positionV>
                <wp:extent cx="5358130" cy="433070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5813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8"/>
                              </w:rPr>
                              <w:t>použitelnosti vyznačené na zboží, nejméně však v trvání 24 měsíců ode dne dodání příslušného zboží. V rámci záruky se prodávající zavazuje, že zboží podle čl. 1 této smlouvy bude nové, v neporušeném balení s řádným označením, s minimální skladovací životností po celou dobu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0.25pt;margin-top:12.5pt;width:421.90000000000003pt;height:34.100000000000001pt;z-index:-125829371;mso-wrap-distance-left:0.35000000000000003pt;mso-wrap-distance-right:20.550000000000001pt" filled="f" stroked="f">
                <v:textbox inset="0,0,0,0">
                  <w:txbxContent>
                    <w:p>
                      <w:pPr>
                        <w:pStyle w:val="Style3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8"/>
                        </w:rPr>
                        <w:t>použitelnosti vyznačené na zboží, nejméně však v trvání 24 měsíců ode dne dodání příslušného zboží. V rámci záruky se prodávající zavazuje, že zboží podle čl. 1 této smlouvy bude nové, v neporušeném balení s řádným označením, s minimální skladovací životností po celou dobu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80" w:right="0" w:firstLine="20"/>
        <w:jc w:val="both"/>
      </w:pPr>
      <w:r>
        <w:rPr>
          <w:rStyle w:val="CharStyle13"/>
        </w:rPr>
        <w:t>uvedené záruční lhůty a bude mít po tuto dobu vlastnosti, které jsou stanoveny právními předpisy nebo technickými normami nebo jsou u zboží tohoto druhu obvyklé, a že bude po dobu záruční lhůty bezplatně odstraňovat vady, které se na zboží podle čl. 1 této smlouvy vyskytnou. Vzhledem k povaze příslušného zboží lze provést odstranění reklamované vady jen výměnou vadného zboží za nové bezvadné, a to nejpozději do 48 hodin od doručení příslušné reklamace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380"/>
        <w:jc w:val="both"/>
      </w:pPr>
      <w:r>
        <w:rPr>
          <w:rStyle w:val="CharStyle13"/>
        </w:rPr>
        <w:t>kupujícího.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sporu o oprávněnost reklamace se prodávajícímu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Neodstraní-li prodávající vady zboží ve lhůtě podle čl. 9 této smlouvy nebo v něm z důvodů na své straně nepokračuj©, a to ani po písemné výzvě ze strany kupujícího, je kupující oprávněn nechat provést toto odstranění třetí osobou na náklady prodávajícího.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závazku prodávajícího k dodání zboží ve lhůtě podle čl. 4 této smlouvy se prodávající zavazuje platit kupujícímu smluvní pokutu ve výši 0,1 % z kupní ceny nedodaného zboží za každý započatý den tohoto prodlení. Pro případ prodlení s odstraněním vady ve lhůtě podle čl. 9 této smlouvy se prodávající zavazuje platit kupujícímu smluvní pokutu ve výši 0,1% z kupní ceny reklamovaného zboží za každý den prodlení s odstraněním vady. Obě strany se dohodly, že zaplacením smluvní pokuty podle této smlouvy není nijak dotčeno právo kupujícího na náhradu škody v plné výši. Tímto ujednáním se přitom vylučuje aplikace § 2050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se splněním jeho závazku k dodání zboží ve lhůtě podle čl. 4 této smlouvy o více, než 1 týden nebo pro případ výskytu neodstranitelné vady resp. výskytu 3 a více vad na jednom kusu zboží, a to i postupně, je kupující oprávněn odstoupit od této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Pro případ prodlení kupujícího se zaplacením kupní ceny nebo její části ve lhůtě podle čl. 8 této smlouvy o víc, než 2 týdny, je prodávající oprávněn od této smlouvy odstoupit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Není-li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Tato smlouva se uzavírá na základě návrhu na její uzavření ze strany kupujícího. Předpokladem uzavření této smlouvy je její písemná forma a dohoda o celém jejím obsahu jak je obsažen v jejích článcích 1 až 21. Kupující přitom předem vylučuje přijetí tohoto návrhu s dodatkem nebo odchylkou ve smyslu § 1740 odst. 3 občanského zákoníku.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Smluvní strany souhlasí se zveřejněním smlouvy v úplném znění, stejně jako s uveřejněním úplného znění případných dohod (dodatků), kterými se smlouva doplňuje, mění, nahrazuje nebo ruší, a to zejména prostřednictvím Registru smluv v souladu se zákonem č. 340/2015 Sb., o registru smluv, ve znění pozdějších předpisů. Smluvní strany se dohodly, že uveřejnění smlouvy zajistí kupující.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Tuto smlouvu lze změnit nebo zrušit pouze jinou písemnou dohodou obou smluvních stran. Dále jsou smluvní strany oprávněny vypovědět smluvní vztah s 3-měsíční výpovědní dobou, která začíná běžet prvním dnem následujícího měsíce po doručení výpovědi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380" w:right="0" w:hanging="380"/>
        <w:jc w:val="both"/>
      </w:pPr>
      <w:r>
        <w:rPr>
          <w:rStyle w:val="CharStyle13"/>
        </w:rPr>
        <w:t>Tato smlouva nabývá účinnosti po jejím podpisu oběma smluvními stranami dnem jejího uveřejnění v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line="240" w:lineRule="auto"/>
        <w:ind w:left="0" w:right="0" w:firstLine="0"/>
        <w:jc w:val="both"/>
      </w:pPr>
      <w:r>
        <w:rPr>
          <w:rStyle w:val="CharStyle13"/>
        </w:rPr>
        <w:t>Tato smlouva se uzavírá na dobu určitou do 31. 12. 2024.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3" w:val="left"/>
        </w:tabs>
        <w:bidi w:val="0"/>
        <w:spacing w:before="0" w:after="0" w:line="240" w:lineRule="auto"/>
        <w:ind w:left="380" w:right="0" w:hanging="380"/>
        <w:jc w:val="both"/>
      </w:pPr>
      <w:r>
        <w:rPr>
          <w:rStyle w:val="CharStyle13"/>
        </w:rPr>
        <w:t>Dáno ve dvou originálních písemných vyhotoveních, z nichž každá ze smluvních stran obdrží po jednom.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13" w:right="1625" w:bottom="1658" w:left="1419" w:header="385" w:footer="3" w:gutter="0"/>
          <w:cols w:space="720"/>
          <w:noEndnote/>
          <w:rtlGutter w:val="0"/>
          <w:docGrid w:linePitch="360"/>
        </w:sectPr>
      </w:pPr>
      <w:r>
        <w:drawing>
          <wp:anchor distT="342900" distB="0" distL="0" distR="0" simplePos="0" relativeHeight="125829384" behindDoc="0" locked="0" layoutInCell="1" allowOverlap="1">
            <wp:simplePos x="0" y="0"/>
            <wp:positionH relativeFrom="page">
              <wp:posOffset>1035050</wp:posOffset>
            </wp:positionH>
            <wp:positionV relativeFrom="paragraph">
              <wp:posOffset>342900</wp:posOffset>
            </wp:positionV>
            <wp:extent cx="2103120" cy="1066800"/>
            <wp:wrapTopAndBottom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2103120" cy="10668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80060" distB="777240" distL="0" distR="0" simplePos="0" relativeHeight="125829385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480060</wp:posOffset>
                </wp:positionV>
                <wp:extent cx="1454150" cy="14922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415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13"/>
                              </w:rPr>
                              <w:t>VKuřimi dne 14. 11.2022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30.40000000000003pt;margin-top:37.800000000000004pt;width:114.5pt;height:11.75pt;z-index:-125829368;mso-wrap-distance-left:0;mso-wrap-distance-top:37.800000000000004pt;mso-wrap-distance-right:0;mso-wrap-distance-bottom:61.200000000000003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13"/>
                        </w:rPr>
                        <w:t>VKuřimi dne 14. 11.2022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81685" distB="113030" distL="0" distR="0" simplePos="0" relativeHeight="125829387" behindDoc="0" locked="0" layoutInCell="1" allowOverlap="1">
                <wp:simplePos x="0" y="0"/>
                <wp:positionH relativeFrom="page">
                  <wp:posOffset>4232275</wp:posOffset>
                </wp:positionH>
                <wp:positionV relativeFrom="paragraph">
                  <wp:posOffset>781685</wp:posOffset>
                </wp:positionV>
                <wp:extent cx="713105" cy="511810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13105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r>
                              <w:rPr>
                                <w:rStyle w:val="CharStyle15"/>
                              </w:rPr>
                              <w:t>Jiří</w:t>
                            </w:r>
                            <w:bookmarkEnd w:id="4"/>
                          </w:p>
                          <w:p>
                            <w:pPr>
                              <w:pStyle w:val="Style1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</w:rPr>
                              <w:t>Pavelka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33.25pt;margin-top:61.550000000000004pt;width:56.149999999999999pt;height:40.300000000000004pt;z-index:-125829366;mso-wrap-distance-left:0;mso-wrap-distance-top:61.550000000000004pt;mso-wrap-distance-right:0;mso-wrap-distance-bottom:8.9000000000000004pt;mso-position-horizontal-relative:page" filled="f" stroked="f">
                <v:textbox inset="0,0,0,0">
                  <w:txbxContent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bookmarkStart w:id="4" w:name="bookmark4"/>
                      <w:r>
                        <w:rPr>
                          <w:rStyle w:val="CharStyle15"/>
                        </w:rPr>
                        <w:t>Jiří</w:t>
                      </w:r>
                      <w:bookmarkEnd w:id="4"/>
                    </w:p>
                    <w:p>
                      <w:pPr>
                        <w:pStyle w:val="Style1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</w:rPr>
                        <w:t>Pavelka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88035" distB="91440" distL="0" distR="0" simplePos="0" relativeHeight="125829389" behindDoc="0" locked="0" layoutInCell="1" allowOverlap="1">
                <wp:simplePos x="0" y="0"/>
                <wp:positionH relativeFrom="page">
                  <wp:posOffset>5134610</wp:posOffset>
                </wp:positionH>
                <wp:positionV relativeFrom="paragraph">
                  <wp:posOffset>788035</wp:posOffset>
                </wp:positionV>
                <wp:extent cx="856615" cy="527050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6615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Digitálně podepsa!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Jiří Pavelka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Datum: 2022.11.14 10:02:43 +01'00'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04.30000000000001pt;margin-top:62.050000000000004pt;width:67.450000000000003pt;height:41.5pt;z-index:-125829364;mso-wrap-distance-left:0;mso-wrap-distance-top:62.050000000000004pt;mso-wrap-distance-right:0;mso-wrap-distance-bottom:7.2000000000000002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Digitálně podepsa!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Jiří Pavelka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Datum: 2022.11.14 10:02:43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4192905</wp:posOffset>
                </wp:positionH>
                <wp:positionV relativeFrom="paragraph">
                  <wp:posOffset>12700</wp:posOffset>
                </wp:positionV>
                <wp:extent cx="697865" cy="44831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CharStyle41"/>
                              </w:rPr>
                              <w:t xml:space="preserve">Jiří Pavelka jednatel </w:t>
                            </w:r>
                            <w:r>
                              <w:rPr>
                                <w:rStyle w:val="CharStyle41"/>
                                <w:b/>
                                <w:bCs/>
                                <w:sz w:val="19"/>
                                <w:szCs w:val="19"/>
                              </w:rPr>
                              <w:t>Prodávající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30.15000000000003pt;margin-top:1.pt;width:54.950000000000003pt;height:35.300000000000004pt;z-index:-12582936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Style w:val="CharStyle41"/>
                        </w:rPr>
                        <w:t xml:space="preserve">Jiří Pavelka jednatel </w:t>
                      </w:r>
                      <w:r>
                        <w:rPr>
                          <w:rStyle w:val="CharStyle41"/>
                          <w:b/>
                          <w:bCs/>
                          <w:sz w:val="19"/>
                          <w:szCs w:val="19"/>
                        </w:rPr>
                        <w:t>Prodávající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MUDr. Hana Albrechtová ředitelka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rStyle w:val="CharStyle13"/>
          <w:b/>
          <w:bCs/>
        </w:rPr>
        <w:t>Kupující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rStyle w:val="CharStyle13"/>
        </w:rPr>
        <w:t>Příloha č. 1 Specifikace, ceník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hanging="340"/>
        <w:jc w:val="left"/>
      </w:pPr>
      <w:r>
        <w:rPr>
          <w:rStyle w:val="CharStyle13"/>
          <w:b/>
          <w:bCs/>
        </w:rPr>
        <w:t>Příloha č. 1 Specifikace, ceník</w:t>
      </w:r>
    </w:p>
    <w:tbl>
      <w:tblPr>
        <w:tblOverlap w:val="never"/>
        <w:jc w:val="center"/>
        <w:tblLayout w:type="fixed"/>
      </w:tblPr>
      <w:tblGrid>
        <w:gridCol w:w="4450"/>
        <w:gridCol w:w="4075"/>
      </w:tblGrid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ScalpeICric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  <w:b/>
                <w:bCs/>
              </w:rPr>
              <w:t>Výrobce: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VBM Medizintechnik, GmbH,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auto"/>
            <w:vAlign w:val="top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Německo</w:t>
            </w:r>
          </w:p>
        </w:tc>
      </w:tr>
      <w:tr>
        <w:trPr>
          <w:trHeight w:val="235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  <w:b/>
                <w:bCs/>
              </w:rPr>
              <w:t>Interní číslo kupujícího: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30-08-447-1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  <w:b/>
                <w:bCs/>
              </w:rPr>
              <w:t>Jednotková cena bez DPH: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2 150,- Kč</w:t>
            </w:r>
          </w:p>
        </w:tc>
      </w:tr>
      <w:tr>
        <w:trPr>
          <w:trHeight w:val="250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  <w:b/>
                <w:bCs/>
              </w:rPr>
              <w:t>Jednotková cena včetně DPH: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44"/>
                <w:i/>
                <w:iCs/>
                <w:color w:val="EC8BA4"/>
                <w:sz w:val="20"/>
                <w:szCs w:val="20"/>
              </w:rPr>
              <w:t>2 601,50 Kč</w:t>
            </w:r>
          </w:p>
        </w:tc>
      </w:tr>
    </w:tbl>
    <w:p>
      <w:pPr>
        <w:widowControl w:val="0"/>
        <w:spacing w:after="71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21"/>
        <w:gridCol w:w="5131"/>
        <w:gridCol w:w="2698"/>
      </w:tblGrid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EFDCF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44"/>
                <w:b/>
                <w:bCs/>
              </w:rPr>
              <w:t>P.č.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EFDCF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4"/>
                <w:b/>
                <w:bCs/>
              </w:rPr>
              <w:t>Zadavatelem požadovaná hodnota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EFDCF"/>
            <w:vAlign w:val="top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4"/>
                <w:b/>
                <w:bCs/>
              </w:rPr>
              <w:t>Účastníkem nabízená hodnota</w:t>
            </w:r>
          </w:p>
        </w:tc>
      </w:tr>
      <w:tr>
        <w:trPr>
          <w:trHeight w:val="134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Style w:val="CharStyle4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</w:rPr>
              <w:t>Chirurgický set (sada) pro koniotomii skalpelovou technikou dle DAS 2015, Obsah setu: Skalpel, 14 Fr bužije (40 cm) se zahnutou kulatou špičkou, 6 mm tracheální tubus s manžetou a měkkým koncem, spojovací hadička s otvorem pro odsávání z dýchacích cest, stříkačka, fixační páska.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4"/>
                <w:i/>
                <w:iCs/>
                <w:color w:val="EC8BA4"/>
              </w:rPr>
              <w:t>Ano. všechny požadované parametry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4"/>
              </w:rPr>
              <w:t>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44"/>
              </w:rPr>
              <w:t>Sada zabalena ve sterilním obalu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4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44"/>
                <w:i/>
                <w:iCs/>
                <w:color w:val="EC8BA4"/>
              </w:rPr>
              <w:t>Ano</w:t>
            </w: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900" w:h="16840"/>
      <w:pgMar w:top="1509" w:right="1715" w:bottom="5842" w:left="1536" w:header="1081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947420</wp:posOffset>
              </wp:positionH>
              <wp:positionV relativeFrom="page">
                <wp:posOffset>9983470</wp:posOffset>
              </wp:positionV>
              <wp:extent cx="3450590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5059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7"/>
                              <w:szCs w:val="17"/>
                            </w:rPr>
                            <w:t>Veřejná zakázka 52_2022 Koniotomické sety pro skalpelovou techniku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4.600000000000009pt;margin-top:786.10000000000002pt;width:271.6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7"/>
                        <w:szCs w:val="17"/>
                      </w:rPr>
                      <w:t>Veřejná zakázka 52_2022 Koniotomické sety pro skalpelovou techniku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0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3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Nadpis #2_"/>
    <w:basedOn w:val="DefaultParagraphFont"/>
    <w:link w:val="Style14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7">
    <w:name w:val="Nadpis #4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3">
    <w:name w:val="Základní text (2)_"/>
    <w:basedOn w:val="DefaultParagraphFont"/>
    <w:link w:val="Style32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38">
    <w:name w:val="Titulek obrázku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1">
    <w:name w:val="Základní text (4)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44">
    <w:name w:val="Jiné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3"/>
    <w:basedOn w:val="Normal"/>
    <w:link w:val="CharStyle8"/>
    <w:pPr>
      <w:widowControl w:val="0"/>
      <w:shd w:val="clear" w:color="auto" w:fill="auto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Nadpis #2"/>
    <w:basedOn w:val="Normal"/>
    <w:link w:val="CharStyle15"/>
    <w:pPr>
      <w:widowControl w:val="0"/>
      <w:shd w:val="clear" w:color="auto" w:fill="auto"/>
      <w:spacing w:after="20"/>
      <w:outlineLvl w:val="1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16">
    <w:name w:val="Nadpis #4"/>
    <w:basedOn w:val="Normal"/>
    <w:link w:val="CharStyle17"/>
    <w:pPr>
      <w:widowControl w:val="0"/>
      <w:shd w:val="clear" w:color="auto" w:fill="auto"/>
      <w:spacing w:after="460" w:line="262" w:lineRule="auto"/>
      <w:ind w:left="2020" w:hanging="1320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2">
    <w:name w:val="Základní text (2)"/>
    <w:basedOn w:val="Normal"/>
    <w:link w:val="CharStyle33"/>
    <w:pPr>
      <w:widowControl w:val="0"/>
      <w:shd w:val="clear" w:color="auto" w:fill="auto"/>
      <w:spacing w:line="180" w:lineRule="auto"/>
      <w:ind w:firstLine="380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37">
    <w:name w:val="Titulek obrázku"/>
    <w:basedOn w:val="Normal"/>
    <w:link w:val="CharStyle3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0">
    <w:name w:val="Základní text (4)"/>
    <w:basedOn w:val="Normal"/>
    <w:link w:val="CharStyle41"/>
    <w:pPr>
      <w:widowControl w:val="0"/>
      <w:shd w:val="clear" w:color="auto" w:fill="auto"/>
      <w:spacing w:line="271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3">
    <w:name w:val="Jiné"/>
    <w:basedOn w:val="Normal"/>
    <w:link w:val="CharStyle44"/>
    <w:pPr>
      <w:widowControl w:val="0"/>
      <w:shd w:val="clear" w:color="auto" w:fill="auto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/Relationships>
</file>