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42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9pt;margin-top:0.7pt;width:112.8pt;height:32.15pt;z-index:-125829376;mso-wrap-distance-left:21.85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02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0" w:line="300" w:lineRule="exact"/>
        <w:ind w:left="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637" w:line="320" w:lineRule="exact"/>
        <w:ind w:left="0" w:right="26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58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both"/>
        <w:spacing w:before="0" w:after="53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8pt;margin-top:-6.65pt;width:94.1pt;height:146.1pt;z-index:-125829375;mso-wrap-distance-left:5.pt;mso-wrap-distance-right:15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4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7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892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(dále jen „</w:t>
      </w:r>
      <w:r>
        <w:rPr>
          <w:rStyle w:val="CharStyle25"/>
        </w:rPr>
        <w:t>Objednatel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pict>
          <v:shape id="_x0000_s1028" type="#_x0000_t202" style="position:absolute;margin-left:16.3pt;margin-top:-4.25pt;width:118.1pt;height:97.4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.jíhotoviteť)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AGRO Stonařov, družstvo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Stonařov 329, 588 33 Stonařov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Miroslavou Nikrmajerovou Bártů-předseda představenstva</w:t>
      </w:r>
    </w:p>
    <w:p>
      <w:pPr>
        <w:pStyle w:val="Style6"/>
        <w:tabs>
          <w:tab w:leader="none" w:pos="2150" w:val="left"/>
        </w:tabs>
        <w:widowControl w:val="0"/>
        <w:keepNext w:val="0"/>
        <w:keepLines w:val="0"/>
        <w:shd w:val="clear" w:color="auto" w:fill="auto"/>
        <w:bidi w:val="0"/>
        <w:spacing w:before="0" w:after="1204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49973479</w:t>
        <w:tab/>
        <w:t>DIČ : CZ49973479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58" w:line="312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), a to v následujícím znění: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40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317" w:lineRule="exact"/>
        <w:ind w:left="42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2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5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306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Jihlava - tel. 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smluvené dopravní prostředky a mechanismy je stanovena ve výši 550,00 Kč/hod. + DPH platné v daném období.</w:t>
      </w:r>
    </w:p>
    <w:p>
      <w:pPr>
        <w:pStyle w:val="Style6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304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358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19" w:line="240" w:lineRule="exact"/>
        <w:ind w:left="400" w:right="0" w:hanging="400"/>
      </w:pPr>
      <w:r>
        <w:pict>
          <v:shape id="_x0000_s1029" type="#_x0000_t202" style="position:absolute;margin-left:127.45pt;margin-top:-20.45pt;width:86.4pt;height:32.8pt;z-index:-125829373;mso-wrap-distance-left:5.pt;mso-wrap-distance-right:65.0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0" w:lineRule="exact"/>
                    <w:ind w:left="440" w:right="0" w:firstLine="0"/>
                  </w:pPr>
                  <w:r>
                    <w:rPr>
                      <w:rStyle w:val="CharStyle13"/>
                      <w:i/>
                      <w:iCs/>
                    </w:rPr>
                    <w:t>y/</w:t>
                  </w:r>
                  <w:r>
                    <w:rPr>
                      <w:rStyle w:val="CharStyle14"/>
                      <w:i w:val="0"/>
                      <w:iCs w:val="0"/>
                    </w:rPr>
                    <w:t>-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margin-left:16.1pt;margin-top:-3.85pt;width:98.4pt;height:17.05pt;z-index:-125829372;mso-wrap-distance-left:5.pt;mso-wrap-distance-right:12.9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Ve Stonařově d/fe 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Jihlavě dr ::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0" w:firstLine="0"/>
      </w:pPr>
      <w:r>
        <w:pict>
          <v:shape id="_x0000_s1031" type="#_x0000_t202" style="position:absolute;margin-left:295.2pt;margin-top:-4.25pt;width:98.4pt;height:50.35pt;z-index:-125829371;mso-wrap-distance-left:106.8pt;mso-wrap-distance-right:5.pt;mso-wrap-distance-bottom:19.2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317" w:lineRule="exact"/>
                    <w:ind w:left="0" w:right="40" w:firstLine="0"/>
                  </w:pPr>
                  <w:r>
                    <w:rPr>
                      <w:rStyle w:val="CharStyle7"/>
                    </w:rPr>
                    <w:t>Za Objednatele</w:t>
                    <w:br/>
                    <w:t>Ing. Radovan Necid</w:t>
                    <w:br/>
                    <w:t>ředitel organizace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x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kotovitele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Miros’ va Nikrmajerová Bártů</w:t>
        <w:br/>
        <w:t>předsi la představenstva</w:t>
      </w:r>
    </w:p>
    <w:sectPr>
      <w:footnotePr>
        <w:pos w:val="pageBottom"/>
        <w:numFmt w:val="decimal"/>
        <w:numRestart w:val="continuous"/>
      </w:footnotePr>
      <w:pgSz w:w="11900" w:h="16840"/>
      <w:pgMar w:top="548" w:left="963" w:right="1487" w:bottom="168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24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kladní text (5) Exact"/>
    <w:basedOn w:val="DefaultParagraphFont"/>
    <w:link w:val="Style8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Základní text (5) + Ne tučné,Ne kurzíva Exact"/>
    <w:basedOn w:val="CharStyle9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Základní text (19) Exact"/>
    <w:basedOn w:val="DefaultParagraphFont"/>
    <w:link w:val="Style11"/>
    <w:rPr>
      <w:b w:val="0"/>
      <w:bCs w:val="0"/>
      <w:i/>
      <w:iCs/>
      <w:u w:val="none"/>
      <w:strike w:val="0"/>
      <w:smallCaps w:val="0"/>
      <w:sz w:val="44"/>
      <w:szCs w:val="44"/>
      <w:rFonts w:ascii="Times New Roman" w:eastAsia="Times New Roman" w:hAnsi="Times New Roman" w:cs="Times New Roman"/>
      <w:spacing w:val="0"/>
    </w:rPr>
  </w:style>
  <w:style w:type="character" w:customStyle="1" w:styleId="CharStyle13">
    <w:name w:val="Základní text (19) Exact"/>
    <w:basedOn w:val="CharStyle12"/>
    <w:rPr>
      <w:lang w:val="cs-CZ" w:eastAsia="cs-CZ" w:bidi="cs-CZ"/>
      <w:w w:val="100"/>
      <w:color w:val="000000"/>
      <w:position w:val="0"/>
    </w:rPr>
  </w:style>
  <w:style w:type="character" w:customStyle="1" w:styleId="CharStyle14">
    <w:name w:val="Základní text (19) + 10 pt,Ne kurzíva Exact"/>
    <w:basedOn w:val="CharStyle12"/>
    <w:rPr>
      <w:lang w:val="cs-CZ" w:eastAsia="cs-CZ" w:bidi="cs-CZ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6">
    <w:name w:val="Nadpis #1_"/>
    <w:basedOn w:val="DefaultParagraphFont"/>
    <w:link w:val="Style15"/>
    <w:rPr>
      <w:b/>
      <w:bCs/>
      <w:i/>
      <w:iCs/>
      <w:u w:val="none"/>
      <w:strike w:val="0"/>
      <w:smallCaps w:val="0"/>
      <w:sz w:val="56"/>
      <w:szCs w:val="56"/>
      <w:rFonts w:ascii="Calibri" w:eastAsia="Calibri" w:hAnsi="Calibri" w:cs="Calibri"/>
    </w:rPr>
  </w:style>
  <w:style w:type="character" w:customStyle="1" w:styleId="CharStyle1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3)_"/>
    <w:basedOn w:val="DefaultParagraphFont"/>
    <w:link w:val="Style1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3">
    <w:name w:val="Nadpis #3_"/>
    <w:basedOn w:val="DefaultParagraphFont"/>
    <w:link w:val="Style2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Základní text (2) + Tučné,Kurzíva"/>
    <w:basedOn w:val="CharStyle17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7">
    <w:name w:val="Základní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  <w:w w:val="200"/>
    </w:rPr>
  </w:style>
  <w:style w:type="paragraph" w:customStyle="1" w:styleId="Style3">
    <w:name w:val="Základní text (4)"/>
    <w:basedOn w:val="Normal"/>
    <w:link w:val="CharStyle24"/>
    <w:pPr>
      <w:widowControl w:val="0"/>
      <w:shd w:val="clear" w:color="auto" w:fill="FFFFFF"/>
      <w:spacing w:line="312" w:lineRule="exact"/>
      <w:ind w:hanging="42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7"/>
    <w:pPr>
      <w:widowControl w:val="0"/>
      <w:shd w:val="clear" w:color="auto" w:fill="FFFFFF"/>
      <w:jc w:val="both"/>
      <w:spacing w:after="660" w:line="0" w:lineRule="exact"/>
      <w:ind w:hanging="4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5)"/>
    <w:basedOn w:val="Normal"/>
    <w:link w:val="CharStyle9"/>
    <w:pPr>
      <w:widowControl w:val="0"/>
      <w:shd w:val="clear" w:color="auto" w:fill="FFFFFF"/>
      <w:jc w:val="both"/>
      <w:spacing w:after="720"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Základní text (19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44"/>
      <w:szCs w:val="44"/>
      <w:rFonts w:ascii="Times New Roman" w:eastAsia="Times New Roman" w:hAnsi="Times New Roman" w:cs="Times New Roman"/>
      <w:spacing w:val="0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jc w:val="both"/>
      <w:outlineLvl w:val="0"/>
      <w:spacing w:line="686" w:lineRule="exact"/>
    </w:pPr>
    <w:rPr>
      <w:b/>
      <w:bCs/>
      <w:i/>
      <w:iCs/>
      <w:u w:val="none"/>
      <w:strike w:val="0"/>
      <w:smallCaps w:val="0"/>
      <w:sz w:val="56"/>
      <w:szCs w:val="56"/>
      <w:rFonts w:ascii="Calibri" w:eastAsia="Calibri" w:hAnsi="Calibri" w:cs="Calibri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jc w:val="center"/>
      <w:spacing w:before="66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outlineLvl w:val="2"/>
      <w:spacing w:before="420" w:line="312" w:lineRule="exact"/>
      <w:ind w:hanging="42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  <w:w w:val="2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