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6604" w14:textId="02E69606" w:rsidR="00693A03" w:rsidRPr="009F3DEC" w:rsidRDefault="00693A03" w:rsidP="00693A03">
      <w:pPr>
        <w:pStyle w:val="Titul"/>
        <w:ind w:right="992"/>
        <w:rPr>
          <w:rFonts w:ascii="NettoPro-Bold" w:hAnsi="NettoPro-Bold" w:cs="NettoPro-Bold"/>
          <w:sz w:val="48"/>
        </w:rPr>
      </w:pPr>
      <w:r w:rsidRPr="00625130">
        <w:rPr>
          <w:rFonts w:ascii="NettoPro-Bold" w:hAnsi="NettoPro-Bold" w:cs="NettoPro-Bold"/>
          <w:sz w:val="48"/>
        </w:rPr>
        <w:t>Dodatek</w:t>
      </w:r>
      <w:r w:rsidRPr="009F3DEC">
        <w:rPr>
          <w:rFonts w:ascii="NettoPro-Bold" w:hAnsi="NettoPro-Bold" w:cs="NettoPro-Bold"/>
          <w:sz w:val="56"/>
        </w:rPr>
        <w:t xml:space="preserve"> </w:t>
      </w:r>
      <w:r w:rsidRPr="009F3DEC">
        <w:rPr>
          <w:rFonts w:ascii="NettoPro-Bold" w:hAnsi="NettoPro-Bold" w:cs="NettoPro-Bold"/>
          <w:caps w:val="0"/>
          <w:sz w:val="48"/>
        </w:rPr>
        <w:t>č.</w:t>
      </w:r>
      <w:r w:rsidR="0002243C">
        <w:rPr>
          <w:rFonts w:ascii="NettoPro-Bold" w:hAnsi="NettoPro-Bold" w:cs="NettoPro-Bold"/>
          <w:caps w:val="0"/>
          <w:sz w:val="48"/>
        </w:rPr>
        <w:t xml:space="preserve"> </w:t>
      </w:r>
      <w:r w:rsidR="00213B88">
        <w:rPr>
          <w:rFonts w:ascii="NettoPro-Bold" w:hAnsi="NettoPro-Bold" w:cs="NettoPro-Bold"/>
          <w:caps w:val="0"/>
          <w:sz w:val="48"/>
        </w:rPr>
        <w:t>4</w:t>
      </w:r>
      <w:r w:rsidRPr="009F3DEC">
        <w:rPr>
          <w:rFonts w:ascii="NettoPro-Bold" w:hAnsi="NettoPro-Bold" w:cs="NettoPro-Bold"/>
          <w:caps w:val="0"/>
          <w:sz w:val="48"/>
        </w:rPr>
        <w:t xml:space="preserve"> ke Smlouvě </w:t>
      </w:r>
      <w:r w:rsidRPr="009F3DEC">
        <w:rPr>
          <w:rFonts w:ascii="NettoPro-Bold" w:hAnsi="NettoPro-Bold" w:cs="NettoPro-Bold"/>
          <w:caps w:val="0"/>
          <w:sz w:val="48"/>
        </w:rPr>
        <w:br/>
        <w:t xml:space="preserve">o poskytování a využívání informací ze dne </w:t>
      </w:r>
      <w:r w:rsidR="00D777DF">
        <w:rPr>
          <w:rFonts w:ascii="NettoPro-Bold" w:hAnsi="NettoPro-Bold" w:cs="NettoPro-Bold"/>
          <w:b w:val="0"/>
        </w:rPr>
        <w:t>28. 6. 2021</w:t>
      </w:r>
      <w:r w:rsidRPr="009F3DEC">
        <w:rPr>
          <w:rFonts w:ascii="NettoPro-Bold" w:hAnsi="NettoPro-Bold" w:cs="NettoPro-Bold"/>
          <w:sz w:val="48"/>
        </w:rPr>
        <w:t xml:space="preserve"> </w:t>
      </w:r>
      <w:r w:rsidRPr="009F3DEC">
        <w:rPr>
          <w:rFonts w:ascii="NettoPro-Bold" w:hAnsi="NettoPro-Bold" w:cs="NettoPro-Bold"/>
          <w:caps w:val="0"/>
          <w:sz w:val="48"/>
        </w:rPr>
        <w:t>uzavřené mezi:</w:t>
      </w:r>
    </w:p>
    <w:p w14:paraId="310A8377" w14:textId="77777777" w:rsidR="00693A03" w:rsidRPr="00592A93" w:rsidRDefault="00693A03" w:rsidP="00693A03"/>
    <w:p w14:paraId="7B62482A" w14:textId="77777777" w:rsidR="00693A03" w:rsidRPr="00BD141D" w:rsidRDefault="00693A03" w:rsidP="00693A03">
      <w:pPr>
        <w:rPr>
          <w:rFonts w:cs="Arial"/>
        </w:rPr>
      </w:pPr>
      <w:r>
        <w:rPr>
          <w:rFonts w:cs="Times New Roman"/>
          <w:noProof/>
        </w:rPr>
        <mc:AlternateContent>
          <mc:Choice Requires="wps">
            <w:drawing>
              <wp:anchor distT="4294967295" distB="4294967295" distL="114300" distR="114300" simplePos="0" relativeHeight="251658240" behindDoc="0" locked="0" layoutInCell="1" allowOverlap="1" wp14:anchorId="584BB01C" wp14:editId="6AB00DFE">
                <wp:simplePos x="0" y="0"/>
                <wp:positionH relativeFrom="column">
                  <wp:posOffset>28575</wp:posOffset>
                </wp:positionH>
                <wp:positionV relativeFrom="paragraph">
                  <wp:posOffset>86359</wp:posOffset>
                </wp:positionV>
                <wp:extent cx="44958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E2FD1E"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8pt" to="356.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" strokecolor="windowText" strokeweight=".5pt">
                <v:stroke joinstyle="miter"/>
                <o:lock v:ext="edit" shapetype="f"/>
              </v:line>
            </w:pict>
          </mc:Fallback>
        </mc:AlternateContent>
      </w:r>
    </w:p>
    <w:p w14:paraId="04776E98" w14:textId="77777777" w:rsidR="00693A03" w:rsidRDefault="00693A03" w:rsidP="00693A03">
      <w:pPr>
        <w:rPr>
          <w:rFonts w:ascii="Trebuchet MS" w:hAnsi="Trebuchet MS"/>
          <w:sz w:val="22"/>
        </w:rPr>
      </w:pPr>
    </w:p>
    <w:p w14:paraId="74DA7018" w14:textId="77777777" w:rsidR="00693A03" w:rsidRDefault="00693A03" w:rsidP="00693A03">
      <w:pPr>
        <w:pStyle w:val="Zkladntext2"/>
        <w:rPr>
          <w:rFonts w:ascii="Trebuchet MS" w:hAnsi="Trebuchet MS"/>
        </w:rPr>
      </w:pPr>
    </w:p>
    <w:p w14:paraId="7B0B2F5E" w14:textId="77777777" w:rsidR="00693A03" w:rsidRDefault="00693A03" w:rsidP="00693A03">
      <w:pPr>
        <w:pStyle w:val="podtitul"/>
        <w:spacing w:before="0" w:after="0" w:line="240" w:lineRule="auto"/>
        <w:rPr>
          <w:rFonts w:ascii="Arial" w:hAnsi="Arial" w:cs="Arial"/>
        </w:rPr>
      </w:pPr>
    </w:p>
    <w:p w14:paraId="772523A7" w14:textId="77777777" w:rsidR="00693A03" w:rsidRDefault="00693A03" w:rsidP="00693A03">
      <w:pPr>
        <w:pStyle w:val="podtitul"/>
        <w:spacing w:before="0" w:after="0" w:line="240" w:lineRule="auto"/>
        <w:rPr>
          <w:rFonts w:ascii="Arial" w:hAnsi="Arial" w:cs="Arial"/>
        </w:rPr>
      </w:pPr>
    </w:p>
    <w:p w14:paraId="66D5BD45" w14:textId="77777777" w:rsidR="00693A03" w:rsidRDefault="00693A03" w:rsidP="00693A03">
      <w:pPr>
        <w:pStyle w:val="podtitul"/>
        <w:spacing w:before="0" w:after="0" w:line="240" w:lineRule="auto"/>
        <w:rPr>
          <w:rFonts w:ascii="Arial" w:hAnsi="Arial" w:cs="Arial"/>
        </w:rPr>
      </w:pPr>
    </w:p>
    <w:p w14:paraId="30CAE6CB" w14:textId="77777777" w:rsidR="00693A03" w:rsidRPr="009F3DEC" w:rsidRDefault="00693A03" w:rsidP="00693A03">
      <w:pPr>
        <w:pStyle w:val="podtitul"/>
        <w:spacing w:before="0" w:after="0" w:line="240" w:lineRule="auto"/>
        <w:rPr>
          <w:rFonts w:ascii="NettoPro-Bold" w:hAnsi="NettoPro-Bold" w:cs="NettoPro-Bold"/>
          <w:b w:val="0"/>
        </w:rPr>
      </w:pPr>
      <w:r w:rsidRPr="009F3DEC">
        <w:rPr>
          <w:rFonts w:ascii="NettoPro-Bold" w:hAnsi="NettoPro-Bold" w:cs="NettoPro-Bold"/>
          <w:b w:val="0"/>
        </w:rPr>
        <w:t xml:space="preserve">NEWTON Media, a.s. </w:t>
      </w:r>
    </w:p>
    <w:p w14:paraId="7304D4B5" w14:textId="77777777" w:rsidR="00693A03" w:rsidRPr="00BD141D" w:rsidRDefault="00693A03" w:rsidP="00693A03">
      <w:pPr>
        <w:pStyle w:val="podtitul"/>
        <w:spacing w:before="0" w:after="0" w:line="276" w:lineRule="auto"/>
        <w:rPr>
          <w:rFonts w:ascii="Arial" w:hAnsi="Arial" w:cs="Arial"/>
        </w:rPr>
      </w:pPr>
    </w:p>
    <w:p w14:paraId="1B61113A"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 xml:space="preserve">zapsaná v obchodním rejstříku vedeném Městským soudem v Praze, </w:t>
      </w:r>
    </w:p>
    <w:p w14:paraId="75DEA014"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oddíl B, vložka 12446</w:t>
      </w:r>
    </w:p>
    <w:p w14:paraId="78B02070"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se sídlem Praha 4, Na Pankráci 1683/127, PSČ 140 00</w:t>
      </w:r>
    </w:p>
    <w:p w14:paraId="17D96E96"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IČ: 28168356, DIČ: CZ28168356</w:t>
      </w:r>
    </w:p>
    <w:p w14:paraId="0B743AC0"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bankovní spojení: Česká spořitelna, a.s., č. účtu: 2601942/0800</w:t>
      </w:r>
    </w:p>
    <w:p w14:paraId="04FE8B74"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 xml:space="preserve">zastoupená: Ing. Petrem </w:t>
      </w:r>
      <w:proofErr w:type="spellStart"/>
      <w:r w:rsidRPr="009F3DEC">
        <w:rPr>
          <w:rFonts w:ascii="NettoPro" w:hAnsi="NettoPro" w:cs="NettoPro"/>
        </w:rPr>
        <w:t>Herianem</w:t>
      </w:r>
      <w:proofErr w:type="spellEnd"/>
      <w:r w:rsidRPr="009F3DEC">
        <w:rPr>
          <w:rFonts w:ascii="NettoPro" w:hAnsi="NettoPro" w:cs="NettoPro"/>
        </w:rPr>
        <w:t>, předsedou představenstva</w:t>
      </w:r>
    </w:p>
    <w:p w14:paraId="3438A15B" w14:textId="77777777" w:rsidR="00693A03" w:rsidRPr="009F3DEC" w:rsidRDefault="00693A03" w:rsidP="00693A03">
      <w:pPr>
        <w:spacing w:line="276" w:lineRule="auto"/>
        <w:ind w:firstLine="709"/>
        <w:rPr>
          <w:rFonts w:ascii="NettoPro" w:hAnsi="NettoPro" w:cs="NettoPro"/>
        </w:rPr>
      </w:pPr>
      <w:r w:rsidRPr="009F3DEC">
        <w:rPr>
          <w:rFonts w:ascii="NettoPro" w:hAnsi="NettoPro" w:cs="NettoPro"/>
        </w:rPr>
        <w:t>(dále jen „dodavatel“)</w:t>
      </w:r>
    </w:p>
    <w:p w14:paraId="7B92ED15" w14:textId="77777777" w:rsidR="00693A03" w:rsidRPr="00592A93" w:rsidRDefault="00693A03" w:rsidP="00693A03">
      <w:pPr>
        <w:spacing w:line="276" w:lineRule="auto"/>
        <w:ind w:firstLine="709"/>
        <w:rPr>
          <w:rFonts w:cs="Arial"/>
        </w:rPr>
      </w:pPr>
    </w:p>
    <w:p w14:paraId="4E9E3457" w14:textId="77777777" w:rsidR="00693A03" w:rsidRPr="00164A9C" w:rsidRDefault="00693A03" w:rsidP="00693A03">
      <w:pPr>
        <w:ind w:left="709"/>
        <w:rPr>
          <w:rFonts w:cs="Arial"/>
          <w:color w:val="595959"/>
        </w:rPr>
      </w:pPr>
    </w:p>
    <w:p w14:paraId="264AD53C" w14:textId="77777777" w:rsidR="00693A03" w:rsidRPr="009F3DEC" w:rsidRDefault="00693A03" w:rsidP="00693A03">
      <w:pPr>
        <w:jc w:val="center"/>
        <w:rPr>
          <w:rFonts w:ascii="NettoPro" w:hAnsi="NettoPro" w:cs="NettoPro"/>
          <w:color w:val="595959"/>
        </w:rPr>
      </w:pPr>
      <w:r w:rsidRPr="009F3DEC">
        <w:rPr>
          <w:rFonts w:ascii="NettoPro" w:hAnsi="NettoPro" w:cs="NettoPro"/>
          <w:color w:val="595959"/>
        </w:rPr>
        <w:t>- na straně jedné -</w:t>
      </w:r>
    </w:p>
    <w:p w14:paraId="1FE31A4B" w14:textId="77777777" w:rsidR="00693A03" w:rsidRPr="009F3DEC" w:rsidRDefault="00693A03" w:rsidP="00693A03">
      <w:pPr>
        <w:rPr>
          <w:rFonts w:ascii="NettoPro" w:hAnsi="NettoPro" w:cs="NettoPro"/>
          <w:color w:val="595959"/>
        </w:rPr>
      </w:pPr>
    </w:p>
    <w:p w14:paraId="66746B43" w14:textId="77777777" w:rsidR="00693A03" w:rsidRPr="009F3DEC" w:rsidRDefault="00693A03" w:rsidP="00693A03">
      <w:pPr>
        <w:jc w:val="center"/>
        <w:rPr>
          <w:rFonts w:ascii="NettoPro" w:hAnsi="NettoPro" w:cs="NettoPro"/>
          <w:color w:val="595959"/>
        </w:rPr>
      </w:pPr>
      <w:r w:rsidRPr="009F3DEC">
        <w:rPr>
          <w:rFonts w:ascii="NettoPro" w:hAnsi="NettoPro" w:cs="NettoPro"/>
          <w:color w:val="595959"/>
        </w:rPr>
        <w:t>a</w:t>
      </w:r>
    </w:p>
    <w:p w14:paraId="1B43D623" w14:textId="77777777" w:rsidR="00693A03" w:rsidRPr="009F3DEC" w:rsidRDefault="00693A03" w:rsidP="00693A03">
      <w:pPr>
        <w:jc w:val="center"/>
        <w:rPr>
          <w:rFonts w:ascii="NettoPro" w:hAnsi="NettoPro" w:cs="NettoPro"/>
          <w:color w:val="595959"/>
        </w:rPr>
      </w:pPr>
    </w:p>
    <w:p w14:paraId="75469EB3" w14:textId="77777777" w:rsidR="00576403" w:rsidRPr="00576403" w:rsidRDefault="00576403" w:rsidP="00576403">
      <w:pPr>
        <w:pStyle w:val="podtitul"/>
        <w:spacing w:before="0" w:after="0" w:line="240" w:lineRule="auto"/>
        <w:rPr>
          <w:rFonts w:ascii="NettoPro-Bold" w:hAnsi="NettoPro-Bold" w:cs="NettoPro-Bold"/>
          <w:b w:val="0"/>
        </w:rPr>
      </w:pPr>
      <w:r w:rsidRPr="00576403">
        <w:rPr>
          <w:rFonts w:ascii="NettoPro-Bold" w:hAnsi="NettoPro-Bold" w:cs="NettoPro-Bold"/>
          <w:b w:val="0"/>
        </w:rPr>
        <w:t>Dětská psychiatrická nemocnice Opařany</w:t>
      </w:r>
    </w:p>
    <w:p w14:paraId="314327C6" w14:textId="77777777" w:rsidR="00576403" w:rsidRDefault="00576403" w:rsidP="00576403">
      <w:pPr>
        <w:autoSpaceDE/>
        <w:autoSpaceDN/>
        <w:adjustRightInd/>
        <w:spacing w:before="120" w:line="240" w:lineRule="auto"/>
        <w:rPr>
          <w:b/>
        </w:rPr>
      </w:pPr>
    </w:p>
    <w:p w14:paraId="78599C63" w14:textId="77777777" w:rsidR="00576403" w:rsidRPr="002E21EE" w:rsidRDefault="00576403" w:rsidP="00576403">
      <w:pPr>
        <w:ind w:firstLine="709"/>
        <w:rPr>
          <w:rFonts w:ascii="NettoPro" w:hAnsi="NettoPro" w:cs="NettoPro"/>
        </w:rPr>
      </w:pPr>
      <w:r w:rsidRPr="002E21EE">
        <w:rPr>
          <w:rFonts w:ascii="NettoPro" w:hAnsi="NettoPro" w:cs="NettoPro"/>
        </w:rPr>
        <w:t xml:space="preserve">se sídlem </w:t>
      </w:r>
      <w:r w:rsidRPr="00E9243F">
        <w:rPr>
          <w:rFonts w:ascii="NettoPro" w:hAnsi="NettoPro" w:cs="NettoPro"/>
        </w:rPr>
        <w:t>Opařany 121, 391 61</w:t>
      </w:r>
    </w:p>
    <w:p w14:paraId="20D16A6B" w14:textId="77777777" w:rsidR="00576403" w:rsidRPr="002E21EE" w:rsidRDefault="00576403" w:rsidP="00576403">
      <w:pPr>
        <w:ind w:firstLine="709"/>
        <w:rPr>
          <w:rFonts w:ascii="NettoPro" w:hAnsi="NettoPro" w:cs="NettoPro"/>
        </w:rPr>
      </w:pPr>
      <w:r w:rsidRPr="002E21EE">
        <w:rPr>
          <w:rFonts w:ascii="NettoPro" w:hAnsi="NettoPro" w:cs="NettoPro"/>
        </w:rPr>
        <w:t xml:space="preserve">IČ: </w:t>
      </w:r>
      <w:r w:rsidRPr="00E9243F">
        <w:rPr>
          <w:rFonts w:ascii="NettoPro" w:hAnsi="NettoPro" w:cs="NettoPro"/>
        </w:rPr>
        <w:t>00667421</w:t>
      </w:r>
      <w:r w:rsidRPr="002E21EE">
        <w:rPr>
          <w:rFonts w:ascii="NettoPro" w:hAnsi="NettoPro" w:cs="NettoPro"/>
        </w:rPr>
        <w:t>, DIČ: CZ</w:t>
      </w:r>
      <w:r w:rsidRPr="00E9243F">
        <w:rPr>
          <w:rFonts w:ascii="NettoPro" w:hAnsi="NettoPro" w:cs="NettoPro"/>
        </w:rPr>
        <w:t>00667421</w:t>
      </w:r>
    </w:p>
    <w:p w14:paraId="1CEC4671" w14:textId="41F96DCC" w:rsidR="00576403" w:rsidRPr="002E21EE" w:rsidRDefault="00576403" w:rsidP="00576403">
      <w:pPr>
        <w:ind w:firstLine="709"/>
        <w:rPr>
          <w:rFonts w:ascii="NettoPro" w:hAnsi="NettoPro" w:cs="NettoPro"/>
        </w:rPr>
      </w:pPr>
      <w:r w:rsidRPr="002E21EE">
        <w:rPr>
          <w:rFonts w:ascii="NettoPro" w:hAnsi="NettoPro" w:cs="NettoPro"/>
        </w:rPr>
        <w:t xml:space="preserve">bankovní spojení: </w:t>
      </w:r>
      <w:r w:rsidR="001D3959">
        <w:rPr>
          <w:rFonts w:ascii="NettoPro" w:hAnsi="NettoPro" w:cs="NettoPro"/>
        </w:rPr>
        <w:t>Česká národní banka</w:t>
      </w:r>
      <w:r w:rsidRPr="002E21EE">
        <w:rPr>
          <w:rFonts w:ascii="NettoPro" w:hAnsi="NettoPro" w:cs="NettoPro"/>
        </w:rPr>
        <w:t xml:space="preserve">, č. účtu: </w:t>
      </w:r>
      <w:r w:rsidR="001D3959">
        <w:rPr>
          <w:rFonts w:ascii="NettoPro" w:hAnsi="NettoPro" w:cs="NettoPro"/>
        </w:rPr>
        <w:t>3137301/0710</w:t>
      </w:r>
    </w:p>
    <w:p w14:paraId="2F57200A" w14:textId="2F4139D5" w:rsidR="00576403" w:rsidRPr="002E21EE" w:rsidRDefault="00576403" w:rsidP="00576403">
      <w:pPr>
        <w:ind w:firstLine="709"/>
        <w:rPr>
          <w:rFonts w:ascii="NettoPro" w:hAnsi="NettoPro" w:cs="NettoPro"/>
        </w:rPr>
      </w:pPr>
      <w:r w:rsidRPr="002E21EE">
        <w:rPr>
          <w:rFonts w:ascii="NettoPro" w:hAnsi="NettoPro" w:cs="NettoPro"/>
        </w:rPr>
        <w:t xml:space="preserve">fakturační e-mailová adresa: </w:t>
      </w:r>
      <w:hyperlink r:id="rId11" w:history="1">
        <w:r w:rsidR="001D3959" w:rsidRPr="009E35DB">
          <w:rPr>
            <w:rStyle w:val="Hypertextovodkaz"/>
            <w:rFonts w:ascii="NettoPro" w:hAnsi="NettoPro" w:cs="NettoPro"/>
          </w:rPr>
          <w:t>jana.vonavkova@dpnoparany.cz</w:t>
        </w:r>
      </w:hyperlink>
      <w:r w:rsidR="001D3959">
        <w:rPr>
          <w:rFonts w:ascii="NettoPro" w:hAnsi="NettoPro" w:cs="NettoPro"/>
        </w:rPr>
        <w:t xml:space="preserve">; </w:t>
      </w:r>
      <w:r w:rsidR="001D3959" w:rsidRPr="001D3959">
        <w:rPr>
          <w:rStyle w:val="Hypertextovodkaz"/>
        </w:rPr>
        <w:t>jitka.kopcova@dpnoparany.cz</w:t>
      </w:r>
    </w:p>
    <w:p w14:paraId="3C74E1F2" w14:textId="43DBC008" w:rsidR="00576403" w:rsidRPr="002E21EE" w:rsidRDefault="00576403" w:rsidP="00576403">
      <w:pPr>
        <w:ind w:firstLine="709"/>
        <w:rPr>
          <w:rFonts w:ascii="NettoPro" w:hAnsi="NettoPro" w:cs="NettoPro"/>
        </w:rPr>
      </w:pPr>
      <w:r w:rsidRPr="002E21EE">
        <w:rPr>
          <w:rFonts w:ascii="NettoPro" w:hAnsi="NettoPro" w:cs="NettoPro"/>
        </w:rPr>
        <w:t xml:space="preserve">zastoupená: </w:t>
      </w:r>
      <w:r w:rsidR="00A4119A">
        <w:t xml:space="preserve">doc. MUDr. Michal </w:t>
      </w:r>
      <w:proofErr w:type="spellStart"/>
      <w:r w:rsidR="00A4119A">
        <w:t>Goetz</w:t>
      </w:r>
      <w:proofErr w:type="spellEnd"/>
      <w:r w:rsidR="00A4119A">
        <w:t xml:space="preserve"> Ph.D.</w:t>
      </w:r>
      <w:r w:rsidRPr="0033471D">
        <w:rPr>
          <w:rFonts w:ascii="NettoPro" w:hAnsi="NettoPro" w:cs="NettoPro"/>
        </w:rPr>
        <w:t>, ředitel nemocnice</w:t>
      </w:r>
    </w:p>
    <w:p w14:paraId="3117569F" w14:textId="26F21F4B" w:rsidR="00693A03" w:rsidRDefault="00576403" w:rsidP="00576403">
      <w:pPr>
        <w:ind w:firstLine="709"/>
        <w:rPr>
          <w:rFonts w:ascii="NettoPro" w:hAnsi="NettoPro" w:cs="NettoPro"/>
        </w:rPr>
      </w:pPr>
      <w:r w:rsidRPr="002E21EE">
        <w:rPr>
          <w:rFonts w:ascii="NettoPro" w:hAnsi="NettoPro" w:cs="NettoPro"/>
        </w:rPr>
        <w:t>(dále jen „odběratel</w:t>
      </w:r>
      <w:r>
        <w:rPr>
          <w:rFonts w:ascii="NettoPro" w:hAnsi="NettoPro" w:cs="NettoPro"/>
        </w:rPr>
        <w:t>)</w:t>
      </w:r>
    </w:p>
    <w:p w14:paraId="31A754C4" w14:textId="7B6BB8D8" w:rsidR="00576403" w:rsidRDefault="00576403" w:rsidP="00576403">
      <w:pPr>
        <w:ind w:firstLine="709"/>
        <w:rPr>
          <w:rFonts w:ascii="NettoPro" w:hAnsi="NettoPro" w:cs="NettoPro"/>
        </w:rPr>
      </w:pPr>
    </w:p>
    <w:p w14:paraId="6E9F27E8" w14:textId="77777777" w:rsidR="00576403" w:rsidRPr="009F3DEC" w:rsidRDefault="00576403" w:rsidP="00576403">
      <w:pPr>
        <w:ind w:firstLine="709"/>
        <w:rPr>
          <w:rFonts w:ascii="NettoPro" w:hAnsi="NettoPro" w:cs="NettoPro"/>
        </w:rPr>
      </w:pPr>
    </w:p>
    <w:p w14:paraId="6762D0A0" w14:textId="77777777" w:rsidR="00693A03" w:rsidRPr="009F3DEC" w:rsidRDefault="00693A03" w:rsidP="00693A03">
      <w:pPr>
        <w:jc w:val="center"/>
        <w:rPr>
          <w:rFonts w:ascii="NettoPro" w:hAnsi="NettoPro" w:cs="NettoPro"/>
          <w:color w:val="595959"/>
        </w:rPr>
      </w:pPr>
      <w:r w:rsidRPr="009F3DEC">
        <w:rPr>
          <w:rFonts w:ascii="NettoPro" w:hAnsi="NettoPro" w:cs="NettoPro"/>
          <w:color w:val="595959"/>
        </w:rPr>
        <w:t>- na straně druhé -</w:t>
      </w:r>
    </w:p>
    <w:p w14:paraId="54EA732C" w14:textId="77777777" w:rsidR="00693A03" w:rsidRDefault="00693A03" w:rsidP="00693A03">
      <w:pPr>
        <w:pStyle w:val="Seznam"/>
        <w:ind w:left="0" w:firstLine="0"/>
        <w:rPr>
          <w:rFonts w:ascii="Trebuchet MS" w:hAnsi="Trebuchet MS"/>
          <w:sz w:val="22"/>
        </w:rPr>
      </w:pPr>
      <w:r>
        <w:rPr>
          <w:rFonts w:ascii="Trebuchet MS" w:hAnsi="Trebuchet MS" w:cs="Arial"/>
          <w:bCs/>
          <w:caps/>
          <w:sz w:val="22"/>
        </w:rPr>
        <w:br w:type="page"/>
      </w:r>
    </w:p>
    <w:p w14:paraId="41515226" w14:textId="77777777" w:rsidR="00693A03" w:rsidRPr="009F3DEC" w:rsidRDefault="00693A03" w:rsidP="00693A03">
      <w:pPr>
        <w:spacing w:line="276" w:lineRule="auto"/>
        <w:jc w:val="center"/>
        <w:rPr>
          <w:rFonts w:ascii="NettoPro-Bold" w:hAnsi="NettoPro-Bold" w:cs="NettoPro-Bold"/>
          <w:sz w:val="22"/>
        </w:rPr>
      </w:pPr>
      <w:r w:rsidRPr="009F3DEC">
        <w:rPr>
          <w:rFonts w:ascii="NettoPro-Bold" w:hAnsi="NettoPro-Bold" w:cs="NettoPro-Bold"/>
          <w:sz w:val="22"/>
        </w:rPr>
        <w:lastRenderedPageBreak/>
        <w:t>I.</w:t>
      </w:r>
    </w:p>
    <w:p w14:paraId="67C95C9C" w14:textId="77777777" w:rsidR="00693A03" w:rsidRPr="009F3DEC" w:rsidRDefault="00693A03" w:rsidP="00693A03">
      <w:pPr>
        <w:spacing w:line="276" w:lineRule="auto"/>
        <w:jc w:val="center"/>
        <w:rPr>
          <w:rFonts w:ascii="NettoPro-Bold" w:hAnsi="NettoPro-Bold" w:cs="NettoPro-Bold"/>
          <w:sz w:val="22"/>
        </w:rPr>
      </w:pPr>
      <w:r w:rsidRPr="009F3DEC">
        <w:rPr>
          <w:rFonts w:ascii="NettoPro-Bold" w:hAnsi="NettoPro-Bold" w:cs="NettoPro-Bold"/>
          <w:sz w:val="22"/>
        </w:rPr>
        <w:t>PŘEDMĚT DODATKU</w:t>
      </w:r>
    </w:p>
    <w:p w14:paraId="32F2C096" w14:textId="77777777" w:rsidR="00693A03" w:rsidRPr="002314F1" w:rsidRDefault="00693A03" w:rsidP="002314F1">
      <w:pPr>
        <w:rPr>
          <w:rFonts w:ascii="Trebuchet MS" w:hAnsi="Trebuchet MS"/>
          <w:sz w:val="24"/>
          <w:szCs w:val="24"/>
        </w:rPr>
      </w:pPr>
    </w:p>
    <w:p w14:paraId="66E94C10" w14:textId="0F5CF40C" w:rsidR="002314F1" w:rsidRDefault="00693A03" w:rsidP="002314F1">
      <w:pPr>
        <w:jc w:val="both"/>
        <w:rPr>
          <w:rFonts w:ascii="NettoPro" w:hAnsi="NettoPro" w:cs="NettoPro"/>
          <w:sz w:val="22"/>
        </w:rPr>
      </w:pPr>
      <w:r w:rsidRPr="002314F1">
        <w:rPr>
          <w:rFonts w:ascii="NettoPro" w:hAnsi="NettoPro" w:cs="NettoPro"/>
          <w:sz w:val="22"/>
        </w:rPr>
        <w:t xml:space="preserve">Na základě dohody smluvních stran se tímto Dodatkem č. </w:t>
      </w:r>
      <w:r w:rsidR="009B3BE0" w:rsidRPr="002314F1">
        <w:rPr>
          <w:rFonts w:ascii="NettoPro" w:hAnsi="NettoPro" w:cs="NettoPro"/>
          <w:sz w:val="22"/>
        </w:rPr>
        <w:t>4</w:t>
      </w:r>
      <w:r w:rsidRPr="002314F1">
        <w:rPr>
          <w:rFonts w:ascii="NettoPro" w:hAnsi="NettoPro" w:cs="NettoPro"/>
          <w:sz w:val="22"/>
        </w:rPr>
        <w:t xml:space="preserve"> ke stávající Smlouvě o poskytování a využívání informací ze dne </w:t>
      </w:r>
      <w:r w:rsidR="001D3959" w:rsidRPr="002314F1">
        <w:rPr>
          <w:rFonts w:ascii="NettoPro" w:hAnsi="NettoPro" w:cs="NettoPro"/>
          <w:sz w:val="22"/>
        </w:rPr>
        <w:t>28.6.2021</w:t>
      </w:r>
      <w:r w:rsidRPr="002314F1">
        <w:rPr>
          <w:rFonts w:ascii="NettoPro" w:hAnsi="NettoPro" w:cs="NettoPro"/>
          <w:sz w:val="22"/>
        </w:rPr>
        <w:t xml:space="preserve"> se upravuje</w:t>
      </w:r>
      <w:r w:rsidR="002314F1" w:rsidRPr="002314F1">
        <w:rPr>
          <w:rFonts w:ascii="NettoPro" w:hAnsi="NettoPro" w:cs="NettoPro"/>
          <w:sz w:val="22"/>
        </w:rPr>
        <w:t>:</w:t>
      </w:r>
    </w:p>
    <w:p w14:paraId="7C0B2E66" w14:textId="77777777" w:rsidR="002314F1" w:rsidRPr="003E2A43" w:rsidRDefault="002314F1" w:rsidP="002314F1">
      <w:pPr>
        <w:jc w:val="both"/>
        <w:rPr>
          <w:rFonts w:ascii="NettoPro" w:hAnsi="NettoPro" w:cs="NettoPro"/>
          <w:b/>
          <w:bCs/>
          <w:sz w:val="22"/>
        </w:rPr>
      </w:pPr>
    </w:p>
    <w:p w14:paraId="7DBF7CC3" w14:textId="274FE9F2" w:rsidR="001D3959" w:rsidRPr="003E2A43" w:rsidRDefault="006A0681" w:rsidP="002314F1">
      <w:pPr>
        <w:pStyle w:val="Odstavecseseznamem"/>
        <w:numPr>
          <w:ilvl w:val="0"/>
          <w:numId w:val="21"/>
        </w:numPr>
        <w:jc w:val="both"/>
        <w:rPr>
          <w:rFonts w:ascii="NettoPro" w:hAnsi="NettoPro" w:cs="NettoPro"/>
          <w:b/>
          <w:bCs/>
          <w:sz w:val="22"/>
        </w:rPr>
      </w:pPr>
      <w:r w:rsidRPr="003E2A43">
        <w:rPr>
          <w:rFonts w:ascii="NettoPro" w:hAnsi="NettoPro" w:cs="NettoPro"/>
          <w:b/>
          <w:bCs/>
          <w:sz w:val="22"/>
        </w:rPr>
        <w:t xml:space="preserve"> bod </w:t>
      </w:r>
      <w:r w:rsidR="002314F1" w:rsidRPr="003E2A43">
        <w:rPr>
          <w:rFonts w:ascii="NettoPro" w:hAnsi="NettoPro" w:cs="NettoPro"/>
          <w:b/>
          <w:bCs/>
          <w:sz w:val="22"/>
        </w:rPr>
        <w:t>2.1 smlouvy, a to následovně:</w:t>
      </w:r>
    </w:p>
    <w:p w14:paraId="40553971" w14:textId="7773252F" w:rsidR="002314F1" w:rsidRPr="002314F1" w:rsidRDefault="002314F1" w:rsidP="002314F1">
      <w:pPr>
        <w:pStyle w:val="Podnadpis1"/>
        <w:numPr>
          <w:ilvl w:val="1"/>
          <w:numId w:val="17"/>
        </w:numPr>
        <w:spacing w:before="120" w:line="288" w:lineRule="auto"/>
        <w:rPr>
          <w:rFonts w:ascii="NettoPro" w:hAnsi="NettoPro" w:cs="NettoPro"/>
          <w:b w:val="0"/>
          <w:bCs w:val="0"/>
          <w:sz w:val="22"/>
          <w:szCs w:val="20"/>
        </w:rPr>
      </w:pPr>
      <w:r w:rsidRPr="002314F1">
        <w:rPr>
          <w:rFonts w:ascii="NettoPro" w:hAnsi="NettoPro" w:cs="NettoPro"/>
          <w:b w:val="0"/>
          <w:bCs w:val="0"/>
          <w:sz w:val="22"/>
          <w:szCs w:val="20"/>
        </w:rPr>
        <w:t>Za plnění dle této smlouvy přísluší dodavateli následující odměna:</w:t>
      </w: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5044"/>
        <w:gridCol w:w="3089"/>
        <w:gridCol w:w="1971"/>
      </w:tblGrid>
      <w:tr w:rsidR="002314F1" w:rsidRPr="00781FB9" w14:paraId="5263B6F7" w14:textId="77777777" w:rsidTr="004F5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3" w:type="dxa"/>
            <w:gridSpan w:val="2"/>
            <w:tcBorders>
              <w:top w:val="nil"/>
              <w:left w:val="nil"/>
              <w:bottom w:val="single" w:sz="12" w:space="0" w:color="00A3E2"/>
              <w:right w:val="single" w:sz="12" w:space="0" w:color="00A3E2"/>
            </w:tcBorders>
            <w:shd w:val="clear" w:color="auto" w:fill="auto"/>
          </w:tcPr>
          <w:p w14:paraId="53860E6F" w14:textId="77777777" w:rsidR="002314F1" w:rsidRPr="00781FB9" w:rsidRDefault="002314F1" w:rsidP="004F51C2">
            <w:pPr>
              <w:rPr>
                <w:rFonts w:ascii="NettoPro-Bold" w:hAnsi="NettoPro-Bold" w:cs="NettoPro-Bold"/>
                <w:b w:val="0"/>
                <w:color w:val="555555"/>
                <w:szCs w:val="20"/>
                <w:shd w:val="clear" w:color="auto" w:fill="FFFFFF"/>
              </w:rPr>
            </w:pPr>
            <w:bookmarkStart w:id="0" w:name="_Hlk2600556"/>
            <w:r w:rsidRPr="00781FB9">
              <w:rPr>
                <w:rFonts w:ascii="NettoPro-Bold" w:hAnsi="NettoPro-Bold" w:cs="NettoPro-Bold"/>
                <w:b w:val="0"/>
                <w:color w:val="555555"/>
                <w:szCs w:val="20"/>
                <w:shd w:val="clear" w:color="auto" w:fill="FFFFFF"/>
              </w:rPr>
              <w:t>Produkt/služba</w:t>
            </w:r>
          </w:p>
        </w:tc>
        <w:tc>
          <w:tcPr>
            <w:tcW w:w="1971" w:type="dxa"/>
            <w:tcBorders>
              <w:top w:val="single" w:sz="12" w:space="0" w:color="FFFFFF" w:themeColor="background1"/>
              <w:left w:val="single" w:sz="12" w:space="0" w:color="00A3E2"/>
              <w:bottom w:val="single" w:sz="12" w:space="0" w:color="00A3E2"/>
              <w:right w:val="single" w:sz="12" w:space="0" w:color="00A3E2"/>
            </w:tcBorders>
          </w:tcPr>
          <w:p w14:paraId="58E488DF" w14:textId="77777777" w:rsidR="002314F1" w:rsidRPr="00781FB9" w:rsidRDefault="002314F1" w:rsidP="004F51C2">
            <w:pPr>
              <w:cnfStyle w:val="100000000000" w:firstRow="1" w:lastRow="0" w:firstColumn="0" w:lastColumn="0" w:oddVBand="0" w:evenVBand="0" w:oddHBand="0" w:evenHBand="0" w:firstRowFirstColumn="0" w:firstRowLastColumn="0" w:lastRowFirstColumn="0" w:lastRowLastColumn="0"/>
              <w:rPr>
                <w:rFonts w:ascii="NettoPro-Bold" w:hAnsi="NettoPro-Bold" w:cs="NettoPro-Bold"/>
                <w:b w:val="0"/>
                <w:color w:val="555555"/>
                <w:szCs w:val="20"/>
                <w:shd w:val="clear" w:color="auto" w:fill="FFFFFF"/>
              </w:rPr>
            </w:pPr>
            <w:r w:rsidRPr="00781FB9">
              <w:rPr>
                <w:rFonts w:ascii="NettoPro-Bold" w:hAnsi="NettoPro-Bold" w:cs="NettoPro-Bold"/>
                <w:b w:val="0"/>
                <w:color w:val="555555"/>
                <w:szCs w:val="20"/>
                <w:shd w:val="clear" w:color="auto" w:fill="FFFFFF"/>
              </w:rPr>
              <w:t>Cena bez DPH/měsíc</w:t>
            </w:r>
          </w:p>
        </w:tc>
      </w:tr>
      <w:tr w:rsidR="002314F1" w:rsidRPr="0035557A" w14:paraId="4E0AE1DA" w14:textId="77777777" w:rsidTr="003E2A4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44" w:type="dxa"/>
            <w:vMerge w:val="restart"/>
            <w:tcBorders>
              <w:top w:val="single" w:sz="12" w:space="0" w:color="00A3E2"/>
              <w:left w:val="nil"/>
              <w:right w:val="single" w:sz="12" w:space="0" w:color="00A3E2"/>
            </w:tcBorders>
            <w:shd w:val="clear" w:color="auto" w:fill="FFFFFF" w:themeFill="background1"/>
          </w:tcPr>
          <w:p w14:paraId="566F0768" w14:textId="77777777" w:rsidR="002314F1" w:rsidRPr="00C81585" w:rsidRDefault="002314F1" w:rsidP="004F51C2">
            <w:pPr>
              <w:rPr>
                <w:rFonts w:ascii="NettoPro-Bold" w:hAnsi="NettoPro-Bold" w:cs="NettoPro-Bold"/>
                <w:b w:val="0"/>
                <w:bCs w:val="0"/>
              </w:rPr>
            </w:pPr>
            <w:proofErr w:type="spellStart"/>
            <w:r w:rsidRPr="00C81585">
              <w:rPr>
                <w:rFonts w:ascii="NettoPro-Bold" w:hAnsi="NettoPro-Bold" w:cs="NettoPro-Bold"/>
                <w:b w:val="0"/>
              </w:rPr>
              <w:t>NewtonOne</w:t>
            </w:r>
            <w:proofErr w:type="spellEnd"/>
          </w:p>
          <w:p w14:paraId="7C7C0D46" w14:textId="77777777" w:rsidR="002314F1" w:rsidRPr="00C81585" w:rsidRDefault="002314F1" w:rsidP="004F51C2">
            <w:pPr>
              <w:rPr>
                <w:rFonts w:ascii="NettoPro-Bold" w:hAnsi="NettoPro-Bold" w:cs="NettoPro-Bold"/>
                <w:b w:val="0"/>
                <w:bCs w:val="0"/>
              </w:rPr>
            </w:pPr>
          </w:p>
        </w:tc>
        <w:tc>
          <w:tcPr>
            <w:tcW w:w="3089" w:type="dxa"/>
            <w:tcBorders>
              <w:top w:val="single" w:sz="12" w:space="0" w:color="00A3E2"/>
              <w:left w:val="single" w:sz="12" w:space="0" w:color="00A3E2"/>
              <w:bottom w:val="single" w:sz="12" w:space="0" w:color="00A3E2"/>
              <w:right w:val="single" w:sz="12" w:space="0" w:color="00A3E2"/>
            </w:tcBorders>
            <w:shd w:val="clear" w:color="auto" w:fill="FFFFFF" w:themeFill="background1"/>
            <w:vAlign w:val="center"/>
          </w:tcPr>
          <w:p w14:paraId="3E16373B" w14:textId="77777777" w:rsidR="002314F1" w:rsidRDefault="00000000" w:rsidP="004F51C2">
            <w:pPr>
              <w:cnfStyle w:val="000000100000" w:firstRow="0" w:lastRow="0" w:firstColumn="0" w:lastColumn="0" w:oddVBand="0" w:evenVBand="0" w:oddHBand="1" w:evenHBand="0" w:firstRowFirstColumn="0" w:firstRowLastColumn="0" w:lastRowFirstColumn="0" w:lastRowLastColumn="0"/>
              <w:rPr>
                <w:rFonts w:ascii="NettoPro" w:hAnsi="NettoPro" w:cs="NettoPro"/>
              </w:rPr>
            </w:pPr>
            <w:sdt>
              <w:sdtPr>
                <w:rPr>
                  <w:rFonts w:ascii="NettoPro-Bold" w:hAnsi="NettoPro-Bold" w:cs="NettoPro-Bold"/>
                </w:rPr>
                <w:id w:val="-702014227"/>
                <w14:checkbox>
                  <w14:checked w14:val="1"/>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Pr>
                <w:rFonts w:ascii="NettoPro-Bold" w:hAnsi="NettoPro-Bold" w:cs="NettoPro-Bold"/>
              </w:rPr>
              <w:t xml:space="preserve"> </w:t>
            </w:r>
            <w:r w:rsidR="002314F1">
              <w:rPr>
                <w:rFonts w:ascii="NettoPro" w:hAnsi="NettoPro" w:cs="NettoPro"/>
              </w:rPr>
              <w:t>Monitoring médií</w:t>
            </w:r>
          </w:p>
          <w:p w14:paraId="7551B590" w14:textId="77777777" w:rsidR="002314F1" w:rsidRDefault="00000000" w:rsidP="004F51C2">
            <w:pPr>
              <w:cnfStyle w:val="000000100000" w:firstRow="0" w:lastRow="0" w:firstColumn="0" w:lastColumn="0" w:oddVBand="0" w:evenVBand="0" w:oddHBand="1" w:evenHBand="0" w:firstRowFirstColumn="0" w:firstRowLastColumn="0" w:lastRowFirstColumn="0" w:lastRowLastColumn="0"/>
              <w:rPr>
                <w:rFonts w:ascii="NettoPro" w:hAnsi="NettoPro" w:cs="NettoPro"/>
              </w:rPr>
            </w:pPr>
            <w:sdt>
              <w:sdtPr>
                <w:rPr>
                  <w:rFonts w:ascii="NettoPro-Bold" w:hAnsi="NettoPro-Bold" w:cs="NettoPro-Bold"/>
                </w:rPr>
                <w:id w:val="-372157224"/>
                <w14:checkbox>
                  <w14:checked w14:val="0"/>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Pr>
                <w:rFonts w:ascii="NettoPro-Bold" w:hAnsi="NettoPro-Bold" w:cs="NettoPro-Bold"/>
              </w:rPr>
              <w:t xml:space="preserve"> </w:t>
            </w:r>
            <w:r w:rsidR="002314F1">
              <w:rPr>
                <w:rFonts w:ascii="NettoPro" w:hAnsi="NettoPro" w:cs="NettoPro"/>
              </w:rPr>
              <w:t>Agenturní zpravodajství ČTK</w:t>
            </w:r>
          </w:p>
        </w:tc>
        <w:tc>
          <w:tcPr>
            <w:tcW w:w="1971" w:type="dxa"/>
            <w:tcBorders>
              <w:top w:val="single" w:sz="12" w:space="0" w:color="00A3E2"/>
              <w:left w:val="single" w:sz="12" w:space="0" w:color="00A3E2"/>
              <w:bottom w:val="single" w:sz="12" w:space="0" w:color="00A3E2" w:themeColor="accent1"/>
              <w:right w:val="single" w:sz="12" w:space="0" w:color="00A3E2"/>
            </w:tcBorders>
            <w:shd w:val="clear" w:color="auto" w:fill="FFFFFF" w:themeFill="background1"/>
            <w:vAlign w:val="center"/>
          </w:tcPr>
          <w:p w14:paraId="5AAF3B10" w14:textId="02DE8A30" w:rsidR="002314F1" w:rsidRDefault="002314F1" w:rsidP="004F51C2">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rPr>
            </w:pPr>
            <w:r>
              <w:rPr>
                <w:rFonts w:ascii="NettoPro" w:hAnsi="NettoPro" w:cs="NettoPro"/>
              </w:rPr>
              <w:t>3 000 Kč</w:t>
            </w:r>
          </w:p>
          <w:p w14:paraId="0F79C86E" w14:textId="77777777" w:rsidR="002314F1" w:rsidRPr="0099122E" w:rsidRDefault="002314F1" w:rsidP="004F51C2">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rPr>
            </w:pPr>
            <w:r w:rsidRPr="00EC30E2">
              <w:rPr>
                <w:rFonts w:ascii="NettoPro" w:hAnsi="NettoPro" w:cs="NettoPro"/>
              </w:rPr>
              <w:fldChar w:fldCharType="begin">
                <w:ffData>
                  <w:name w:val=""/>
                  <w:enabled/>
                  <w:calcOnExit w:val="0"/>
                  <w:textInput>
                    <w:type w:val="date"/>
                    <w:format w:val="dd.MM.yy"/>
                  </w:textInput>
                </w:ffData>
              </w:fldChar>
            </w:r>
            <w:r w:rsidRPr="007743D0">
              <w:rPr>
                <w:rFonts w:ascii="NettoPro" w:hAnsi="NettoPro" w:cs="NettoPro"/>
              </w:rPr>
              <w:instrText xml:space="preserve"> FORMTEXT </w:instrText>
            </w:r>
            <w:r w:rsidRPr="00EC30E2">
              <w:rPr>
                <w:rFonts w:ascii="NettoPro" w:hAnsi="NettoPro" w:cs="NettoPro"/>
              </w:rPr>
            </w:r>
            <w:r w:rsidRPr="00EC30E2">
              <w:rPr>
                <w:rFonts w:ascii="NettoPro" w:hAnsi="NettoPro" w:cs="NettoPro"/>
              </w:rPr>
              <w:fldChar w:fldCharType="separate"/>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EC30E2">
              <w:rPr>
                <w:rFonts w:ascii="NettoPro" w:hAnsi="NettoPro" w:cs="NettoPro"/>
              </w:rPr>
              <w:fldChar w:fldCharType="end"/>
            </w:r>
            <w:r>
              <w:rPr>
                <w:rFonts w:ascii="NettoPro" w:hAnsi="NettoPro" w:cs="NettoPro"/>
              </w:rPr>
              <w:t xml:space="preserve"> Kč</w:t>
            </w:r>
          </w:p>
        </w:tc>
      </w:tr>
      <w:tr w:rsidR="002314F1" w:rsidRPr="0035557A" w14:paraId="7331316C" w14:textId="77777777" w:rsidTr="003E2A4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044" w:type="dxa"/>
            <w:vMerge/>
            <w:tcBorders>
              <w:left w:val="nil"/>
              <w:right w:val="single" w:sz="12" w:space="0" w:color="00A3E2"/>
            </w:tcBorders>
            <w:shd w:val="clear" w:color="auto" w:fill="FFFFFF" w:themeFill="background1"/>
          </w:tcPr>
          <w:p w14:paraId="12874363" w14:textId="77777777" w:rsidR="002314F1" w:rsidRPr="00C81585" w:rsidRDefault="002314F1" w:rsidP="004F51C2">
            <w:pPr>
              <w:rPr>
                <w:rFonts w:ascii="NettoPro-Bold" w:hAnsi="NettoPro-Bold" w:cs="NettoPro-Bold"/>
                <w:b w:val="0"/>
              </w:rPr>
            </w:pPr>
          </w:p>
        </w:tc>
        <w:tc>
          <w:tcPr>
            <w:tcW w:w="3089" w:type="dxa"/>
            <w:tcBorders>
              <w:top w:val="single" w:sz="12" w:space="0" w:color="00A3E2"/>
              <w:left w:val="single" w:sz="12" w:space="0" w:color="00A3E2"/>
              <w:bottom w:val="single" w:sz="12" w:space="0" w:color="00A3E2"/>
              <w:right w:val="single" w:sz="12" w:space="0" w:color="00A3E2"/>
            </w:tcBorders>
            <w:shd w:val="clear" w:color="auto" w:fill="FFFFFF" w:themeFill="background1"/>
            <w:vAlign w:val="center"/>
          </w:tcPr>
          <w:p w14:paraId="6A30E29C" w14:textId="77777777" w:rsidR="002314F1" w:rsidRDefault="00000000" w:rsidP="004F51C2">
            <w:pPr>
              <w:cnfStyle w:val="000000010000" w:firstRow="0" w:lastRow="0" w:firstColumn="0" w:lastColumn="0" w:oddVBand="0" w:evenVBand="0" w:oddHBand="0" w:evenHBand="1" w:firstRowFirstColumn="0" w:firstRowLastColumn="0" w:lastRowFirstColumn="0" w:lastRowLastColumn="0"/>
              <w:rPr>
                <w:rFonts w:ascii="NettoPro" w:hAnsi="NettoPro" w:cs="NettoPro"/>
              </w:rPr>
            </w:pPr>
            <w:sdt>
              <w:sdtPr>
                <w:rPr>
                  <w:rFonts w:ascii="NettoPro-Bold" w:hAnsi="NettoPro-Bold" w:cs="NettoPro-Bold"/>
                </w:rPr>
                <w:id w:val="-1409219470"/>
                <w14:checkbox>
                  <w14:checked w14:val="0"/>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Pr>
                <w:rFonts w:ascii="NettoPro" w:hAnsi="NettoPro" w:cs="NettoPro"/>
              </w:rPr>
              <w:t xml:space="preserve"> Archiv</w:t>
            </w:r>
          </w:p>
        </w:tc>
        <w:tc>
          <w:tcPr>
            <w:tcW w:w="1971" w:type="dxa"/>
            <w:tcBorders>
              <w:top w:val="single" w:sz="12" w:space="0" w:color="00A3E2" w:themeColor="accent1"/>
              <w:left w:val="single" w:sz="12" w:space="0" w:color="00A3E2"/>
              <w:bottom w:val="single" w:sz="12" w:space="0" w:color="00A3E2" w:themeColor="accent1"/>
              <w:right w:val="single" w:sz="12" w:space="0" w:color="00A3E2"/>
            </w:tcBorders>
            <w:shd w:val="clear" w:color="auto" w:fill="FFFFFF" w:themeFill="background1"/>
            <w:vAlign w:val="center"/>
          </w:tcPr>
          <w:p w14:paraId="70727CF8" w14:textId="77777777" w:rsidR="002314F1" w:rsidRPr="0099122E" w:rsidRDefault="002314F1" w:rsidP="004F51C2">
            <w:pPr>
              <w:jc w:val="center"/>
              <w:cnfStyle w:val="000000010000" w:firstRow="0" w:lastRow="0" w:firstColumn="0" w:lastColumn="0" w:oddVBand="0" w:evenVBand="0" w:oddHBand="0" w:evenHBand="1" w:firstRowFirstColumn="0" w:firstRowLastColumn="0" w:lastRowFirstColumn="0" w:lastRowLastColumn="0"/>
              <w:rPr>
                <w:rFonts w:ascii="NettoPro" w:hAnsi="NettoPro" w:cs="NettoPro"/>
              </w:rPr>
            </w:pPr>
            <w:r w:rsidRPr="00EC30E2">
              <w:rPr>
                <w:rFonts w:ascii="NettoPro" w:hAnsi="NettoPro" w:cs="NettoPro"/>
              </w:rPr>
              <w:fldChar w:fldCharType="begin">
                <w:ffData>
                  <w:name w:val=""/>
                  <w:enabled/>
                  <w:calcOnExit w:val="0"/>
                  <w:textInput>
                    <w:type w:val="date"/>
                    <w:format w:val="dd.MM.yy"/>
                  </w:textInput>
                </w:ffData>
              </w:fldChar>
            </w:r>
            <w:r w:rsidRPr="007743D0">
              <w:rPr>
                <w:rFonts w:ascii="NettoPro" w:hAnsi="NettoPro" w:cs="NettoPro"/>
              </w:rPr>
              <w:instrText xml:space="preserve"> FORMTEXT </w:instrText>
            </w:r>
            <w:r w:rsidRPr="00EC30E2">
              <w:rPr>
                <w:rFonts w:ascii="NettoPro" w:hAnsi="NettoPro" w:cs="NettoPro"/>
              </w:rPr>
            </w:r>
            <w:r w:rsidRPr="00EC30E2">
              <w:rPr>
                <w:rFonts w:ascii="NettoPro" w:hAnsi="NettoPro" w:cs="NettoPro"/>
              </w:rPr>
              <w:fldChar w:fldCharType="separate"/>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EC30E2">
              <w:rPr>
                <w:rFonts w:ascii="NettoPro" w:hAnsi="NettoPro" w:cs="NettoPro"/>
              </w:rPr>
              <w:fldChar w:fldCharType="end"/>
            </w:r>
            <w:r>
              <w:rPr>
                <w:rFonts w:ascii="NettoPro" w:hAnsi="NettoPro" w:cs="NettoPro"/>
              </w:rPr>
              <w:t xml:space="preserve"> Kč</w:t>
            </w:r>
          </w:p>
        </w:tc>
      </w:tr>
      <w:tr w:rsidR="002314F1" w:rsidRPr="0035557A" w14:paraId="4DE2920E" w14:textId="77777777" w:rsidTr="003E2A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44" w:type="dxa"/>
            <w:vMerge/>
            <w:tcBorders>
              <w:left w:val="nil"/>
              <w:right w:val="single" w:sz="12" w:space="0" w:color="00A3E2"/>
            </w:tcBorders>
            <w:shd w:val="clear" w:color="auto" w:fill="FFFFFF" w:themeFill="background1"/>
          </w:tcPr>
          <w:p w14:paraId="4141FBD6" w14:textId="77777777" w:rsidR="002314F1" w:rsidRPr="00C81585" w:rsidRDefault="002314F1" w:rsidP="004F51C2">
            <w:pPr>
              <w:rPr>
                <w:rFonts w:ascii="NettoPro-Bold" w:hAnsi="NettoPro-Bold" w:cs="NettoPro-Bold"/>
                <w:b w:val="0"/>
              </w:rPr>
            </w:pPr>
          </w:p>
        </w:tc>
        <w:tc>
          <w:tcPr>
            <w:tcW w:w="3089" w:type="dxa"/>
            <w:tcBorders>
              <w:top w:val="single" w:sz="12" w:space="0" w:color="00A3E2"/>
              <w:left w:val="single" w:sz="12" w:space="0" w:color="00A3E2"/>
              <w:bottom w:val="single" w:sz="12" w:space="0" w:color="00A3E2"/>
              <w:right w:val="single" w:sz="12" w:space="0" w:color="00A3E2"/>
            </w:tcBorders>
            <w:shd w:val="clear" w:color="auto" w:fill="FFFFFF" w:themeFill="background1"/>
            <w:vAlign w:val="center"/>
          </w:tcPr>
          <w:p w14:paraId="1B672779" w14:textId="77777777" w:rsidR="002314F1" w:rsidRDefault="00000000" w:rsidP="004F51C2">
            <w:pPr>
              <w:cnfStyle w:val="000000100000" w:firstRow="0" w:lastRow="0" w:firstColumn="0" w:lastColumn="0" w:oddVBand="0" w:evenVBand="0" w:oddHBand="1" w:evenHBand="0" w:firstRowFirstColumn="0" w:firstRowLastColumn="0" w:lastRowFirstColumn="0" w:lastRowLastColumn="0"/>
              <w:rPr>
                <w:rFonts w:ascii="NettoPro" w:hAnsi="NettoPro" w:cs="NettoPro"/>
              </w:rPr>
            </w:pPr>
            <w:sdt>
              <w:sdtPr>
                <w:rPr>
                  <w:rFonts w:ascii="NettoPro-Bold" w:hAnsi="NettoPro-Bold" w:cs="NettoPro-Bold"/>
                </w:rPr>
                <w:id w:val="-939072172"/>
                <w14:checkbox>
                  <w14:checked w14:val="0"/>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Pr>
                <w:rFonts w:ascii="NettoPro-Bold" w:hAnsi="NettoPro-Bold" w:cs="NettoPro-Bold"/>
              </w:rPr>
              <w:t xml:space="preserve"> </w:t>
            </w:r>
            <w:r w:rsidR="002314F1">
              <w:rPr>
                <w:rFonts w:ascii="NettoPro" w:hAnsi="NettoPro" w:cs="NettoPro"/>
              </w:rPr>
              <w:t xml:space="preserve">TVR </w:t>
            </w:r>
            <w:proofErr w:type="spellStart"/>
            <w:r w:rsidR="002314F1">
              <w:rPr>
                <w:rFonts w:ascii="NettoPro" w:hAnsi="NettoPro" w:cs="NettoPro"/>
              </w:rPr>
              <w:t>Alerts</w:t>
            </w:r>
            <w:proofErr w:type="spellEnd"/>
          </w:p>
        </w:tc>
        <w:tc>
          <w:tcPr>
            <w:tcW w:w="1971" w:type="dxa"/>
            <w:tcBorders>
              <w:top w:val="single" w:sz="12" w:space="0" w:color="00A3E2" w:themeColor="accent1"/>
              <w:left w:val="single" w:sz="12" w:space="0" w:color="00A3E2"/>
              <w:bottom w:val="single" w:sz="12" w:space="0" w:color="00A3E2"/>
              <w:right w:val="single" w:sz="12" w:space="0" w:color="00A3E2"/>
            </w:tcBorders>
            <w:shd w:val="clear" w:color="auto" w:fill="FFFFFF" w:themeFill="background1"/>
            <w:vAlign w:val="center"/>
          </w:tcPr>
          <w:p w14:paraId="5F62018E" w14:textId="77777777" w:rsidR="002314F1" w:rsidRPr="0099122E" w:rsidRDefault="002314F1" w:rsidP="004F51C2">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rPr>
            </w:pPr>
            <w:r w:rsidRPr="00EC30E2">
              <w:rPr>
                <w:rFonts w:ascii="NettoPro" w:hAnsi="NettoPro" w:cs="NettoPro"/>
              </w:rPr>
              <w:fldChar w:fldCharType="begin">
                <w:ffData>
                  <w:name w:val=""/>
                  <w:enabled/>
                  <w:calcOnExit w:val="0"/>
                  <w:textInput>
                    <w:type w:val="date"/>
                    <w:format w:val="dd.MM.yy"/>
                  </w:textInput>
                </w:ffData>
              </w:fldChar>
            </w:r>
            <w:r w:rsidRPr="007743D0">
              <w:rPr>
                <w:rFonts w:ascii="NettoPro" w:hAnsi="NettoPro" w:cs="NettoPro"/>
              </w:rPr>
              <w:instrText xml:space="preserve"> FORMTEXT </w:instrText>
            </w:r>
            <w:r w:rsidRPr="00EC30E2">
              <w:rPr>
                <w:rFonts w:ascii="NettoPro" w:hAnsi="NettoPro" w:cs="NettoPro"/>
              </w:rPr>
            </w:r>
            <w:r w:rsidRPr="00EC30E2">
              <w:rPr>
                <w:rFonts w:ascii="NettoPro" w:hAnsi="NettoPro" w:cs="NettoPro"/>
              </w:rPr>
              <w:fldChar w:fldCharType="separate"/>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EC30E2">
              <w:rPr>
                <w:rFonts w:ascii="NettoPro" w:hAnsi="NettoPro" w:cs="NettoPro"/>
              </w:rPr>
              <w:fldChar w:fldCharType="end"/>
            </w:r>
            <w:r>
              <w:rPr>
                <w:rFonts w:ascii="NettoPro" w:hAnsi="NettoPro" w:cs="NettoPro"/>
              </w:rPr>
              <w:t xml:space="preserve"> Kč</w:t>
            </w:r>
          </w:p>
        </w:tc>
      </w:tr>
      <w:tr w:rsidR="002314F1" w:rsidRPr="0035557A" w14:paraId="5BD7CB5D" w14:textId="77777777" w:rsidTr="004F5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080A0B64" w14:textId="77777777" w:rsidR="002314F1" w:rsidRPr="00C81585" w:rsidRDefault="002314F1" w:rsidP="004F51C2">
            <w:pPr>
              <w:rPr>
                <w:rFonts w:ascii="NettoPro-Bold" w:hAnsi="NettoPro-Bold" w:cs="NettoPro-Bold"/>
                <w:b w:val="0"/>
                <w:szCs w:val="20"/>
              </w:rPr>
            </w:pPr>
            <w:r w:rsidRPr="00C81585">
              <w:rPr>
                <w:rFonts w:ascii="NettoPro-Bold" w:hAnsi="NettoPro-Bold" w:cs="NettoPro-Bold"/>
                <w:b w:val="0"/>
              </w:rPr>
              <w:t>Monitoring sociálních médií</w:t>
            </w:r>
          </w:p>
        </w:tc>
        <w:tc>
          <w:tcPr>
            <w:tcW w:w="3089"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0463A8D0" w14:textId="77777777" w:rsidR="002314F1" w:rsidRPr="00EC30E2" w:rsidRDefault="00000000" w:rsidP="004F51C2">
            <w:pPr>
              <w:jc w:val="left"/>
              <w:cnfStyle w:val="000000010000" w:firstRow="0" w:lastRow="0" w:firstColumn="0" w:lastColumn="0" w:oddVBand="0" w:evenVBand="0" w:oddHBand="0" w:evenHBand="1" w:firstRowFirstColumn="0" w:firstRowLastColumn="0" w:lastRowFirstColumn="0" w:lastRowLastColumn="0"/>
              <w:rPr>
                <w:rFonts w:ascii="NettoPro" w:hAnsi="NettoPro" w:cs="NettoPro"/>
              </w:rPr>
            </w:pPr>
            <w:sdt>
              <w:sdtPr>
                <w:rPr>
                  <w:rFonts w:ascii="NettoPro-Bold" w:hAnsi="NettoPro-Bold" w:cs="NettoPro-Bold"/>
                </w:rPr>
                <w:id w:val="-29881867"/>
                <w14:checkbox>
                  <w14:checked w14:val="0"/>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sidRPr="00200698">
              <w:rPr>
                <w:rFonts w:ascii="NettoPro" w:hAnsi="NettoPro" w:cs="NettoPro"/>
              </w:rPr>
              <w:t xml:space="preserve"> </w:t>
            </w:r>
            <w:r w:rsidR="002314F1" w:rsidRPr="00EC30E2">
              <w:rPr>
                <w:rFonts w:ascii="NettoPro" w:hAnsi="NettoPro" w:cs="NettoPro"/>
              </w:rPr>
              <w:fldChar w:fldCharType="begin">
                <w:ffData>
                  <w:name w:val=""/>
                  <w:enabled/>
                  <w:calcOnExit w:val="0"/>
                  <w:textInput>
                    <w:type w:val="date"/>
                    <w:format w:val="dd.MM.yy"/>
                  </w:textInput>
                </w:ffData>
              </w:fldChar>
            </w:r>
            <w:r w:rsidR="002314F1" w:rsidRPr="007743D0">
              <w:rPr>
                <w:rFonts w:ascii="NettoPro" w:hAnsi="NettoPro" w:cs="NettoPro"/>
              </w:rPr>
              <w:instrText xml:space="preserve"> FORMTEXT </w:instrText>
            </w:r>
            <w:r w:rsidR="002314F1" w:rsidRPr="00EC30E2">
              <w:rPr>
                <w:rFonts w:ascii="NettoPro" w:hAnsi="NettoPro" w:cs="NettoPro"/>
              </w:rPr>
            </w:r>
            <w:r w:rsidR="002314F1" w:rsidRPr="00EC30E2">
              <w:rPr>
                <w:rFonts w:ascii="NettoPro" w:hAnsi="NettoPro" w:cs="NettoPro"/>
              </w:rPr>
              <w:fldChar w:fldCharType="separate"/>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EC30E2">
              <w:rPr>
                <w:rFonts w:ascii="NettoPro" w:hAnsi="NettoPro" w:cs="NettoPro"/>
              </w:rPr>
              <w:fldChar w:fldCharType="end"/>
            </w:r>
          </w:p>
        </w:tc>
        <w:tc>
          <w:tcPr>
            <w:tcW w:w="1971"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7E4FF0DA" w14:textId="77777777" w:rsidR="002314F1" w:rsidRPr="00EC30E2" w:rsidRDefault="002314F1" w:rsidP="004F51C2">
            <w:pPr>
              <w:jc w:val="center"/>
              <w:cnfStyle w:val="000000010000" w:firstRow="0" w:lastRow="0" w:firstColumn="0" w:lastColumn="0" w:oddVBand="0" w:evenVBand="0" w:oddHBand="0" w:evenHBand="1" w:firstRowFirstColumn="0" w:firstRowLastColumn="0" w:lastRowFirstColumn="0" w:lastRowLastColumn="0"/>
              <w:rPr>
                <w:rFonts w:ascii="NettoPro" w:hAnsi="NettoPro" w:cs="NettoPro"/>
              </w:rPr>
            </w:pPr>
            <w:r w:rsidRPr="00EC30E2">
              <w:rPr>
                <w:rFonts w:ascii="NettoPro" w:hAnsi="NettoPro" w:cs="NettoPro"/>
              </w:rPr>
              <w:fldChar w:fldCharType="begin">
                <w:ffData>
                  <w:name w:val=""/>
                  <w:enabled/>
                  <w:calcOnExit w:val="0"/>
                  <w:textInput>
                    <w:type w:val="date"/>
                    <w:format w:val="dd.MM.yy"/>
                  </w:textInput>
                </w:ffData>
              </w:fldChar>
            </w:r>
            <w:r w:rsidRPr="007743D0">
              <w:rPr>
                <w:rFonts w:ascii="NettoPro" w:hAnsi="NettoPro" w:cs="NettoPro"/>
              </w:rPr>
              <w:instrText xml:space="preserve"> FORMTEXT </w:instrText>
            </w:r>
            <w:r w:rsidRPr="00EC30E2">
              <w:rPr>
                <w:rFonts w:ascii="NettoPro" w:hAnsi="NettoPro" w:cs="NettoPro"/>
              </w:rPr>
            </w:r>
            <w:r w:rsidRPr="00EC30E2">
              <w:rPr>
                <w:rFonts w:ascii="NettoPro" w:hAnsi="NettoPro" w:cs="NettoPro"/>
              </w:rPr>
              <w:fldChar w:fldCharType="separate"/>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EC30E2">
              <w:rPr>
                <w:rFonts w:ascii="NettoPro" w:hAnsi="NettoPro" w:cs="NettoPro"/>
              </w:rPr>
              <w:fldChar w:fldCharType="end"/>
            </w:r>
            <w:r w:rsidRPr="00EC30E2">
              <w:rPr>
                <w:rFonts w:ascii="NettoPro" w:hAnsi="NettoPro" w:cs="NettoPro"/>
              </w:rPr>
              <w:t xml:space="preserve"> Kč</w:t>
            </w:r>
          </w:p>
        </w:tc>
      </w:tr>
      <w:tr w:rsidR="002314F1" w:rsidRPr="0035557A" w14:paraId="1D6CC9AD" w14:textId="77777777" w:rsidTr="003E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00A1857B" w14:textId="77777777" w:rsidR="002314F1" w:rsidRPr="00C81585" w:rsidRDefault="002314F1" w:rsidP="004F51C2">
            <w:pPr>
              <w:rPr>
                <w:rFonts w:ascii="NettoPro-Bold" w:hAnsi="NettoPro-Bold" w:cs="NettoPro-Bold"/>
                <w:b w:val="0"/>
                <w:bCs w:val="0"/>
              </w:rPr>
            </w:pPr>
            <w:r w:rsidRPr="00C81585">
              <w:rPr>
                <w:rFonts w:ascii="NettoPro-Bold" w:hAnsi="NettoPro-Bold" w:cs="NettoPro-Bold"/>
                <w:b w:val="0"/>
              </w:rPr>
              <w:t>Mediální analýza</w:t>
            </w:r>
          </w:p>
        </w:tc>
        <w:tc>
          <w:tcPr>
            <w:tcW w:w="3089"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4F8A793A" w14:textId="77777777" w:rsidR="002314F1" w:rsidRPr="00200698" w:rsidRDefault="00000000" w:rsidP="004F51C2">
            <w:pPr>
              <w:cnfStyle w:val="000000100000" w:firstRow="0" w:lastRow="0" w:firstColumn="0" w:lastColumn="0" w:oddVBand="0" w:evenVBand="0" w:oddHBand="1" w:evenHBand="0" w:firstRowFirstColumn="0" w:firstRowLastColumn="0" w:lastRowFirstColumn="0" w:lastRowLastColumn="0"/>
              <w:rPr>
                <w:rFonts w:ascii="NettoPro" w:hAnsi="NettoPro" w:cs="NettoPro"/>
              </w:rPr>
            </w:pPr>
            <w:sdt>
              <w:sdtPr>
                <w:rPr>
                  <w:rFonts w:ascii="NettoPro-Bold" w:hAnsi="NettoPro-Bold" w:cs="NettoPro-Bold"/>
                </w:rPr>
                <w:id w:val="-271011689"/>
                <w14:checkbox>
                  <w14:checked w14:val="0"/>
                  <w14:checkedState w14:val="2612" w14:font="MS Gothic"/>
                  <w14:uncheckedState w14:val="2610" w14:font="MS Gothic"/>
                </w14:checkbox>
              </w:sdtPr>
              <w:sdtContent>
                <w:r w:rsidR="002314F1">
                  <w:rPr>
                    <w:rFonts w:ascii="MS Gothic" w:eastAsia="MS Gothic" w:hAnsi="MS Gothic" w:cs="NettoPro-Bold" w:hint="eastAsia"/>
                  </w:rPr>
                  <w:t>☐</w:t>
                </w:r>
              </w:sdtContent>
            </w:sdt>
            <w:r w:rsidR="002314F1" w:rsidRPr="00200698">
              <w:rPr>
                <w:rFonts w:ascii="NettoPro" w:hAnsi="NettoPro" w:cs="NettoPro"/>
              </w:rPr>
              <w:t xml:space="preserve"> </w:t>
            </w:r>
            <w:r w:rsidR="002314F1" w:rsidRPr="00EC30E2">
              <w:rPr>
                <w:rFonts w:ascii="NettoPro" w:hAnsi="NettoPro" w:cs="NettoPro"/>
              </w:rPr>
              <w:fldChar w:fldCharType="begin">
                <w:ffData>
                  <w:name w:val=""/>
                  <w:enabled/>
                  <w:calcOnExit w:val="0"/>
                  <w:textInput>
                    <w:type w:val="date"/>
                    <w:format w:val="dd.MM.yy"/>
                  </w:textInput>
                </w:ffData>
              </w:fldChar>
            </w:r>
            <w:r w:rsidR="002314F1" w:rsidRPr="007743D0">
              <w:rPr>
                <w:rFonts w:ascii="NettoPro" w:hAnsi="NettoPro" w:cs="NettoPro"/>
              </w:rPr>
              <w:instrText xml:space="preserve"> FORMTEXT </w:instrText>
            </w:r>
            <w:r w:rsidR="002314F1" w:rsidRPr="00EC30E2">
              <w:rPr>
                <w:rFonts w:ascii="NettoPro" w:hAnsi="NettoPro" w:cs="NettoPro"/>
              </w:rPr>
            </w:r>
            <w:r w:rsidR="002314F1" w:rsidRPr="00EC30E2">
              <w:rPr>
                <w:rFonts w:ascii="NettoPro" w:hAnsi="NettoPro" w:cs="NettoPro"/>
              </w:rPr>
              <w:fldChar w:fldCharType="separate"/>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7743D0">
              <w:rPr>
                <w:rFonts w:ascii="NettoPro" w:hAnsi="NettoPro" w:cs="NettoPro"/>
              </w:rPr>
              <w:t> </w:t>
            </w:r>
            <w:r w:rsidR="002314F1" w:rsidRPr="00EC30E2">
              <w:rPr>
                <w:rFonts w:ascii="NettoPro" w:hAnsi="NettoPro" w:cs="NettoPro"/>
              </w:rPr>
              <w:fldChar w:fldCharType="end"/>
            </w:r>
          </w:p>
        </w:tc>
        <w:tc>
          <w:tcPr>
            <w:tcW w:w="1971"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0E599318" w14:textId="77777777" w:rsidR="002314F1" w:rsidRPr="00200698" w:rsidRDefault="002314F1" w:rsidP="004F51C2">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rPr>
            </w:pPr>
            <w:r w:rsidRPr="00EC30E2">
              <w:rPr>
                <w:rFonts w:ascii="NettoPro" w:hAnsi="NettoPro" w:cs="NettoPro"/>
              </w:rPr>
              <w:fldChar w:fldCharType="begin">
                <w:ffData>
                  <w:name w:val=""/>
                  <w:enabled/>
                  <w:calcOnExit w:val="0"/>
                  <w:textInput>
                    <w:type w:val="date"/>
                    <w:format w:val="dd.MM.yy"/>
                  </w:textInput>
                </w:ffData>
              </w:fldChar>
            </w:r>
            <w:r w:rsidRPr="007743D0">
              <w:rPr>
                <w:rFonts w:ascii="NettoPro" w:hAnsi="NettoPro" w:cs="NettoPro"/>
              </w:rPr>
              <w:instrText xml:space="preserve"> FORMTEXT </w:instrText>
            </w:r>
            <w:r w:rsidRPr="00EC30E2">
              <w:rPr>
                <w:rFonts w:ascii="NettoPro" w:hAnsi="NettoPro" w:cs="NettoPro"/>
              </w:rPr>
            </w:r>
            <w:r w:rsidRPr="00EC30E2">
              <w:rPr>
                <w:rFonts w:ascii="NettoPro" w:hAnsi="NettoPro" w:cs="NettoPro"/>
              </w:rPr>
              <w:fldChar w:fldCharType="separate"/>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7743D0">
              <w:rPr>
                <w:rFonts w:ascii="NettoPro" w:hAnsi="NettoPro" w:cs="NettoPro"/>
              </w:rPr>
              <w:t> </w:t>
            </w:r>
            <w:r w:rsidRPr="00EC30E2">
              <w:rPr>
                <w:rFonts w:ascii="NettoPro" w:hAnsi="NettoPro" w:cs="NettoPro"/>
              </w:rPr>
              <w:fldChar w:fldCharType="end"/>
            </w:r>
            <w:r>
              <w:rPr>
                <w:rFonts w:ascii="NettoPro" w:hAnsi="NettoPro" w:cs="NettoPro"/>
              </w:rPr>
              <w:t xml:space="preserve"> Kč</w:t>
            </w:r>
          </w:p>
        </w:tc>
      </w:tr>
      <w:tr w:rsidR="002314F1" w:rsidRPr="00F44D8A" w14:paraId="55EAFB16" w14:textId="77777777" w:rsidTr="004F5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bottom w:val="nil"/>
              <w:right w:val="single" w:sz="12" w:space="0" w:color="00A3E2"/>
            </w:tcBorders>
            <w:shd w:val="clear" w:color="auto" w:fill="F2F2F2" w:themeFill="background1" w:themeFillShade="F2"/>
          </w:tcPr>
          <w:p w14:paraId="7181B009" w14:textId="77777777" w:rsidR="002314F1" w:rsidRPr="00906518" w:rsidRDefault="002314F1" w:rsidP="004F51C2">
            <w:pPr>
              <w:rPr>
                <w:rFonts w:ascii="NettoPro-Bold" w:hAnsi="NettoPro-Bold" w:cs="NettoPro-Bold"/>
                <w:b w:val="0"/>
                <w:szCs w:val="20"/>
              </w:rPr>
            </w:pPr>
            <w:r w:rsidRPr="00906518">
              <w:rPr>
                <w:rFonts w:ascii="NettoPro-Bold" w:hAnsi="NettoPro-Bold" w:cs="NettoPro-Bold"/>
                <w:b w:val="0"/>
                <w:szCs w:val="20"/>
              </w:rPr>
              <w:t>CELKEM</w:t>
            </w:r>
          </w:p>
        </w:tc>
        <w:tc>
          <w:tcPr>
            <w:tcW w:w="3089"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174B4055" w14:textId="77777777" w:rsidR="002314F1" w:rsidRPr="00F1397E" w:rsidRDefault="002314F1" w:rsidP="004F51C2">
            <w:pPr>
              <w:ind w:firstLine="567"/>
              <w:jc w:val="left"/>
              <w:cnfStyle w:val="000000010000" w:firstRow="0" w:lastRow="0" w:firstColumn="0" w:lastColumn="0" w:oddVBand="0" w:evenVBand="0" w:oddHBand="0" w:evenHBand="1" w:firstRowFirstColumn="0" w:firstRowLastColumn="0" w:lastRowFirstColumn="0" w:lastRowLastColumn="0"/>
              <w:rPr>
                <w:sz w:val="18"/>
              </w:rPr>
            </w:pPr>
          </w:p>
        </w:tc>
        <w:tc>
          <w:tcPr>
            <w:tcW w:w="1971"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3CEFC87B" w14:textId="42EB8ED4" w:rsidR="002314F1" w:rsidRPr="002314F1" w:rsidRDefault="002314F1" w:rsidP="002314F1">
            <w:pPr>
              <w:pStyle w:val="Odstavecseseznamem"/>
              <w:ind w:left="360"/>
              <w:jc w:val="left"/>
              <w:cnfStyle w:val="000000010000" w:firstRow="0" w:lastRow="0" w:firstColumn="0" w:lastColumn="0" w:oddVBand="0" w:evenVBand="0" w:oddHBand="0" w:evenHBand="1" w:firstRowFirstColumn="0" w:firstRowLastColumn="0" w:lastRowFirstColumn="0" w:lastRowLastColumn="0"/>
              <w:rPr>
                <w:rFonts w:ascii="NettoPro" w:hAnsi="NettoPro" w:cs="NettoPro"/>
              </w:rPr>
            </w:pPr>
            <w:r>
              <w:rPr>
                <w:rFonts w:ascii="NettoPro" w:hAnsi="NettoPro" w:cs="NettoPro"/>
              </w:rPr>
              <w:t xml:space="preserve"> 3 000 Kč</w:t>
            </w:r>
          </w:p>
        </w:tc>
      </w:tr>
      <w:bookmarkEnd w:id="0"/>
    </w:tbl>
    <w:p w14:paraId="0F516325" w14:textId="77777777" w:rsidR="002314F1" w:rsidRPr="006A0681" w:rsidRDefault="002314F1" w:rsidP="001D3959">
      <w:pPr>
        <w:jc w:val="both"/>
        <w:rPr>
          <w:rFonts w:ascii="NettoPro" w:hAnsi="NettoPro" w:cs="NettoPro"/>
          <w:sz w:val="22"/>
        </w:rPr>
      </w:pPr>
    </w:p>
    <w:p w14:paraId="6A02F824" w14:textId="77777777" w:rsidR="002314F1" w:rsidRPr="003E2A43" w:rsidRDefault="002314F1" w:rsidP="00693A03">
      <w:pPr>
        <w:spacing w:line="276" w:lineRule="auto"/>
        <w:jc w:val="center"/>
        <w:rPr>
          <w:rFonts w:ascii="NettoPro-Bold" w:hAnsi="NettoPro-Bold" w:cs="NettoPro-Bold"/>
          <w:b/>
          <w:bCs/>
          <w:sz w:val="22"/>
        </w:rPr>
      </w:pPr>
    </w:p>
    <w:p w14:paraId="7F022FF7" w14:textId="4BADC446" w:rsidR="002314F1" w:rsidRPr="003E2A43" w:rsidRDefault="002314F1" w:rsidP="002314F1">
      <w:pPr>
        <w:pStyle w:val="Odstavecseseznamem"/>
        <w:numPr>
          <w:ilvl w:val="0"/>
          <w:numId w:val="21"/>
        </w:numPr>
        <w:jc w:val="both"/>
        <w:rPr>
          <w:rFonts w:ascii="NettoPro" w:hAnsi="NettoPro" w:cs="NettoPro"/>
          <w:b/>
          <w:bCs/>
          <w:sz w:val="22"/>
        </w:rPr>
      </w:pPr>
      <w:r w:rsidRPr="003E2A43">
        <w:rPr>
          <w:rFonts w:ascii="NettoPro" w:hAnsi="NettoPro" w:cs="NettoPro"/>
          <w:b/>
          <w:bCs/>
          <w:sz w:val="22"/>
        </w:rPr>
        <w:t>bod 4 – doba trvání smluvního vztahu a to následovně:</w:t>
      </w:r>
    </w:p>
    <w:p w14:paraId="11F70E78" w14:textId="77777777" w:rsidR="002314F1" w:rsidRDefault="002314F1" w:rsidP="002314F1">
      <w:pPr>
        <w:spacing w:line="276" w:lineRule="auto"/>
        <w:rPr>
          <w:rFonts w:cs="Arial"/>
          <w:sz w:val="22"/>
        </w:rPr>
      </w:pPr>
    </w:p>
    <w:p w14:paraId="4DF2CF42" w14:textId="207F90A0" w:rsidR="002314F1" w:rsidRPr="003E2A43" w:rsidRDefault="002314F1" w:rsidP="002314F1">
      <w:pPr>
        <w:jc w:val="both"/>
        <w:rPr>
          <w:rFonts w:ascii="NettoPro" w:hAnsi="NettoPro" w:cs="NettoPro"/>
          <w:sz w:val="22"/>
        </w:rPr>
      </w:pPr>
      <w:r w:rsidRPr="003E2A43">
        <w:rPr>
          <w:rFonts w:ascii="NettoPro" w:hAnsi="NettoPro" w:cs="NettoPro"/>
          <w:sz w:val="22"/>
        </w:rPr>
        <w:t xml:space="preserve">Tento dodatek nabývá </w:t>
      </w:r>
      <w:r w:rsidR="003E2A43" w:rsidRPr="003E2A43">
        <w:rPr>
          <w:rFonts w:ascii="NettoPro" w:hAnsi="NettoPro" w:cs="NettoPro"/>
          <w:sz w:val="22"/>
        </w:rPr>
        <w:t>platnosti dnem podpisu smluvních stran a účinnosti dne 1. 1. 2023</w:t>
      </w:r>
      <w:r w:rsidRPr="003E2A43">
        <w:rPr>
          <w:rFonts w:ascii="NettoPro" w:hAnsi="NettoPro" w:cs="NettoPro"/>
          <w:sz w:val="22"/>
        </w:rPr>
        <w:t xml:space="preserve">, přičemž je uzavřen na dobu: </w:t>
      </w:r>
    </w:p>
    <w:p w14:paraId="7706039F" w14:textId="77777777" w:rsidR="002314F1" w:rsidRPr="001D3959" w:rsidRDefault="002314F1" w:rsidP="002314F1">
      <w:pPr>
        <w:jc w:val="both"/>
        <w:rPr>
          <w:b/>
        </w:rPr>
      </w:pPr>
      <w:r w:rsidRPr="003E2A43">
        <w:rPr>
          <w:rFonts w:ascii="Segoe UI Symbol" w:hAnsi="Segoe UI Symbol" w:cs="Segoe UI Symbol"/>
          <w:sz w:val="22"/>
        </w:rPr>
        <w:t>☒</w:t>
      </w:r>
      <w:r w:rsidRPr="003E2A43">
        <w:rPr>
          <w:rFonts w:ascii="NettoPro" w:hAnsi="NettoPro" w:cs="NettoPro"/>
          <w:sz w:val="22"/>
        </w:rPr>
        <w:t xml:space="preserve"> neurčitou</w:t>
      </w:r>
    </w:p>
    <w:p w14:paraId="32FA5C2A" w14:textId="77777777" w:rsidR="002314F1" w:rsidRPr="003E2A43" w:rsidRDefault="002314F1" w:rsidP="00693A03">
      <w:pPr>
        <w:spacing w:line="276" w:lineRule="auto"/>
        <w:jc w:val="center"/>
        <w:rPr>
          <w:rFonts w:ascii="NettoPro" w:hAnsi="NettoPro" w:cs="NettoPro"/>
          <w:b/>
          <w:bCs/>
          <w:sz w:val="22"/>
        </w:rPr>
      </w:pPr>
    </w:p>
    <w:p w14:paraId="4757D0E5" w14:textId="56E07F6F" w:rsidR="002314F1" w:rsidRPr="003E2A43" w:rsidRDefault="003E2A43" w:rsidP="003E2A43">
      <w:pPr>
        <w:pStyle w:val="Odstavecseseznamem"/>
        <w:numPr>
          <w:ilvl w:val="0"/>
          <w:numId w:val="21"/>
        </w:numPr>
        <w:spacing w:line="276" w:lineRule="auto"/>
        <w:rPr>
          <w:rFonts w:ascii="NettoPro" w:hAnsi="NettoPro" w:cs="NettoPro"/>
          <w:b/>
          <w:bCs/>
          <w:sz w:val="22"/>
        </w:rPr>
      </w:pPr>
      <w:r w:rsidRPr="003E2A43">
        <w:rPr>
          <w:rFonts w:ascii="NettoPro" w:hAnsi="NettoPro" w:cs="NettoPro"/>
          <w:b/>
          <w:bCs/>
          <w:sz w:val="22"/>
        </w:rPr>
        <w:t>bod 6.4 VOP a to následovně:</w:t>
      </w:r>
    </w:p>
    <w:p w14:paraId="6564020D" w14:textId="6084C1B1" w:rsidR="003E2A43" w:rsidRPr="003E2A43" w:rsidRDefault="003E2A43" w:rsidP="003E2A43">
      <w:pPr>
        <w:pStyle w:val="Odstavecseseznamem"/>
        <w:numPr>
          <w:ilvl w:val="1"/>
          <w:numId w:val="22"/>
        </w:numPr>
        <w:autoSpaceDE/>
        <w:autoSpaceDN/>
        <w:adjustRightInd/>
        <w:spacing w:after="120" w:line="240" w:lineRule="auto"/>
        <w:jc w:val="both"/>
        <w:rPr>
          <w:rFonts w:ascii="NettoPro" w:hAnsi="NettoPro" w:cs="NettoPro"/>
          <w:sz w:val="22"/>
        </w:rPr>
      </w:pPr>
      <w:r w:rsidRPr="003E2A43">
        <w:rPr>
          <w:rFonts w:ascii="NettoPro" w:hAnsi="NettoPro" w:cs="NettoPro"/>
          <w:sz w:val="22"/>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 Smluvní strany pro vyloučení všech pochybností souhlasí s tím, že v případě záporné míry inflace se odměna dodavatele nesnižuje.</w:t>
      </w:r>
    </w:p>
    <w:p w14:paraId="036E3B15" w14:textId="77777777" w:rsidR="002314F1" w:rsidRDefault="002314F1" w:rsidP="003E2A43">
      <w:pPr>
        <w:spacing w:line="276" w:lineRule="auto"/>
        <w:rPr>
          <w:rFonts w:ascii="NettoPro-Bold" w:hAnsi="NettoPro-Bold" w:cs="NettoPro-Bold"/>
          <w:sz w:val="22"/>
        </w:rPr>
      </w:pPr>
    </w:p>
    <w:p w14:paraId="6365F6FE" w14:textId="77777777" w:rsidR="002314F1" w:rsidRDefault="002314F1" w:rsidP="00693A03">
      <w:pPr>
        <w:spacing w:line="276" w:lineRule="auto"/>
        <w:jc w:val="center"/>
        <w:rPr>
          <w:rFonts w:ascii="NettoPro-Bold" w:hAnsi="NettoPro-Bold" w:cs="NettoPro-Bold"/>
          <w:sz w:val="22"/>
        </w:rPr>
      </w:pPr>
    </w:p>
    <w:p w14:paraId="457A2EAD" w14:textId="77777777" w:rsidR="002314F1" w:rsidRDefault="002314F1" w:rsidP="00693A03">
      <w:pPr>
        <w:spacing w:line="276" w:lineRule="auto"/>
        <w:jc w:val="center"/>
        <w:rPr>
          <w:rFonts w:ascii="NettoPro-Bold" w:hAnsi="NettoPro-Bold" w:cs="NettoPro-Bold"/>
          <w:sz w:val="22"/>
        </w:rPr>
      </w:pPr>
    </w:p>
    <w:p w14:paraId="4E7F26D9" w14:textId="77777777" w:rsidR="002314F1" w:rsidRDefault="002314F1" w:rsidP="00693A03">
      <w:pPr>
        <w:spacing w:line="276" w:lineRule="auto"/>
        <w:jc w:val="center"/>
        <w:rPr>
          <w:rFonts w:ascii="NettoPro-Bold" w:hAnsi="NettoPro-Bold" w:cs="NettoPro-Bold"/>
          <w:sz w:val="22"/>
        </w:rPr>
      </w:pPr>
    </w:p>
    <w:p w14:paraId="155543BA" w14:textId="7B5D89DF" w:rsidR="00693A03" w:rsidRPr="003E2A43" w:rsidRDefault="00693A03" w:rsidP="00693A03">
      <w:pPr>
        <w:spacing w:line="276" w:lineRule="auto"/>
        <w:jc w:val="center"/>
        <w:rPr>
          <w:rFonts w:ascii="NettoPro" w:hAnsi="NettoPro" w:cs="NettoPro"/>
          <w:sz w:val="22"/>
        </w:rPr>
      </w:pPr>
      <w:r w:rsidRPr="003E2A43">
        <w:rPr>
          <w:rFonts w:ascii="NettoPro" w:hAnsi="NettoPro" w:cs="NettoPro"/>
          <w:sz w:val="22"/>
        </w:rPr>
        <w:t>II.</w:t>
      </w:r>
    </w:p>
    <w:p w14:paraId="0313F0CB" w14:textId="77777777" w:rsidR="00693A03" w:rsidRPr="003E2A43" w:rsidRDefault="00693A03" w:rsidP="00693A03">
      <w:pPr>
        <w:spacing w:line="276" w:lineRule="auto"/>
        <w:jc w:val="center"/>
        <w:rPr>
          <w:rFonts w:ascii="NettoPro" w:hAnsi="NettoPro" w:cs="NettoPro"/>
          <w:sz w:val="22"/>
        </w:rPr>
      </w:pPr>
      <w:r w:rsidRPr="003E2A43">
        <w:rPr>
          <w:rFonts w:ascii="NettoPro" w:hAnsi="NettoPro" w:cs="NettoPro"/>
          <w:sz w:val="22"/>
        </w:rPr>
        <w:t>ZÁVĚREČNÁ USTANOVENÍ</w:t>
      </w:r>
    </w:p>
    <w:p w14:paraId="2F095465" w14:textId="77777777" w:rsidR="00693A03" w:rsidRPr="003E2A43" w:rsidRDefault="00693A03" w:rsidP="00693A03">
      <w:pPr>
        <w:rPr>
          <w:rFonts w:ascii="NettoPro" w:hAnsi="NettoPro" w:cs="NettoPro"/>
          <w:sz w:val="22"/>
        </w:rPr>
      </w:pPr>
    </w:p>
    <w:p w14:paraId="13F76676" w14:textId="60088CD8" w:rsidR="00693A03" w:rsidRPr="009F3DEC" w:rsidRDefault="00693A03" w:rsidP="00693A03">
      <w:pPr>
        <w:spacing w:line="276" w:lineRule="auto"/>
        <w:rPr>
          <w:rFonts w:ascii="NettoPro" w:hAnsi="NettoPro" w:cs="NettoPro"/>
          <w:sz w:val="22"/>
        </w:rPr>
      </w:pPr>
      <w:r w:rsidRPr="009F3DEC">
        <w:rPr>
          <w:rFonts w:ascii="NettoPro" w:hAnsi="NettoPro" w:cs="NettoPro"/>
          <w:sz w:val="22"/>
        </w:rPr>
        <w:t xml:space="preserve">1. Tento dodatek nabývá platnosti dnem podpisu smluvních stran a účinnosti dne </w:t>
      </w:r>
      <w:r w:rsidR="00D777DF" w:rsidRPr="003E2A43">
        <w:rPr>
          <w:rFonts w:ascii="NettoPro" w:hAnsi="NettoPro" w:cs="NettoPro"/>
          <w:sz w:val="22"/>
        </w:rPr>
        <w:t xml:space="preserve">1. </w:t>
      </w:r>
      <w:r w:rsidR="00A65E2F" w:rsidRPr="003E2A43">
        <w:rPr>
          <w:rFonts w:ascii="NettoPro" w:hAnsi="NettoPro" w:cs="NettoPro"/>
          <w:sz w:val="22"/>
        </w:rPr>
        <w:t>1</w:t>
      </w:r>
      <w:r w:rsidR="00D777DF" w:rsidRPr="003E2A43">
        <w:rPr>
          <w:rFonts w:ascii="NettoPro" w:hAnsi="NettoPro" w:cs="NettoPro"/>
          <w:sz w:val="22"/>
        </w:rPr>
        <w:t>. 202</w:t>
      </w:r>
      <w:r w:rsidR="00A65E2F" w:rsidRPr="003E2A43">
        <w:rPr>
          <w:rFonts w:ascii="NettoPro" w:hAnsi="NettoPro" w:cs="NettoPro"/>
          <w:sz w:val="22"/>
        </w:rPr>
        <w:t>3</w:t>
      </w:r>
      <w:r w:rsidR="00D777DF" w:rsidRPr="003E2A43">
        <w:rPr>
          <w:rFonts w:ascii="NettoPro" w:hAnsi="NettoPro" w:cs="NettoPro"/>
          <w:sz w:val="22"/>
        </w:rPr>
        <w:t>.</w:t>
      </w:r>
    </w:p>
    <w:p w14:paraId="15227717" w14:textId="77777777" w:rsidR="00693A03" w:rsidRPr="009F3DEC" w:rsidRDefault="00693A03" w:rsidP="00693A03">
      <w:pPr>
        <w:spacing w:line="276" w:lineRule="auto"/>
        <w:rPr>
          <w:rFonts w:ascii="NettoPro" w:hAnsi="NettoPro" w:cs="NettoPro"/>
          <w:sz w:val="22"/>
        </w:rPr>
      </w:pPr>
      <w:r w:rsidRPr="009F3DEC">
        <w:rPr>
          <w:rFonts w:ascii="NettoPro" w:hAnsi="NettoPro" w:cs="NettoPro"/>
          <w:sz w:val="22"/>
        </w:rPr>
        <w:t>2. Ostatní ustanovení smlouvy, nejsou-li v rozporu s tímto dodatkem, zůstávají beze změny.</w:t>
      </w:r>
    </w:p>
    <w:p w14:paraId="663F6600" w14:textId="77777777" w:rsidR="00693A03" w:rsidRPr="009F3DEC" w:rsidRDefault="00693A03" w:rsidP="00693A03">
      <w:pPr>
        <w:spacing w:line="276" w:lineRule="auto"/>
        <w:rPr>
          <w:rFonts w:ascii="NettoPro" w:hAnsi="NettoPro" w:cs="NettoPro"/>
          <w:sz w:val="22"/>
        </w:rPr>
      </w:pPr>
      <w:r w:rsidRPr="009F3DEC">
        <w:rPr>
          <w:rFonts w:ascii="NettoPro" w:hAnsi="NettoPro" w:cs="NettoPro"/>
          <w:sz w:val="22"/>
        </w:rPr>
        <w:t>3. Tento dodatek je vyhotoven ve dvou stejnopisech, z nichž po dvou obdrží každá ze smluvních stran.</w:t>
      </w:r>
    </w:p>
    <w:p w14:paraId="2938F421" w14:textId="77777777" w:rsidR="00693A03" w:rsidRPr="009F3DEC" w:rsidRDefault="00693A03" w:rsidP="00693A03">
      <w:pPr>
        <w:spacing w:line="276" w:lineRule="auto"/>
        <w:rPr>
          <w:rFonts w:ascii="NettoPro" w:hAnsi="NettoPro" w:cs="NettoPro"/>
          <w:sz w:val="22"/>
        </w:rPr>
      </w:pPr>
    </w:p>
    <w:p w14:paraId="08FA5F92" w14:textId="77777777" w:rsidR="00693A03" w:rsidRPr="009F3DEC" w:rsidRDefault="00693A03" w:rsidP="00693A03">
      <w:pPr>
        <w:spacing w:line="276" w:lineRule="auto"/>
        <w:rPr>
          <w:rFonts w:ascii="NettoPro" w:hAnsi="NettoPro" w:cs="NettoPro"/>
          <w:sz w:val="22"/>
        </w:rPr>
      </w:pPr>
      <w:r w:rsidRPr="009F3DEC">
        <w:rPr>
          <w:rFonts w:ascii="NettoPro" w:hAnsi="NettoPro" w:cs="NettoPro"/>
          <w:sz w:val="22"/>
        </w:rPr>
        <w:t>Strany prohlašují, že si tento dodatek smlouvy přečetly, že s jeho obsahem jakož i právními důsledky souhlasí a na důkaz toho k němu připojují svoje podpisy.</w:t>
      </w:r>
    </w:p>
    <w:p w14:paraId="083125C1" w14:textId="77777777" w:rsidR="00693A03" w:rsidRPr="003E2A43" w:rsidRDefault="00693A03" w:rsidP="00693A03">
      <w:pPr>
        <w:rPr>
          <w:rFonts w:ascii="NettoPro" w:hAnsi="NettoPro" w:cs="NettoPro"/>
          <w:sz w:val="22"/>
        </w:rPr>
      </w:pPr>
    </w:p>
    <w:p w14:paraId="60821C0D" w14:textId="77777777" w:rsidR="00693A03" w:rsidRPr="003E2A43" w:rsidRDefault="00693A03" w:rsidP="00693A03">
      <w:pPr>
        <w:rPr>
          <w:rFonts w:ascii="NettoPro" w:hAnsi="NettoPro" w:cs="NettoPro"/>
          <w:sz w:val="22"/>
        </w:rPr>
      </w:pPr>
    </w:p>
    <w:tbl>
      <w:tblPr>
        <w:tblW w:w="9798" w:type="dxa"/>
        <w:tblLayout w:type="fixed"/>
        <w:tblCellMar>
          <w:left w:w="70" w:type="dxa"/>
          <w:right w:w="70" w:type="dxa"/>
        </w:tblCellMar>
        <w:tblLook w:val="0000" w:firstRow="0" w:lastRow="0" w:firstColumn="0" w:lastColumn="0" w:noHBand="0" w:noVBand="0"/>
      </w:tblPr>
      <w:tblGrid>
        <w:gridCol w:w="4899"/>
        <w:gridCol w:w="4899"/>
      </w:tblGrid>
      <w:tr w:rsidR="00693A03" w:rsidRPr="003E2A43" w14:paraId="4BDA2AC4" w14:textId="77777777" w:rsidTr="00C93EB5">
        <w:trPr>
          <w:trHeight w:val="1984"/>
        </w:trPr>
        <w:tc>
          <w:tcPr>
            <w:tcW w:w="4899" w:type="dxa"/>
          </w:tcPr>
          <w:p w14:paraId="7A7B0EBD"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Dodavatel</w:t>
            </w:r>
          </w:p>
          <w:p w14:paraId="5DF157B4" w14:textId="77777777" w:rsidR="00693A03" w:rsidRPr="009F3DEC" w:rsidRDefault="00693A03" w:rsidP="00C93EB5">
            <w:pPr>
              <w:spacing w:line="276" w:lineRule="auto"/>
              <w:jc w:val="center"/>
              <w:rPr>
                <w:rFonts w:ascii="NettoPro" w:hAnsi="NettoPro" w:cs="NettoPro"/>
                <w:sz w:val="22"/>
              </w:rPr>
            </w:pPr>
          </w:p>
          <w:p w14:paraId="0EBE75BA" w14:textId="4AD191FF"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 xml:space="preserve">V Praze dne </w:t>
            </w:r>
            <w:r w:rsidR="006A0681" w:rsidRPr="003E2A43">
              <w:rPr>
                <w:rFonts w:ascii="NettoPro" w:hAnsi="NettoPro" w:cs="NettoPro"/>
                <w:sz w:val="22"/>
              </w:rPr>
              <w:t>3. 11. 2022</w:t>
            </w:r>
          </w:p>
        </w:tc>
        <w:tc>
          <w:tcPr>
            <w:tcW w:w="4899" w:type="dxa"/>
          </w:tcPr>
          <w:p w14:paraId="3BB7122C"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Odběratel</w:t>
            </w:r>
          </w:p>
          <w:p w14:paraId="79410543" w14:textId="77777777" w:rsidR="00693A03" w:rsidRPr="009F3DEC" w:rsidRDefault="00693A03" w:rsidP="00C93EB5">
            <w:pPr>
              <w:spacing w:line="276" w:lineRule="auto"/>
              <w:jc w:val="center"/>
              <w:rPr>
                <w:rFonts w:ascii="NettoPro" w:hAnsi="NettoPro" w:cs="NettoPro"/>
                <w:sz w:val="22"/>
              </w:rPr>
            </w:pPr>
          </w:p>
          <w:p w14:paraId="4E73CF07" w14:textId="30289C89"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V </w:t>
            </w:r>
            <w:r w:rsidR="00D777DF" w:rsidRPr="00D777DF">
              <w:rPr>
                <w:rFonts w:ascii="NettoPro" w:hAnsi="NettoPro" w:cs="NettoPro"/>
                <w:sz w:val="22"/>
              </w:rPr>
              <w:t>Opařanech</w:t>
            </w:r>
            <w:r w:rsidRPr="009F3DEC">
              <w:rPr>
                <w:rFonts w:ascii="NettoPro" w:hAnsi="NettoPro" w:cs="NettoPro"/>
                <w:sz w:val="22"/>
              </w:rPr>
              <w:t xml:space="preserve"> dne </w:t>
            </w:r>
            <w:r w:rsidRPr="003E2A43">
              <w:rPr>
                <w:rFonts w:ascii="NettoPro" w:hAnsi="NettoPro" w:cs="NettoPro"/>
                <w:sz w:val="22"/>
              </w:rPr>
              <w:fldChar w:fldCharType="begin">
                <w:ffData>
                  <w:name w:val=""/>
                  <w:enabled/>
                  <w:calcOnExit w:val="0"/>
                  <w:textInput>
                    <w:type w:val="date"/>
                    <w:format w:val="dd.MM.yy"/>
                  </w:textInput>
                </w:ffData>
              </w:fldChar>
            </w:r>
            <w:r w:rsidRPr="003E2A43">
              <w:rPr>
                <w:rFonts w:ascii="NettoPro" w:hAnsi="NettoPro" w:cs="NettoPro"/>
                <w:sz w:val="22"/>
              </w:rPr>
              <w:instrText xml:space="preserve"> FORMTEXT </w:instrText>
            </w:r>
            <w:r w:rsidRPr="003E2A43">
              <w:rPr>
                <w:rFonts w:ascii="NettoPro" w:hAnsi="NettoPro" w:cs="NettoPro"/>
                <w:sz w:val="22"/>
              </w:rPr>
            </w:r>
            <w:r w:rsidRPr="003E2A43">
              <w:rPr>
                <w:rFonts w:ascii="NettoPro" w:hAnsi="NettoPro" w:cs="NettoPro"/>
                <w:sz w:val="22"/>
              </w:rPr>
              <w:fldChar w:fldCharType="separate"/>
            </w:r>
            <w:r w:rsidRPr="003E2A43">
              <w:rPr>
                <w:rFonts w:ascii="NettoPro" w:hAnsi="NettoPro" w:cs="NettoPro"/>
                <w:sz w:val="22"/>
              </w:rPr>
              <w:t> </w:t>
            </w:r>
            <w:r w:rsidRPr="003E2A43">
              <w:rPr>
                <w:rFonts w:ascii="NettoPro" w:hAnsi="NettoPro" w:cs="NettoPro"/>
                <w:sz w:val="22"/>
              </w:rPr>
              <w:t> </w:t>
            </w:r>
            <w:r w:rsidRPr="003E2A43">
              <w:rPr>
                <w:rFonts w:ascii="NettoPro" w:hAnsi="NettoPro" w:cs="NettoPro"/>
                <w:sz w:val="22"/>
              </w:rPr>
              <w:t> </w:t>
            </w:r>
            <w:r w:rsidRPr="003E2A43">
              <w:rPr>
                <w:rFonts w:ascii="NettoPro" w:hAnsi="NettoPro" w:cs="NettoPro"/>
                <w:sz w:val="22"/>
              </w:rPr>
              <w:t> </w:t>
            </w:r>
            <w:r w:rsidRPr="003E2A43">
              <w:rPr>
                <w:rFonts w:ascii="NettoPro" w:hAnsi="NettoPro" w:cs="NettoPro"/>
                <w:sz w:val="22"/>
              </w:rPr>
              <w:t> </w:t>
            </w:r>
            <w:r w:rsidRPr="003E2A43">
              <w:rPr>
                <w:rFonts w:ascii="NettoPro" w:hAnsi="NettoPro" w:cs="NettoPro"/>
                <w:sz w:val="22"/>
              </w:rPr>
              <w:fldChar w:fldCharType="end"/>
            </w:r>
          </w:p>
        </w:tc>
      </w:tr>
      <w:tr w:rsidR="00693A03" w:rsidRPr="00A61C56" w14:paraId="5AB7CE9D" w14:textId="77777777" w:rsidTr="00C93EB5">
        <w:trPr>
          <w:trHeight w:val="997"/>
        </w:trPr>
        <w:tc>
          <w:tcPr>
            <w:tcW w:w="4899" w:type="dxa"/>
          </w:tcPr>
          <w:p w14:paraId="0BA77846"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w:t>
            </w:r>
          </w:p>
          <w:p w14:paraId="32BDCB74"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NEWTON Media, a.s.</w:t>
            </w:r>
          </w:p>
          <w:p w14:paraId="3632F98F"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Ing. Petr Herian</w:t>
            </w:r>
          </w:p>
          <w:p w14:paraId="5C9CA350"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předseda představenstva</w:t>
            </w:r>
          </w:p>
        </w:tc>
        <w:tc>
          <w:tcPr>
            <w:tcW w:w="4899" w:type="dxa"/>
          </w:tcPr>
          <w:p w14:paraId="00320F08" w14:textId="77777777" w:rsidR="00693A03" w:rsidRPr="009F3DEC" w:rsidRDefault="00693A03" w:rsidP="00C93EB5">
            <w:pPr>
              <w:spacing w:line="276" w:lineRule="auto"/>
              <w:jc w:val="center"/>
              <w:rPr>
                <w:rFonts w:ascii="NettoPro" w:hAnsi="NettoPro" w:cs="NettoPro"/>
                <w:sz w:val="22"/>
              </w:rPr>
            </w:pPr>
            <w:r w:rsidRPr="009F3DEC">
              <w:rPr>
                <w:rFonts w:ascii="NettoPro" w:hAnsi="NettoPro" w:cs="NettoPro"/>
                <w:sz w:val="22"/>
              </w:rPr>
              <w:t>.............................................</w:t>
            </w:r>
          </w:p>
          <w:p w14:paraId="0EED5827" w14:textId="6EB9545F" w:rsidR="00D777DF" w:rsidRPr="00D777DF" w:rsidRDefault="00D777DF" w:rsidP="00D777DF">
            <w:pPr>
              <w:spacing w:line="276" w:lineRule="auto"/>
              <w:rPr>
                <w:rFonts w:ascii="NettoPro" w:hAnsi="NettoPro" w:cs="NettoPro"/>
                <w:sz w:val="22"/>
              </w:rPr>
            </w:pPr>
            <w:r>
              <w:rPr>
                <w:rFonts w:ascii="NettoPro" w:hAnsi="NettoPro" w:cs="NettoPro"/>
                <w:b/>
                <w:sz w:val="22"/>
              </w:rPr>
              <w:t xml:space="preserve">                             </w:t>
            </w:r>
            <w:r w:rsidRPr="00D777DF">
              <w:rPr>
                <w:rFonts w:ascii="NettoPro" w:hAnsi="NettoPro" w:cs="NettoPro"/>
                <w:sz w:val="22"/>
              </w:rPr>
              <w:t>DPN Opařany</w:t>
            </w:r>
          </w:p>
          <w:p w14:paraId="2E65E32C" w14:textId="58A99333" w:rsidR="00D777DF" w:rsidRPr="0033471D" w:rsidRDefault="00DD5F86" w:rsidP="00DD5F86">
            <w:pPr>
              <w:spacing w:line="276" w:lineRule="auto"/>
              <w:jc w:val="center"/>
              <w:rPr>
                <w:rFonts w:ascii="NettoPro" w:hAnsi="NettoPro" w:cs="NettoPro"/>
                <w:sz w:val="22"/>
              </w:rPr>
            </w:pPr>
            <w:r>
              <w:t xml:space="preserve">doc. MUDr. Michal </w:t>
            </w:r>
            <w:proofErr w:type="spellStart"/>
            <w:r>
              <w:t>Goetz</w:t>
            </w:r>
            <w:proofErr w:type="spellEnd"/>
            <w:r>
              <w:t xml:space="preserve"> Ph.D.</w:t>
            </w:r>
          </w:p>
          <w:p w14:paraId="2ABE1EFE" w14:textId="6C9000D9" w:rsidR="00693A03" w:rsidRPr="009F3DEC" w:rsidRDefault="00D777DF" w:rsidP="00DD5F86">
            <w:pPr>
              <w:spacing w:line="276" w:lineRule="auto"/>
              <w:jc w:val="center"/>
              <w:rPr>
                <w:rFonts w:ascii="NettoPro" w:hAnsi="NettoPro" w:cs="NettoPro"/>
                <w:sz w:val="22"/>
              </w:rPr>
            </w:pPr>
            <w:r w:rsidRPr="0033471D">
              <w:rPr>
                <w:rFonts w:ascii="NettoPro" w:hAnsi="NettoPro" w:cs="NettoPro"/>
                <w:sz w:val="22"/>
              </w:rPr>
              <w:t>ředitel nemocnice</w:t>
            </w:r>
          </w:p>
        </w:tc>
      </w:tr>
      <w:tr w:rsidR="00D777DF" w:rsidRPr="00A61C56" w14:paraId="655F6F14" w14:textId="77777777" w:rsidTr="00C93EB5">
        <w:trPr>
          <w:trHeight w:val="997"/>
        </w:trPr>
        <w:tc>
          <w:tcPr>
            <w:tcW w:w="4899" w:type="dxa"/>
          </w:tcPr>
          <w:p w14:paraId="7890CB17" w14:textId="77777777" w:rsidR="00D777DF" w:rsidRPr="009F3DEC" w:rsidRDefault="00D777DF" w:rsidP="00C93EB5">
            <w:pPr>
              <w:spacing w:line="276" w:lineRule="auto"/>
              <w:jc w:val="center"/>
              <w:rPr>
                <w:rFonts w:ascii="NettoPro" w:hAnsi="NettoPro" w:cs="NettoPro"/>
                <w:sz w:val="22"/>
              </w:rPr>
            </w:pPr>
          </w:p>
        </w:tc>
        <w:tc>
          <w:tcPr>
            <w:tcW w:w="4899" w:type="dxa"/>
          </w:tcPr>
          <w:p w14:paraId="65CC3022" w14:textId="77777777" w:rsidR="00D777DF" w:rsidRPr="009F3DEC" w:rsidRDefault="00D777DF" w:rsidP="00C93EB5">
            <w:pPr>
              <w:spacing w:line="276" w:lineRule="auto"/>
              <w:jc w:val="center"/>
              <w:rPr>
                <w:rFonts w:ascii="NettoPro" w:hAnsi="NettoPro" w:cs="NettoPro"/>
                <w:sz w:val="22"/>
              </w:rPr>
            </w:pPr>
          </w:p>
        </w:tc>
      </w:tr>
    </w:tbl>
    <w:p w14:paraId="587E3CCB" w14:textId="77777777" w:rsidR="00693A03" w:rsidRDefault="00693A03" w:rsidP="00693A03">
      <w:pPr>
        <w:pStyle w:val="Titulek"/>
      </w:pPr>
    </w:p>
    <w:p w14:paraId="7DEF16D4" w14:textId="77777777" w:rsidR="00693A03" w:rsidRDefault="00693A03" w:rsidP="00944E2C"/>
    <w:sectPr w:rsidR="00693A03" w:rsidSect="00014BD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269" w:right="849" w:bottom="1843"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FB83" w14:textId="77777777" w:rsidR="0069293B" w:rsidRDefault="0069293B" w:rsidP="00F75785">
      <w:r>
        <w:separator/>
      </w:r>
    </w:p>
  </w:endnote>
  <w:endnote w:type="continuationSeparator" w:id="0">
    <w:p w14:paraId="3C34F5B6" w14:textId="77777777" w:rsidR="0069293B" w:rsidRDefault="0069293B"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NettoPro-Bold">
    <w:altName w:val="Calibri"/>
    <w:panose1 w:val="00000000000000000000"/>
    <w:charset w:val="00"/>
    <w:family w:val="swiss"/>
    <w:notTrueType/>
    <w:pitch w:val="variable"/>
    <w:sig w:usb0="A00000FF" w:usb1="4000E07B" w:usb2="00000008" w:usb3="00000000" w:csb0="00000093" w:csb1="00000000"/>
  </w:font>
  <w:font w:name="NettoPro">
    <w:altName w:val="Calibri"/>
    <w:panose1 w:val="00000000000000000000"/>
    <w:charset w:val="00"/>
    <w:family w:val="swiss"/>
    <w:notTrueType/>
    <w:pitch w:val="variable"/>
    <w:sig w:usb0="A00000FF" w:usb1="4000E0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69EF" w14:textId="77777777" w:rsidR="00B220C9" w:rsidRDefault="00B220C9">
    <w:pPr>
      <w:pStyle w:val="Zpat"/>
    </w:pPr>
    <w:r>
      <w:rPr>
        <w:noProof/>
        <w:lang w:eastAsia="cs-CZ"/>
      </w:rPr>
      <w:drawing>
        <wp:inline distT="0" distB="0" distL="0" distR="0" wp14:anchorId="6C9BB32A" wp14:editId="2C354161">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6D08" w14:textId="77777777" w:rsidR="00014BD4" w:rsidRDefault="00014BD4" w:rsidP="00014BD4">
    <w:pPr>
      <w:pStyle w:val="Zpat"/>
      <w:jc w:val="right"/>
    </w:pPr>
    <w:r>
      <w:fldChar w:fldCharType="begin"/>
    </w:r>
    <w:r>
      <w:instrText xml:space="preserve"> PAGE   \* MERGEFORMAT </w:instrText>
    </w:r>
    <w:r>
      <w:fldChar w:fldCharType="separate"/>
    </w:r>
    <w:r>
      <w:t>1</w:t>
    </w:r>
    <w:r>
      <w:rPr>
        <w:noProof/>
      </w:rPr>
      <w:fldChar w:fldCharType="end"/>
    </w:r>
  </w:p>
  <w:p w14:paraId="494A9257" w14:textId="77777777" w:rsidR="007624CC" w:rsidRDefault="003D2C69" w:rsidP="00F75785">
    <w:pPr>
      <w:pStyle w:val="Zpat"/>
      <w:rPr>
        <w:noProof/>
        <w:lang w:eastAsia="cs-CZ"/>
      </w:rPr>
    </w:pPr>
    <w:r>
      <w:rPr>
        <w:noProof/>
        <w:lang w:eastAsia="cs-CZ"/>
      </w:rPr>
      <w:drawing>
        <wp:anchor distT="0" distB="0" distL="114300" distR="114300" simplePos="0" relativeHeight="251658240" behindDoc="0" locked="0" layoutInCell="1" allowOverlap="1" wp14:anchorId="1219E81A" wp14:editId="06E9FA53">
          <wp:simplePos x="0" y="0"/>
          <wp:positionH relativeFrom="margin">
            <wp:align>center</wp:align>
          </wp:positionH>
          <wp:positionV relativeFrom="paragraph">
            <wp:posOffset>-147320</wp:posOffset>
          </wp:positionV>
          <wp:extent cx="5194361" cy="708263"/>
          <wp:effectExtent l="0" t="0" r="6350" b="0"/>
          <wp:wrapNone/>
          <wp:docPr id="12" name="Obrázek 1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CE38E" w14:textId="77777777" w:rsidR="007624CC" w:rsidRDefault="007624CC" w:rsidP="00F757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FA0F" w14:textId="77777777" w:rsidR="000B202B" w:rsidRDefault="000B20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C8B1" w14:textId="77777777" w:rsidR="0069293B" w:rsidRDefault="0069293B" w:rsidP="00F75785">
      <w:r>
        <w:separator/>
      </w:r>
    </w:p>
  </w:footnote>
  <w:footnote w:type="continuationSeparator" w:id="0">
    <w:p w14:paraId="59483CEC" w14:textId="77777777" w:rsidR="0069293B" w:rsidRDefault="0069293B"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DF4D" w14:textId="77777777" w:rsidR="00AE4ED2" w:rsidRDefault="00AE4ED2">
    <w:pPr>
      <w:pStyle w:val="Zhlav"/>
    </w:pPr>
    <w:r>
      <w:rPr>
        <w:noProof/>
        <w:lang w:eastAsia="cs-CZ"/>
      </w:rPr>
      <w:drawing>
        <wp:inline distT="0" distB="0" distL="0" distR="0" wp14:anchorId="1C466BA7" wp14:editId="549C9FBD">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17A6" w14:textId="77777777" w:rsidR="007624CC" w:rsidRDefault="003B4870" w:rsidP="00F75785">
    <w:pPr>
      <w:pStyle w:val="Zhlav"/>
    </w:pPr>
    <w:r>
      <w:rPr>
        <w:noProof/>
      </w:rPr>
      <w:drawing>
        <wp:anchor distT="0" distB="0" distL="114300" distR="114300" simplePos="0" relativeHeight="251659264" behindDoc="1" locked="0" layoutInCell="1" allowOverlap="1" wp14:anchorId="17A8E6BC" wp14:editId="45A8824E">
          <wp:simplePos x="0" y="0"/>
          <wp:positionH relativeFrom="margin">
            <wp:posOffset>-645795</wp:posOffset>
          </wp:positionH>
          <wp:positionV relativeFrom="paragraph">
            <wp:posOffset>-507365</wp:posOffset>
          </wp:positionV>
          <wp:extent cx="7772402" cy="14859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2"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BD0" w14:textId="77777777" w:rsidR="000B202B" w:rsidRDefault="000B20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DA5"/>
    <w:multiLevelType w:val="hybridMultilevel"/>
    <w:tmpl w:val="B85E7F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392C2C"/>
    <w:multiLevelType w:val="multilevel"/>
    <w:tmpl w:val="4ABEBE64"/>
    <w:lvl w:ilvl="0">
      <w:start w:val="1"/>
      <w:numFmt w:val="decimal"/>
      <w:lvlText w:val="%1."/>
      <w:lvlJc w:val="left"/>
      <w:pPr>
        <w:ind w:left="349" w:hanging="708"/>
      </w:pPr>
      <w:rPr>
        <w:rFonts w:hint="default"/>
      </w:rPr>
    </w:lvl>
    <w:lvl w:ilvl="1">
      <w:start w:val="1"/>
      <w:numFmt w:val="decimal"/>
      <w:lvlText w:val="%1.%2."/>
      <w:lvlJc w:val="left"/>
      <w:pPr>
        <w:tabs>
          <w:tab w:val="num" w:pos="349"/>
        </w:tabs>
        <w:ind w:left="348" w:hanging="708"/>
      </w:pPr>
      <w:rPr>
        <w:rFonts w:hint="default"/>
      </w:rPr>
    </w:lvl>
    <w:lvl w:ilvl="2">
      <w:start w:val="1"/>
      <w:numFmt w:val="decimal"/>
      <w:lvlText w:val="%1.%2.%3."/>
      <w:lvlJc w:val="left"/>
      <w:pPr>
        <w:tabs>
          <w:tab w:val="num" w:pos="1058"/>
        </w:tabs>
        <w:ind w:left="1058" w:hanging="709"/>
      </w:pPr>
      <w:rPr>
        <w:rFonts w:hint="default"/>
      </w:rPr>
    </w:lvl>
    <w:lvl w:ilvl="3">
      <w:start w:val="1"/>
      <w:numFmt w:val="decimal"/>
      <w:lvlText w:val="%1.%2.%3.%4."/>
      <w:lvlJc w:val="left"/>
      <w:pPr>
        <w:tabs>
          <w:tab w:val="num" w:pos="-360"/>
        </w:tabs>
        <w:ind w:left="3042" w:hanging="708"/>
      </w:pPr>
      <w:rPr>
        <w:rFonts w:hint="default"/>
      </w:rPr>
    </w:lvl>
    <w:lvl w:ilvl="4">
      <w:start w:val="1"/>
      <w:numFmt w:val="decimal"/>
      <w:lvlText w:val="%1.%2.%3.%4.%5."/>
      <w:lvlJc w:val="left"/>
      <w:pPr>
        <w:tabs>
          <w:tab w:val="num" w:pos="-360"/>
        </w:tabs>
        <w:ind w:left="4602" w:hanging="708"/>
      </w:pPr>
      <w:rPr>
        <w:rFonts w:hint="default"/>
      </w:rPr>
    </w:lvl>
    <w:lvl w:ilvl="5">
      <w:start w:val="1"/>
      <w:numFmt w:val="decimal"/>
      <w:lvlText w:val="%1.%2.%3.%4.%5.%6."/>
      <w:lvlJc w:val="left"/>
      <w:pPr>
        <w:tabs>
          <w:tab w:val="num" w:pos="-360"/>
        </w:tabs>
        <w:ind w:left="5169" w:hanging="708"/>
      </w:pPr>
      <w:rPr>
        <w:rFonts w:hint="default"/>
      </w:rPr>
    </w:lvl>
    <w:lvl w:ilvl="6">
      <w:start w:val="1"/>
      <w:numFmt w:val="decimal"/>
      <w:lvlText w:val="%1.%2.%3.%4.%5.%6.%7."/>
      <w:lvlJc w:val="left"/>
      <w:pPr>
        <w:tabs>
          <w:tab w:val="num" w:pos="-360"/>
        </w:tabs>
        <w:ind w:left="4596" w:hanging="708"/>
      </w:pPr>
      <w:rPr>
        <w:rFonts w:hint="default"/>
      </w:rPr>
    </w:lvl>
    <w:lvl w:ilvl="7">
      <w:start w:val="1"/>
      <w:numFmt w:val="decimal"/>
      <w:lvlText w:val="%1.%2.%3.%4.%5.%6.%7.%8."/>
      <w:lvlJc w:val="left"/>
      <w:pPr>
        <w:tabs>
          <w:tab w:val="num" w:pos="-360"/>
        </w:tabs>
        <w:ind w:left="5304" w:hanging="708"/>
      </w:pPr>
      <w:rPr>
        <w:rFonts w:hint="default"/>
      </w:rPr>
    </w:lvl>
    <w:lvl w:ilvl="8">
      <w:start w:val="1"/>
      <w:numFmt w:val="decimal"/>
      <w:lvlText w:val="%1.%2.%3.%4.%5.%6.%7.%8.%9."/>
      <w:lvlJc w:val="left"/>
      <w:pPr>
        <w:tabs>
          <w:tab w:val="num" w:pos="-360"/>
        </w:tabs>
        <w:ind w:left="6012" w:hanging="708"/>
      </w:pPr>
      <w:rPr>
        <w:rFonts w:hint="default"/>
      </w:rPr>
    </w:lvl>
  </w:abstractNum>
  <w:abstractNum w:abstractNumId="2"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295ECC"/>
    <w:multiLevelType w:val="multilevel"/>
    <w:tmpl w:val="0DC46AEE"/>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A39E7"/>
    <w:multiLevelType w:val="hybridMultilevel"/>
    <w:tmpl w:val="DD2EA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C27AAA"/>
    <w:multiLevelType w:val="multilevel"/>
    <w:tmpl w:val="40F20E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1A7B27"/>
    <w:multiLevelType w:val="hybridMultilevel"/>
    <w:tmpl w:val="D1E26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8D0629"/>
    <w:multiLevelType w:val="multilevel"/>
    <w:tmpl w:val="13A03E28"/>
    <w:lvl w:ilvl="0">
      <w:start w:val="6"/>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5" w15:restartNumberingAfterBreak="0">
    <w:nsid w:val="6E685DAB"/>
    <w:multiLevelType w:val="hybridMultilevel"/>
    <w:tmpl w:val="D1E26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9768D8"/>
    <w:multiLevelType w:val="hybridMultilevel"/>
    <w:tmpl w:val="937A3128"/>
    <w:lvl w:ilvl="0" w:tplc="5CD023D2">
      <w:numFmt w:val="bullet"/>
      <w:lvlText w:val="-"/>
      <w:lvlJc w:val="left"/>
      <w:pPr>
        <w:ind w:left="720" w:hanging="360"/>
      </w:pPr>
      <w:rPr>
        <w:rFonts w:ascii="ArialMT" w:eastAsiaTheme="majorEastAsia"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9813827">
    <w:abstractNumId w:val="6"/>
  </w:num>
  <w:num w:numId="2" w16cid:durableId="169561863">
    <w:abstractNumId w:val="16"/>
  </w:num>
  <w:num w:numId="3" w16cid:durableId="2137486712">
    <w:abstractNumId w:val="13"/>
  </w:num>
  <w:num w:numId="4" w16cid:durableId="1959558314">
    <w:abstractNumId w:val="10"/>
  </w:num>
  <w:num w:numId="5" w16cid:durableId="55209231">
    <w:abstractNumId w:val="10"/>
  </w:num>
  <w:num w:numId="6" w16cid:durableId="2121559631">
    <w:abstractNumId w:val="10"/>
  </w:num>
  <w:num w:numId="7" w16cid:durableId="1005668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399149">
    <w:abstractNumId w:val="13"/>
    <w:lvlOverride w:ilvl="0">
      <w:startOverride w:val="1"/>
    </w:lvlOverride>
  </w:num>
  <w:num w:numId="9" w16cid:durableId="1650282396">
    <w:abstractNumId w:val="5"/>
  </w:num>
  <w:num w:numId="10" w16cid:durableId="30149481">
    <w:abstractNumId w:val="3"/>
  </w:num>
  <w:num w:numId="11" w16cid:durableId="1303778495">
    <w:abstractNumId w:val="14"/>
  </w:num>
  <w:num w:numId="12" w16cid:durableId="1433623222">
    <w:abstractNumId w:val="9"/>
  </w:num>
  <w:num w:numId="13" w16cid:durableId="1027216883">
    <w:abstractNumId w:val="2"/>
  </w:num>
  <w:num w:numId="14" w16cid:durableId="730538774">
    <w:abstractNumId w:val="17"/>
  </w:num>
  <w:num w:numId="15" w16cid:durableId="1089034973">
    <w:abstractNumId w:val="4"/>
  </w:num>
  <w:num w:numId="16" w16cid:durableId="1510675475">
    <w:abstractNumId w:val="1"/>
  </w:num>
  <w:num w:numId="17" w16cid:durableId="234751690">
    <w:abstractNumId w:val="8"/>
  </w:num>
  <w:num w:numId="18" w16cid:durableId="743525640">
    <w:abstractNumId w:val="7"/>
  </w:num>
  <w:num w:numId="19" w16cid:durableId="1512793594">
    <w:abstractNumId w:val="15"/>
  </w:num>
  <w:num w:numId="20" w16cid:durableId="1266379624">
    <w:abstractNumId w:val="11"/>
  </w:num>
  <w:num w:numId="21" w16cid:durableId="421032259">
    <w:abstractNumId w:val="0"/>
  </w:num>
  <w:num w:numId="22" w16cid:durableId="2039505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5B"/>
    <w:rsid w:val="00010C9B"/>
    <w:rsid w:val="00014BD4"/>
    <w:rsid w:val="000210A0"/>
    <w:rsid w:val="0002243C"/>
    <w:rsid w:val="00031ED6"/>
    <w:rsid w:val="000414AB"/>
    <w:rsid w:val="000432E2"/>
    <w:rsid w:val="0006202B"/>
    <w:rsid w:val="0006206B"/>
    <w:rsid w:val="00063E8A"/>
    <w:rsid w:val="00063F3A"/>
    <w:rsid w:val="00072F81"/>
    <w:rsid w:val="000A1110"/>
    <w:rsid w:val="000B202B"/>
    <w:rsid w:val="000C5939"/>
    <w:rsid w:val="000C7245"/>
    <w:rsid w:val="000D2A41"/>
    <w:rsid w:val="000D40E8"/>
    <w:rsid w:val="00113B9C"/>
    <w:rsid w:val="00124E80"/>
    <w:rsid w:val="00130407"/>
    <w:rsid w:val="00132AA7"/>
    <w:rsid w:val="00151317"/>
    <w:rsid w:val="00163FD3"/>
    <w:rsid w:val="00176F08"/>
    <w:rsid w:val="001933AC"/>
    <w:rsid w:val="00193B1D"/>
    <w:rsid w:val="001A1BE5"/>
    <w:rsid w:val="001C0809"/>
    <w:rsid w:val="001D3959"/>
    <w:rsid w:val="001D7186"/>
    <w:rsid w:val="001E07AB"/>
    <w:rsid w:val="001E4DB1"/>
    <w:rsid w:val="001F2908"/>
    <w:rsid w:val="001F388A"/>
    <w:rsid w:val="001F6AF5"/>
    <w:rsid w:val="0020390B"/>
    <w:rsid w:val="00213B88"/>
    <w:rsid w:val="00224473"/>
    <w:rsid w:val="002314F1"/>
    <w:rsid w:val="00241748"/>
    <w:rsid w:val="00256CFA"/>
    <w:rsid w:val="00267F5B"/>
    <w:rsid w:val="002860C8"/>
    <w:rsid w:val="00296B14"/>
    <w:rsid w:val="002A048F"/>
    <w:rsid w:val="002C4AFA"/>
    <w:rsid w:val="002D140D"/>
    <w:rsid w:val="002E18C5"/>
    <w:rsid w:val="002F2D7B"/>
    <w:rsid w:val="00320449"/>
    <w:rsid w:val="0033292C"/>
    <w:rsid w:val="0033471D"/>
    <w:rsid w:val="003410C8"/>
    <w:rsid w:val="00353FC2"/>
    <w:rsid w:val="00364011"/>
    <w:rsid w:val="0037428E"/>
    <w:rsid w:val="003760AE"/>
    <w:rsid w:val="003A1B9B"/>
    <w:rsid w:val="003A4D63"/>
    <w:rsid w:val="003A57BF"/>
    <w:rsid w:val="003B4870"/>
    <w:rsid w:val="003D2C69"/>
    <w:rsid w:val="003D53C4"/>
    <w:rsid w:val="003E2A43"/>
    <w:rsid w:val="003F5260"/>
    <w:rsid w:val="0040408E"/>
    <w:rsid w:val="00413B65"/>
    <w:rsid w:val="00422D75"/>
    <w:rsid w:val="00424B1C"/>
    <w:rsid w:val="00436935"/>
    <w:rsid w:val="00466764"/>
    <w:rsid w:val="00496E62"/>
    <w:rsid w:val="004B2810"/>
    <w:rsid w:val="004B43B5"/>
    <w:rsid w:val="004C30A3"/>
    <w:rsid w:val="004D1FB1"/>
    <w:rsid w:val="004E6B44"/>
    <w:rsid w:val="004E6BC5"/>
    <w:rsid w:val="004F196D"/>
    <w:rsid w:val="00502BF6"/>
    <w:rsid w:val="00515D16"/>
    <w:rsid w:val="0051638D"/>
    <w:rsid w:val="00517C26"/>
    <w:rsid w:val="00527E85"/>
    <w:rsid w:val="00534EF8"/>
    <w:rsid w:val="005538A8"/>
    <w:rsid w:val="00563D10"/>
    <w:rsid w:val="00576403"/>
    <w:rsid w:val="00581111"/>
    <w:rsid w:val="005952A8"/>
    <w:rsid w:val="005A03A3"/>
    <w:rsid w:val="005B1DDF"/>
    <w:rsid w:val="005B37CB"/>
    <w:rsid w:val="005E1609"/>
    <w:rsid w:val="005E34E6"/>
    <w:rsid w:val="0060097C"/>
    <w:rsid w:val="00606CF7"/>
    <w:rsid w:val="0062413F"/>
    <w:rsid w:val="00635144"/>
    <w:rsid w:val="006374B7"/>
    <w:rsid w:val="00654273"/>
    <w:rsid w:val="0066713C"/>
    <w:rsid w:val="006924C3"/>
    <w:rsid w:val="0069293B"/>
    <w:rsid w:val="00693A03"/>
    <w:rsid w:val="006A0681"/>
    <w:rsid w:val="006A2052"/>
    <w:rsid w:val="006B5EF3"/>
    <w:rsid w:val="006C22F4"/>
    <w:rsid w:val="006D6F45"/>
    <w:rsid w:val="006D75AA"/>
    <w:rsid w:val="006E4D3A"/>
    <w:rsid w:val="006F57A3"/>
    <w:rsid w:val="006F7190"/>
    <w:rsid w:val="00706222"/>
    <w:rsid w:val="00714F36"/>
    <w:rsid w:val="007216FD"/>
    <w:rsid w:val="00741DB4"/>
    <w:rsid w:val="00750B8B"/>
    <w:rsid w:val="00761686"/>
    <w:rsid w:val="007624CC"/>
    <w:rsid w:val="007740B1"/>
    <w:rsid w:val="007810E8"/>
    <w:rsid w:val="007932F7"/>
    <w:rsid w:val="00795D71"/>
    <w:rsid w:val="007B5C2D"/>
    <w:rsid w:val="007D085B"/>
    <w:rsid w:val="007E04B2"/>
    <w:rsid w:val="0080372D"/>
    <w:rsid w:val="008365AC"/>
    <w:rsid w:val="008536A7"/>
    <w:rsid w:val="00880051"/>
    <w:rsid w:val="00896938"/>
    <w:rsid w:val="008B6CB0"/>
    <w:rsid w:val="008D4DAE"/>
    <w:rsid w:val="008D6DF4"/>
    <w:rsid w:val="008E199F"/>
    <w:rsid w:val="00912613"/>
    <w:rsid w:val="00914195"/>
    <w:rsid w:val="00914FB6"/>
    <w:rsid w:val="00916B23"/>
    <w:rsid w:val="00922599"/>
    <w:rsid w:val="00942053"/>
    <w:rsid w:val="00944A28"/>
    <w:rsid w:val="00944E2C"/>
    <w:rsid w:val="0094542D"/>
    <w:rsid w:val="00953AA7"/>
    <w:rsid w:val="00967B03"/>
    <w:rsid w:val="00972801"/>
    <w:rsid w:val="00975F7B"/>
    <w:rsid w:val="00983C95"/>
    <w:rsid w:val="00993184"/>
    <w:rsid w:val="009B34D1"/>
    <w:rsid w:val="009B3BE0"/>
    <w:rsid w:val="009F07E7"/>
    <w:rsid w:val="009F5BCB"/>
    <w:rsid w:val="00A0748F"/>
    <w:rsid w:val="00A1181E"/>
    <w:rsid w:val="00A326DF"/>
    <w:rsid w:val="00A33CA2"/>
    <w:rsid w:val="00A4119A"/>
    <w:rsid w:val="00A5226C"/>
    <w:rsid w:val="00A60273"/>
    <w:rsid w:val="00A65E2F"/>
    <w:rsid w:val="00A906DF"/>
    <w:rsid w:val="00AB3536"/>
    <w:rsid w:val="00AB6B63"/>
    <w:rsid w:val="00AC5261"/>
    <w:rsid w:val="00AD2F6B"/>
    <w:rsid w:val="00AE4ED2"/>
    <w:rsid w:val="00B02CD2"/>
    <w:rsid w:val="00B110E6"/>
    <w:rsid w:val="00B11238"/>
    <w:rsid w:val="00B134BB"/>
    <w:rsid w:val="00B220C9"/>
    <w:rsid w:val="00B315D0"/>
    <w:rsid w:val="00B426C6"/>
    <w:rsid w:val="00B51343"/>
    <w:rsid w:val="00B54F53"/>
    <w:rsid w:val="00B86BD2"/>
    <w:rsid w:val="00BA253E"/>
    <w:rsid w:val="00BB03FD"/>
    <w:rsid w:val="00BC0035"/>
    <w:rsid w:val="00BC1D98"/>
    <w:rsid w:val="00C07DE8"/>
    <w:rsid w:val="00C3295E"/>
    <w:rsid w:val="00C37EC2"/>
    <w:rsid w:val="00C478D1"/>
    <w:rsid w:val="00C47A56"/>
    <w:rsid w:val="00C75325"/>
    <w:rsid w:val="00C7779A"/>
    <w:rsid w:val="00C80DE0"/>
    <w:rsid w:val="00C8320E"/>
    <w:rsid w:val="00CC351F"/>
    <w:rsid w:val="00CF1317"/>
    <w:rsid w:val="00CF4962"/>
    <w:rsid w:val="00CF68B5"/>
    <w:rsid w:val="00D128FD"/>
    <w:rsid w:val="00D32FF8"/>
    <w:rsid w:val="00D777DF"/>
    <w:rsid w:val="00DB5F1E"/>
    <w:rsid w:val="00DB7459"/>
    <w:rsid w:val="00DC16E2"/>
    <w:rsid w:val="00DD11C4"/>
    <w:rsid w:val="00DD2DF1"/>
    <w:rsid w:val="00DD5F86"/>
    <w:rsid w:val="00DD78E6"/>
    <w:rsid w:val="00E2561D"/>
    <w:rsid w:val="00E2654A"/>
    <w:rsid w:val="00E41F52"/>
    <w:rsid w:val="00E67BA5"/>
    <w:rsid w:val="00E704B0"/>
    <w:rsid w:val="00EA10BD"/>
    <w:rsid w:val="00EB5176"/>
    <w:rsid w:val="00EC6E39"/>
    <w:rsid w:val="00EE02AB"/>
    <w:rsid w:val="00EE6A2E"/>
    <w:rsid w:val="00EF3640"/>
    <w:rsid w:val="00F02511"/>
    <w:rsid w:val="00F5315D"/>
    <w:rsid w:val="00F66A5D"/>
    <w:rsid w:val="00F75785"/>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9B1B"/>
  <w15:docId w15:val="{9FCBA3DA-D834-4D2C-9A97-A307FC3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1">
    <w:name w:val="Podnadpis1"/>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table" w:styleId="Svtlmkazvraznn2">
    <w:name w:val="Light Grid Accent 2"/>
    <w:basedOn w:val="Normlntabulka"/>
    <w:uiPriority w:val="62"/>
    <w:rsid w:val="00C8320E"/>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table" w:styleId="Prosttabulka2">
    <w:name w:val="Plain Table 2"/>
    <w:basedOn w:val="Normlntabulka"/>
    <w:uiPriority w:val="42"/>
    <w:rsid w:val="00C8320E"/>
    <w:tblPr>
      <w:tblStyleRowBandSize w:val="1"/>
      <w:tblStyleColBandSize w:val="1"/>
      <w:tblBorders>
        <w:top w:val="single" w:sz="4" w:space="0" w:color="B2B2B2" w:themeColor="text1" w:themeTint="80"/>
        <w:bottom w:val="single" w:sz="4" w:space="0" w:color="B2B2B2" w:themeColor="text1" w:themeTint="80"/>
      </w:tblBorders>
    </w:tblPr>
    <w:tblStylePr w:type="firstRow">
      <w:rPr>
        <w:b/>
        <w:bCs/>
      </w:rPr>
      <w:tblPr/>
      <w:tcPr>
        <w:tcBorders>
          <w:bottom w:val="single" w:sz="4" w:space="0" w:color="B2B2B2" w:themeColor="text1" w:themeTint="80"/>
        </w:tcBorders>
      </w:tcPr>
    </w:tblStylePr>
    <w:tblStylePr w:type="lastRow">
      <w:rPr>
        <w:b/>
        <w:bCs/>
      </w:rPr>
      <w:tblPr/>
      <w:tcPr>
        <w:tcBorders>
          <w:top w:val="single" w:sz="4" w:space="0" w:color="B2B2B2" w:themeColor="text1" w:themeTint="80"/>
        </w:tcBorders>
      </w:tcPr>
    </w:tblStylePr>
    <w:tblStylePr w:type="firstCol">
      <w:rPr>
        <w:b/>
        <w:bCs/>
      </w:rPr>
    </w:tblStylePr>
    <w:tblStylePr w:type="lastCol">
      <w:rPr>
        <w:b/>
        <w:bCs/>
      </w:rPr>
    </w:tblStylePr>
    <w:tblStylePr w:type="band1Vert">
      <w:tblPr/>
      <w:tcPr>
        <w:tcBorders>
          <w:left w:val="single" w:sz="4" w:space="0" w:color="B2B2B2" w:themeColor="text1" w:themeTint="80"/>
          <w:right w:val="single" w:sz="4" w:space="0" w:color="B2B2B2" w:themeColor="text1" w:themeTint="80"/>
        </w:tcBorders>
      </w:tcPr>
    </w:tblStylePr>
    <w:tblStylePr w:type="band2Vert">
      <w:tblPr/>
      <w:tcPr>
        <w:tcBorders>
          <w:left w:val="single" w:sz="4" w:space="0" w:color="B2B2B2" w:themeColor="text1" w:themeTint="80"/>
          <w:right w:val="single" w:sz="4" w:space="0" w:color="B2B2B2" w:themeColor="text1" w:themeTint="80"/>
        </w:tcBorders>
      </w:tcPr>
    </w:tblStylePr>
    <w:tblStylePr w:type="band1Horz">
      <w:tblPr/>
      <w:tcPr>
        <w:tcBorders>
          <w:top w:val="single" w:sz="4" w:space="0" w:color="B2B2B2" w:themeColor="text1" w:themeTint="80"/>
          <w:bottom w:val="single" w:sz="4" w:space="0" w:color="B2B2B2" w:themeColor="text1" w:themeTint="80"/>
        </w:tcBorders>
      </w:tcPr>
    </w:tblStylePr>
  </w:style>
  <w:style w:type="paragraph" w:customStyle="1" w:styleId="PodPodNadpis">
    <w:name w:val="PodPodNadpis"/>
    <w:basedOn w:val="Odstavecseseznamem"/>
    <w:link w:val="PodPodNadpisChar"/>
    <w:qFormat/>
    <w:rsid w:val="00502BF6"/>
    <w:pPr>
      <w:tabs>
        <w:tab w:val="num" w:pos="1276"/>
      </w:tabs>
      <w:spacing w:before="120" w:after="120"/>
      <w:ind w:left="1276" w:hanging="709"/>
      <w:contextualSpacing w:val="0"/>
    </w:pPr>
  </w:style>
  <w:style w:type="character" w:customStyle="1" w:styleId="PodPodNadpisChar">
    <w:name w:val="PodPodNadpis Char"/>
    <w:basedOn w:val="OdstavecseseznamemChar"/>
    <w:link w:val="PodPodNadpis"/>
    <w:rsid w:val="00502BF6"/>
    <w:rPr>
      <w:rFonts w:ascii="ArialMT" w:hAnsi="ArialMT" w:cs="ArialMT"/>
      <w:color w:val="4A4A4A"/>
      <w:lang w:eastAsia="en-US"/>
    </w:rPr>
  </w:style>
  <w:style w:type="paragraph" w:customStyle="1" w:styleId="Titulka">
    <w:name w:val="Titulka"/>
    <w:basedOn w:val="Textbubliny"/>
    <w:link w:val="TitulkaChar"/>
    <w:autoRedefine/>
    <w:qFormat/>
    <w:rsid w:val="003B4870"/>
    <w:pPr>
      <w:autoSpaceDE/>
      <w:autoSpaceDN/>
      <w:adjustRightInd/>
      <w:spacing w:line="276" w:lineRule="auto"/>
      <w:jc w:val="right"/>
    </w:pPr>
    <w:rPr>
      <w:rFonts w:ascii="NettoPro-Bold" w:eastAsia="NettoPro" w:hAnsi="NettoPro-Bold" w:cs="NettoPro-Bold"/>
      <w:color w:val="00A3E2"/>
      <w:sz w:val="56"/>
      <w:szCs w:val="40"/>
      <w:lang w:eastAsia="cs-CZ"/>
    </w:rPr>
  </w:style>
  <w:style w:type="character" w:customStyle="1" w:styleId="TitulkaChar">
    <w:name w:val="Titulka Char"/>
    <w:link w:val="Titulka"/>
    <w:rsid w:val="003B4870"/>
    <w:rPr>
      <w:rFonts w:ascii="NettoPro-Bold" w:eastAsia="NettoPro" w:hAnsi="NettoPro-Bold" w:cs="NettoPro-Bold"/>
      <w:color w:val="00A3E2"/>
      <w:sz w:val="56"/>
      <w:szCs w:val="40"/>
    </w:rPr>
  </w:style>
  <w:style w:type="paragraph" w:styleId="Zkladntext2">
    <w:name w:val="Body Text 2"/>
    <w:basedOn w:val="Normln"/>
    <w:link w:val="Zkladntext2Char"/>
    <w:uiPriority w:val="99"/>
    <w:semiHidden/>
    <w:unhideWhenUsed/>
    <w:rsid w:val="00693A03"/>
    <w:pPr>
      <w:spacing w:after="120" w:line="480" w:lineRule="auto"/>
    </w:pPr>
  </w:style>
  <w:style w:type="character" w:customStyle="1" w:styleId="Zkladntext2Char">
    <w:name w:val="Základní text 2 Char"/>
    <w:basedOn w:val="Standardnpsmoodstavce"/>
    <w:link w:val="Zkladntext2"/>
    <w:uiPriority w:val="99"/>
    <w:semiHidden/>
    <w:rsid w:val="00693A03"/>
    <w:rPr>
      <w:rFonts w:ascii="ArialMT" w:hAnsi="ArialMT" w:cs="ArialMT"/>
      <w:color w:val="4A4A4A"/>
      <w:lang w:eastAsia="en-US"/>
    </w:rPr>
  </w:style>
  <w:style w:type="paragraph" w:styleId="Seznam">
    <w:name w:val="List"/>
    <w:basedOn w:val="Normln"/>
    <w:rsid w:val="00693A03"/>
    <w:pPr>
      <w:widowControl w:val="0"/>
      <w:autoSpaceDE/>
      <w:autoSpaceDN/>
      <w:adjustRightInd/>
      <w:spacing w:line="240" w:lineRule="auto"/>
      <w:ind w:left="283" w:hanging="283"/>
    </w:pPr>
    <w:rPr>
      <w:rFonts w:ascii="Arial" w:eastAsia="Times New Roman" w:hAnsi="Arial" w:cs="Times New Roman"/>
      <w:color w:val="auto"/>
      <w:lang w:eastAsia="cs-CZ"/>
    </w:rPr>
  </w:style>
  <w:style w:type="character" w:customStyle="1" w:styleId="TitulChar">
    <w:name w:val="Titul Char"/>
    <w:link w:val="Titul"/>
    <w:rsid w:val="00693A03"/>
    <w:rPr>
      <w:rFonts w:ascii="Arial-BoldMT" w:hAnsi="Arial-BoldMT" w:cs="Arial-BoldMT"/>
      <w:b/>
      <w:bCs/>
      <w:caps/>
      <w:color w:val="4A4A4A"/>
      <w:sz w:val="64"/>
      <w:szCs w:val="64"/>
      <w:lang w:eastAsia="en-US"/>
    </w:rPr>
  </w:style>
  <w:style w:type="character" w:styleId="Nevyeenzmnka">
    <w:name w:val="Unresolved Mention"/>
    <w:basedOn w:val="Standardnpsmoodstavce"/>
    <w:uiPriority w:val="99"/>
    <w:semiHidden/>
    <w:unhideWhenUsed/>
    <w:rsid w:val="001D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4218">
      <w:bodyDiv w:val="1"/>
      <w:marLeft w:val="0"/>
      <w:marRight w:val="0"/>
      <w:marTop w:val="0"/>
      <w:marBottom w:val="0"/>
      <w:divBdr>
        <w:top w:val="none" w:sz="0" w:space="0" w:color="auto"/>
        <w:left w:val="none" w:sz="0" w:space="0" w:color="auto"/>
        <w:bottom w:val="none" w:sz="0" w:space="0" w:color="auto"/>
        <w:right w:val="none" w:sz="0" w:space="0" w:color="auto"/>
      </w:divBdr>
    </w:div>
    <w:div w:id="2283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vonavkova@dpnoparan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3.xml><?xml version="1.0" encoding="utf-8"?>
<ds:datastoreItem xmlns:ds="http://schemas.openxmlformats.org/officeDocument/2006/customXml" ds:itemID="{88E6A6C5-B1CE-493D-A159-6C6C4E0F282E}">
  <ds:schemaRefs>
    <ds:schemaRef ds:uri="http://schemas.openxmlformats.org/officeDocument/2006/bibliography"/>
  </ds:schemaRefs>
</ds:datastoreItem>
</file>

<file path=customXml/itemProps4.xml><?xml version="1.0" encoding="utf-8"?>
<ds:datastoreItem xmlns:ds="http://schemas.openxmlformats.org/officeDocument/2006/customXml" ds:itemID="{679AAB0E-309B-4BF3-BA97-C843CA3B73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2807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jana.vonavkova@dpnoparany.cz</cp:lastModifiedBy>
  <cp:revision>2</cp:revision>
  <cp:lastPrinted>2014-10-27T11:57:00Z</cp:lastPrinted>
  <dcterms:created xsi:type="dcterms:W3CDTF">2022-11-03T14:07:00Z</dcterms:created>
  <dcterms:modified xsi:type="dcterms:W3CDTF">2022-11-03T14:07:00Z</dcterms:modified>
</cp:coreProperties>
</file>