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56ABBC0A" w:rsidR="004C0750" w:rsidRPr="00432749" w:rsidRDefault="004C0750" w:rsidP="004C0750">
      <w:pPr>
        <w:pStyle w:val="TextnormlnPVL"/>
        <w:jc w:val="center"/>
        <w:rPr>
          <w:sz w:val="22"/>
          <w:szCs w:val="22"/>
          <w:lang w:val="cs-CZ"/>
        </w:rPr>
      </w:pPr>
      <w:r w:rsidRPr="000773B4">
        <w:rPr>
          <w:sz w:val="22"/>
          <w:szCs w:val="22"/>
        </w:rPr>
        <w:t>Číslo smlouvy objednatele:</w:t>
      </w:r>
      <w:r w:rsidRPr="000773B4">
        <w:rPr>
          <w:sz w:val="22"/>
          <w:szCs w:val="22"/>
        </w:rPr>
        <w:tab/>
      </w:r>
      <w:r w:rsidR="00432749" w:rsidRPr="00432749">
        <w:rPr>
          <w:b/>
          <w:sz w:val="22"/>
          <w:szCs w:val="22"/>
          <w:lang w:val="cs-CZ"/>
        </w:rPr>
        <w:t>1147/2022</w:t>
      </w:r>
    </w:p>
    <w:p w14:paraId="3730AF1D" w14:textId="152E4EC8" w:rsidR="008E3236" w:rsidRPr="00D74A50" w:rsidRDefault="004C0750" w:rsidP="004C0750">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66862BD0" w14:textId="18908E1E" w:rsidR="00044938" w:rsidRPr="00F01557" w:rsidRDefault="004C0750" w:rsidP="00044938">
      <w:pPr>
        <w:jc w:val="center"/>
        <w:rPr>
          <w:rFonts w:cs="Arial"/>
        </w:rPr>
      </w:pPr>
      <w:r w:rsidRPr="00BE1E0D">
        <w:rPr>
          <w:rFonts w:cs="Arial"/>
          <w:b/>
          <w:sz w:val="24"/>
        </w:rPr>
        <w:t>„</w:t>
      </w:r>
      <w:r w:rsidR="00044938" w:rsidRPr="00586703">
        <w:rPr>
          <w:rFonts w:cs="Arial"/>
          <w:b/>
        </w:rPr>
        <w:t xml:space="preserve">VD Kadaň </w:t>
      </w:r>
      <w:r w:rsidR="005D792B" w:rsidRPr="005D792B">
        <w:rPr>
          <w:rFonts w:ascii="Times New Roman" w:hAnsi="Times New Roman"/>
          <w:b/>
        </w:rPr>
        <w:t>˗</w:t>
      </w:r>
      <w:r w:rsidR="00044938" w:rsidRPr="005D792B">
        <w:rPr>
          <w:rFonts w:cs="Arial"/>
          <w:b/>
        </w:rPr>
        <w:t xml:space="preserve"> </w:t>
      </w:r>
      <w:r w:rsidR="00044938" w:rsidRPr="00586703">
        <w:rPr>
          <w:rFonts w:cs="Arial"/>
          <w:b/>
        </w:rPr>
        <w:t>trámce pro hydraulický nakl</w:t>
      </w:r>
      <w:r w:rsidR="00044938">
        <w:rPr>
          <w:rFonts w:cs="Arial"/>
          <w:b/>
        </w:rPr>
        <w:t>á</w:t>
      </w:r>
      <w:r w:rsidR="00044938" w:rsidRPr="00586703">
        <w:rPr>
          <w:rFonts w:cs="Arial"/>
          <w:b/>
        </w:rPr>
        <w:t>dací jeřáb</w:t>
      </w:r>
      <w:r w:rsidR="00044938">
        <w:rPr>
          <w:rFonts w:cs="Arial"/>
          <w:b/>
        </w:rPr>
        <w:t xml:space="preserve"> </w:t>
      </w:r>
      <w:r w:rsidR="005D792B" w:rsidRPr="005D792B">
        <w:rPr>
          <w:rFonts w:ascii="Times New Roman" w:hAnsi="Times New Roman"/>
          <w:bCs/>
        </w:rPr>
        <w:t>˗</w:t>
      </w:r>
      <w:r w:rsidR="00044938">
        <w:rPr>
          <w:rFonts w:cs="Arial"/>
          <w:b/>
        </w:rPr>
        <w:t xml:space="preserve"> II.</w:t>
      </w:r>
      <w:r w:rsidR="005D792B">
        <w:rPr>
          <w:rFonts w:cs="Arial"/>
          <w:b/>
        </w:rPr>
        <w:t xml:space="preserve"> </w:t>
      </w:r>
      <w:r w:rsidR="00044938">
        <w:rPr>
          <w:rFonts w:cs="Arial"/>
          <w:b/>
        </w:rPr>
        <w:t xml:space="preserve">etapa“ </w:t>
      </w:r>
      <w:r w:rsidR="005D792B" w:rsidRPr="005D792B">
        <w:rPr>
          <w:rFonts w:ascii="Times New Roman" w:hAnsi="Times New Roman"/>
          <w:bCs/>
        </w:rPr>
        <w:t>˗</w:t>
      </w:r>
      <w:r w:rsidR="005D792B" w:rsidRPr="00F01557">
        <w:rPr>
          <w:rFonts w:cs="Arial"/>
          <w:b/>
        </w:rPr>
        <w:t xml:space="preserve"> </w:t>
      </w:r>
      <w:r w:rsidR="00044938" w:rsidRPr="00F01557">
        <w:rPr>
          <w:rFonts w:cs="Arial"/>
          <w:b/>
        </w:rPr>
        <w:t>projektová dokumentace</w:t>
      </w:r>
      <w:r w:rsidR="00044938">
        <w:rPr>
          <w:rFonts w:cs="Arial"/>
          <w:b/>
        </w:rPr>
        <w:t xml:space="preserve"> (DS</w:t>
      </w:r>
      <w:r w:rsidR="00D25936">
        <w:rPr>
          <w:rFonts w:cs="Arial"/>
          <w:b/>
        </w:rPr>
        <w:t>P/DPS</w:t>
      </w:r>
      <w:r w:rsidR="00044938">
        <w:rPr>
          <w:rFonts w:cs="Arial"/>
          <w:b/>
        </w:rPr>
        <w:t>)</w:t>
      </w:r>
    </w:p>
    <w:p w14:paraId="444BA6CD" w14:textId="77777777" w:rsidR="00044938" w:rsidRPr="0037134D" w:rsidRDefault="00044938" w:rsidP="00044938">
      <w:pPr>
        <w:tabs>
          <w:tab w:val="left" w:pos="4080"/>
        </w:tabs>
        <w:rPr>
          <w:rFonts w:cs="Arial"/>
          <w:b/>
          <w:szCs w:val="22"/>
        </w:rPr>
      </w:pPr>
    </w:p>
    <w:p w14:paraId="152FD26C" w14:textId="77777777" w:rsidR="008E3236" w:rsidRPr="00BE1E0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7644582A"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36F73DB1"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02A888B0"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4BF77810" w14:textId="16907113" w:rsidR="00044938" w:rsidRPr="00486596" w:rsidRDefault="00D25936" w:rsidP="00B22AAA">
      <w:pPr>
        <w:tabs>
          <w:tab w:val="left" w:pos="3960"/>
        </w:tabs>
        <w:ind w:left="3969" w:hanging="3969"/>
        <w:rPr>
          <w:rFonts w:cs="Arial"/>
          <w:szCs w:val="22"/>
        </w:rPr>
      </w:pPr>
      <w:r>
        <w:rPr>
          <w:rFonts w:ascii="Arial CE" w:hAnsi="Arial CE" w:cs="Arial"/>
          <w:b/>
          <w:color w:val="000000"/>
          <w:szCs w:val="22"/>
        </w:rPr>
        <w:t>Z</w:t>
      </w:r>
      <w:r w:rsidR="00A62F99" w:rsidRPr="00D25936">
        <w:rPr>
          <w:rFonts w:ascii="Arial CE" w:hAnsi="Arial CE" w:cs="Arial"/>
          <w:b/>
          <w:color w:val="000000"/>
          <w:szCs w:val="22"/>
        </w:rPr>
        <w:t>ástupce objednatele:</w:t>
      </w:r>
      <w:r w:rsidR="00A62F99" w:rsidRPr="004C0750">
        <w:rPr>
          <w:rFonts w:cs="Arial"/>
          <w:color w:val="000000"/>
          <w:szCs w:val="22"/>
        </w:rPr>
        <w:tab/>
      </w:r>
    </w:p>
    <w:p w14:paraId="546748DD" w14:textId="77777777" w:rsidR="00943DE0" w:rsidRDefault="00943DE0" w:rsidP="00E93E81">
      <w:pPr>
        <w:tabs>
          <w:tab w:val="left" w:pos="3960"/>
        </w:tabs>
        <w:rPr>
          <w:rFonts w:cs="Arial"/>
          <w:szCs w:val="22"/>
        </w:rPr>
      </w:pPr>
    </w:p>
    <w:p w14:paraId="71835F0F" w14:textId="3E4EB508"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6C83B731"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402AFACF" w14:textId="77777777" w:rsidR="00044938" w:rsidRDefault="00044938" w:rsidP="00044938">
      <w:pPr>
        <w:tabs>
          <w:tab w:val="left" w:pos="3960"/>
        </w:tabs>
        <w:ind w:left="3960" w:hanging="3960"/>
        <w:rPr>
          <w:rFonts w:cs="Arial"/>
          <w:b/>
          <w:szCs w:val="22"/>
        </w:rPr>
      </w:pPr>
      <w:r>
        <w:rPr>
          <w:rFonts w:cs="Arial"/>
          <w:b/>
          <w:szCs w:val="22"/>
        </w:rPr>
        <w:t>Zhotovitel</w:t>
      </w:r>
      <w:r w:rsidRPr="00386410">
        <w:rPr>
          <w:rFonts w:cs="Arial"/>
          <w:b/>
          <w:szCs w:val="22"/>
        </w:rPr>
        <w:t>:</w:t>
      </w:r>
      <w:r>
        <w:rPr>
          <w:rFonts w:cs="Arial"/>
          <w:b/>
          <w:szCs w:val="22"/>
        </w:rPr>
        <w:tab/>
        <w:t>„VP PROJEKTING“ s.r.o.</w:t>
      </w:r>
    </w:p>
    <w:p w14:paraId="4BE4B323" w14:textId="77777777" w:rsidR="00044938" w:rsidRPr="00386410" w:rsidRDefault="00044938" w:rsidP="00044938">
      <w:pPr>
        <w:tabs>
          <w:tab w:val="left" w:pos="3960"/>
        </w:tabs>
        <w:ind w:left="3960" w:hanging="3960"/>
        <w:rPr>
          <w:rFonts w:cs="Arial"/>
          <w:b/>
          <w:szCs w:val="22"/>
        </w:rPr>
      </w:pPr>
      <w:r>
        <w:rPr>
          <w:rFonts w:cs="Arial"/>
          <w:b/>
          <w:szCs w:val="22"/>
        </w:rPr>
        <w:tab/>
        <w:t xml:space="preserve">projekční a inženýrská činnost </w:t>
      </w:r>
    </w:p>
    <w:p w14:paraId="1FB91AB0" w14:textId="77777777" w:rsidR="00044938" w:rsidRDefault="00044938" w:rsidP="00044938">
      <w:pPr>
        <w:tabs>
          <w:tab w:val="left" w:pos="3960"/>
        </w:tabs>
        <w:rPr>
          <w:rFonts w:cs="Arial"/>
          <w:szCs w:val="22"/>
        </w:rPr>
      </w:pPr>
      <w:r>
        <w:rPr>
          <w:rFonts w:cs="Arial"/>
          <w:szCs w:val="22"/>
        </w:rPr>
        <w:t>sídlo:</w:t>
      </w:r>
      <w:r>
        <w:rPr>
          <w:rFonts w:cs="Arial"/>
          <w:szCs w:val="22"/>
        </w:rPr>
        <w:tab/>
      </w:r>
      <w:bookmarkStart w:id="0" w:name="_Hlk54860651"/>
      <w:r>
        <w:rPr>
          <w:rFonts w:cs="Arial"/>
          <w:szCs w:val="22"/>
        </w:rPr>
        <w:t>Přemyslova 84/3, 120 00 Praha 2</w:t>
      </w:r>
      <w:bookmarkEnd w:id="0"/>
    </w:p>
    <w:p w14:paraId="1B4184AB" w14:textId="1417B0FD" w:rsidR="00044938" w:rsidRPr="00A5060B" w:rsidRDefault="00044938" w:rsidP="00044938">
      <w:pPr>
        <w:ind w:left="2832" w:firstLine="708"/>
        <w:rPr>
          <w:rFonts w:cs="Arial"/>
          <w:szCs w:val="22"/>
        </w:rPr>
      </w:pPr>
      <w:r w:rsidRPr="00A5060B">
        <w:rPr>
          <w:rFonts w:cs="Arial"/>
          <w:szCs w:val="22"/>
        </w:rPr>
        <w:t xml:space="preserve">      </w:t>
      </w:r>
      <w:r>
        <w:rPr>
          <w:rFonts w:cs="Arial"/>
          <w:szCs w:val="22"/>
        </w:rPr>
        <w:t xml:space="preserve"> </w:t>
      </w:r>
    </w:p>
    <w:p w14:paraId="3B8B4679" w14:textId="77777777" w:rsidR="00044938" w:rsidRPr="00B95B66" w:rsidRDefault="00044938" w:rsidP="00044938">
      <w:pPr>
        <w:tabs>
          <w:tab w:val="left" w:pos="3960"/>
        </w:tabs>
        <w:rPr>
          <w:rFonts w:cs="Arial"/>
          <w:szCs w:val="22"/>
        </w:rPr>
      </w:pPr>
      <w:bookmarkStart w:id="1" w:name="_Hlk54860620"/>
      <w:r w:rsidRPr="00B95B66">
        <w:rPr>
          <w:rFonts w:cs="Arial"/>
          <w:szCs w:val="22"/>
        </w:rPr>
        <w:t>IČO:</w:t>
      </w:r>
      <w:r w:rsidRPr="00B95B66">
        <w:rPr>
          <w:rFonts w:cs="Arial"/>
          <w:szCs w:val="22"/>
        </w:rPr>
        <w:tab/>
        <w:t>63676907</w:t>
      </w:r>
      <w:r w:rsidRPr="00B95B66">
        <w:rPr>
          <w:rFonts w:cs="Arial"/>
          <w:szCs w:val="22"/>
        </w:rPr>
        <w:tab/>
      </w:r>
    </w:p>
    <w:bookmarkEnd w:id="1"/>
    <w:p w14:paraId="691B6C31" w14:textId="77777777" w:rsidR="00044938" w:rsidRPr="00B95B66" w:rsidRDefault="00044938" w:rsidP="00044938">
      <w:pPr>
        <w:tabs>
          <w:tab w:val="left" w:pos="3960"/>
        </w:tabs>
        <w:rPr>
          <w:rFonts w:cs="Arial"/>
          <w:szCs w:val="22"/>
        </w:rPr>
      </w:pPr>
      <w:r w:rsidRPr="00B95B66">
        <w:rPr>
          <w:rFonts w:cs="Arial"/>
          <w:szCs w:val="22"/>
        </w:rPr>
        <w:t>DIČ:</w:t>
      </w:r>
      <w:r w:rsidRPr="00B95B66">
        <w:rPr>
          <w:rFonts w:cs="Arial"/>
          <w:szCs w:val="22"/>
        </w:rPr>
        <w:tab/>
        <w:t>CZ63676907</w:t>
      </w:r>
      <w:r w:rsidRPr="00B95B66">
        <w:rPr>
          <w:rFonts w:cs="Arial"/>
          <w:szCs w:val="22"/>
        </w:rPr>
        <w:tab/>
      </w:r>
    </w:p>
    <w:p w14:paraId="5C1284A4" w14:textId="6BED99D2" w:rsidR="00044938" w:rsidRPr="00B95B66" w:rsidRDefault="00044938" w:rsidP="00044938">
      <w:pPr>
        <w:tabs>
          <w:tab w:val="left" w:pos="3960"/>
        </w:tabs>
        <w:ind w:left="3960" w:hanging="3960"/>
        <w:rPr>
          <w:rFonts w:cs="Arial"/>
          <w:szCs w:val="22"/>
        </w:rPr>
      </w:pPr>
      <w:r w:rsidRPr="00B95B66">
        <w:rPr>
          <w:rFonts w:cs="Arial"/>
          <w:szCs w:val="22"/>
        </w:rPr>
        <w:t xml:space="preserve">zastoupený: </w:t>
      </w:r>
      <w:r w:rsidRPr="00B95B66">
        <w:rPr>
          <w:rFonts w:cs="Arial"/>
          <w:szCs w:val="22"/>
        </w:rPr>
        <w:tab/>
      </w:r>
      <w:r w:rsidRPr="00B95B66">
        <w:rPr>
          <w:rFonts w:cs="Arial"/>
          <w:szCs w:val="22"/>
        </w:rPr>
        <w:tab/>
      </w:r>
    </w:p>
    <w:p w14:paraId="4D77768C" w14:textId="15330B2C" w:rsidR="00044938" w:rsidRPr="00B95B66" w:rsidRDefault="00044938" w:rsidP="00044938">
      <w:pPr>
        <w:tabs>
          <w:tab w:val="left" w:pos="3960"/>
        </w:tabs>
        <w:rPr>
          <w:rFonts w:cs="Arial"/>
          <w:szCs w:val="22"/>
        </w:rPr>
      </w:pPr>
      <w:r w:rsidRPr="00B95B66">
        <w:rPr>
          <w:rFonts w:cs="Arial"/>
          <w:szCs w:val="22"/>
        </w:rPr>
        <w:t>zástupce ve věcech smluvních:</w:t>
      </w:r>
      <w:r w:rsidRPr="00B95B66">
        <w:rPr>
          <w:rFonts w:cs="Arial"/>
          <w:szCs w:val="22"/>
        </w:rPr>
        <w:tab/>
      </w:r>
      <w:r w:rsidRPr="00B95B66">
        <w:rPr>
          <w:rFonts w:cs="Arial"/>
          <w:szCs w:val="22"/>
        </w:rPr>
        <w:tab/>
      </w:r>
    </w:p>
    <w:p w14:paraId="7B0BB312" w14:textId="62405074" w:rsidR="00044938" w:rsidRPr="00B95B66" w:rsidRDefault="00044938" w:rsidP="00044938">
      <w:pPr>
        <w:tabs>
          <w:tab w:val="left" w:pos="3960"/>
        </w:tabs>
        <w:rPr>
          <w:rStyle w:val="Hypertextovodkaz"/>
          <w:rFonts w:cs="Arial"/>
          <w:color w:val="auto"/>
          <w:szCs w:val="22"/>
          <w:u w:val="none"/>
        </w:rPr>
      </w:pPr>
      <w:r w:rsidRPr="00B95B66">
        <w:rPr>
          <w:rFonts w:cs="Arial"/>
          <w:szCs w:val="22"/>
        </w:rPr>
        <w:tab/>
      </w:r>
      <w:r w:rsidRPr="00B95B66">
        <w:rPr>
          <w:rStyle w:val="Hypertextovodkaz"/>
          <w:rFonts w:cs="Arial"/>
          <w:color w:val="auto"/>
          <w:szCs w:val="22"/>
          <w:u w:val="none"/>
        </w:rPr>
        <w:tab/>
      </w:r>
    </w:p>
    <w:p w14:paraId="0AE1AE0E" w14:textId="585B5831" w:rsidR="00044938" w:rsidRPr="00B95B66" w:rsidRDefault="00044938" w:rsidP="00044938">
      <w:pPr>
        <w:tabs>
          <w:tab w:val="left" w:pos="3960"/>
        </w:tabs>
        <w:rPr>
          <w:rFonts w:cs="Arial"/>
          <w:szCs w:val="22"/>
        </w:rPr>
      </w:pPr>
      <w:r w:rsidRPr="00B95B66">
        <w:rPr>
          <w:rStyle w:val="Hypertextovodkaz"/>
          <w:rFonts w:cs="Arial"/>
          <w:color w:val="auto"/>
          <w:szCs w:val="22"/>
          <w:u w:val="none"/>
        </w:rPr>
        <w:tab/>
      </w:r>
    </w:p>
    <w:p w14:paraId="0EDF13F3" w14:textId="435338C7" w:rsidR="00044938" w:rsidRPr="00B95B66" w:rsidRDefault="00044938" w:rsidP="00044938">
      <w:pPr>
        <w:tabs>
          <w:tab w:val="left" w:pos="3960"/>
        </w:tabs>
        <w:rPr>
          <w:rFonts w:cs="Arial"/>
          <w:szCs w:val="22"/>
        </w:rPr>
      </w:pPr>
      <w:r w:rsidRPr="00B95B66">
        <w:rPr>
          <w:rFonts w:cs="Arial"/>
          <w:szCs w:val="22"/>
        </w:rPr>
        <w:t>zástupce ve věcech technických:</w:t>
      </w:r>
      <w:r w:rsidRPr="00B95B66">
        <w:rPr>
          <w:rFonts w:cs="Arial"/>
          <w:szCs w:val="22"/>
        </w:rPr>
        <w:tab/>
      </w:r>
    </w:p>
    <w:p w14:paraId="1F0D01FC" w14:textId="3BB874C3" w:rsidR="00044938" w:rsidRDefault="00044938" w:rsidP="00044938">
      <w:pPr>
        <w:tabs>
          <w:tab w:val="left" w:pos="3960"/>
        </w:tabs>
        <w:rPr>
          <w:rFonts w:cs="Arial"/>
          <w:szCs w:val="22"/>
        </w:rPr>
      </w:pPr>
      <w:r w:rsidRPr="00B95B66">
        <w:rPr>
          <w:rFonts w:cs="Arial"/>
          <w:szCs w:val="22"/>
        </w:rPr>
        <w:tab/>
        <w:t xml:space="preserve"> </w:t>
      </w:r>
    </w:p>
    <w:p w14:paraId="5111D692" w14:textId="60C9E08D" w:rsidR="00044938" w:rsidRDefault="00044938" w:rsidP="00044938">
      <w:pPr>
        <w:tabs>
          <w:tab w:val="left" w:pos="3960"/>
        </w:tabs>
        <w:rPr>
          <w:rStyle w:val="Hypertextovodkaz"/>
          <w:rFonts w:cs="Arial"/>
          <w:color w:val="auto"/>
          <w:szCs w:val="22"/>
          <w:u w:val="none"/>
        </w:rPr>
      </w:pPr>
      <w:r>
        <w:rPr>
          <w:rFonts w:cs="Arial"/>
          <w:szCs w:val="22"/>
        </w:rPr>
        <w:tab/>
      </w:r>
    </w:p>
    <w:p w14:paraId="34617775" w14:textId="77777777" w:rsidR="00044938" w:rsidRDefault="00044938" w:rsidP="00044938">
      <w:pPr>
        <w:tabs>
          <w:tab w:val="left" w:pos="3960"/>
        </w:tabs>
        <w:rPr>
          <w:rStyle w:val="Hypertextovodkaz"/>
          <w:rFonts w:cs="Arial"/>
          <w:color w:val="auto"/>
          <w:szCs w:val="22"/>
          <w:u w:val="none"/>
        </w:rPr>
      </w:pPr>
    </w:p>
    <w:p w14:paraId="1A3083DF" w14:textId="2E643A21" w:rsidR="00044938" w:rsidRPr="00B95B66" w:rsidRDefault="00044938" w:rsidP="00044938">
      <w:pPr>
        <w:tabs>
          <w:tab w:val="left" w:pos="3960"/>
        </w:tabs>
        <w:rPr>
          <w:rFonts w:cs="Arial"/>
          <w:bCs/>
          <w:color w:val="000000"/>
          <w:szCs w:val="22"/>
        </w:rPr>
      </w:pPr>
      <w:r w:rsidRPr="00B95B66">
        <w:rPr>
          <w:rFonts w:cs="Arial"/>
          <w:szCs w:val="22"/>
        </w:rPr>
        <w:t xml:space="preserve">bankovní spojení: </w:t>
      </w:r>
      <w:r w:rsidRPr="00B95B66">
        <w:rPr>
          <w:rFonts w:cs="Arial"/>
          <w:szCs w:val="22"/>
        </w:rPr>
        <w:tab/>
      </w:r>
      <w:r w:rsidRPr="00B95B66">
        <w:rPr>
          <w:rFonts w:cs="Arial"/>
          <w:szCs w:val="22"/>
        </w:rPr>
        <w:tab/>
      </w:r>
    </w:p>
    <w:p w14:paraId="523FB69C" w14:textId="5616BCEF" w:rsidR="00044938" w:rsidRPr="00386410" w:rsidRDefault="00044938" w:rsidP="00044938">
      <w:pPr>
        <w:tabs>
          <w:tab w:val="left" w:pos="3960"/>
        </w:tabs>
        <w:rPr>
          <w:rFonts w:cs="Arial"/>
          <w:szCs w:val="22"/>
        </w:rPr>
      </w:pPr>
      <w:r w:rsidRPr="00B95B66">
        <w:rPr>
          <w:rFonts w:cs="Arial"/>
          <w:szCs w:val="22"/>
        </w:rPr>
        <w:t xml:space="preserve">číslo účtu: </w:t>
      </w:r>
      <w:r>
        <w:rPr>
          <w:rFonts w:cs="Arial"/>
          <w:b/>
          <w:szCs w:val="22"/>
        </w:rPr>
        <w:tab/>
      </w:r>
      <w:r w:rsidRPr="00386410">
        <w:rPr>
          <w:rFonts w:cs="Arial"/>
          <w:b/>
          <w:szCs w:val="22"/>
        </w:rPr>
        <w:tab/>
      </w:r>
    </w:p>
    <w:p w14:paraId="714D6C24" w14:textId="77777777" w:rsidR="00044938" w:rsidRDefault="00044938" w:rsidP="00044938">
      <w:pPr>
        <w:rPr>
          <w:rFonts w:cs="Arial"/>
          <w:szCs w:val="22"/>
        </w:rPr>
      </w:pPr>
    </w:p>
    <w:p w14:paraId="423A8961" w14:textId="77777777" w:rsidR="00044938" w:rsidRDefault="00044938" w:rsidP="00044938">
      <w:pPr>
        <w:rPr>
          <w:rFonts w:cs="Arial"/>
          <w:szCs w:val="22"/>
        </w:rPr>
      </w:pPr>
      <w:r>
        <w:rPr>
          <w:rFonts w:cs="Arial"/>
          <w:szCs w:val="22"/>
        </w:rPr>
        <w:t>Zhotovitel</w:t>
      </w:r>
      <w:r w:rsidRPr="00386410">
        <w:rPr>
          <w:rFonts w:cs="Arial"/>
          <w:szCs w:val="22"/>
        </w:rPr>
        <w:t xml:space="preserve"> je</w:t>
      </w:r>
      <w:r>
        <w:rPr>
          <w:rFonts w:cs="Arial"/>
          <w:szCs w:val="22"/>
        </w:rPr>
        <w:t xml:space="preserve"> zapsán v Obchodním rejstříku Městského soudu v Praze, v oddílu C, vložce č. 37180</w:t>
      </w:r>
      <w:r w:rsidRPr="009B195C">
        <w:rPr>
          <w:rFonts w:cs="Arial"/>
          <w:szCs w:val="22"/>
        </w:rPr>
        <w:t xml:space="preserve"> </w:t>
      </w:r>
    </w:p>
    <w:p w14:paraId="13A993D9" w14:textId="77777777" w:rsidR="00044938" w:rsidRDefault="00044938" w:rsidP="00044938">
      <w:pPr>
        <w:autoSpaceDE w:val="0"/>
        <w:autoSpaceDN w:val="0"/>
        <w:adjustRightInd w:val="0"/>
        <w:spacing w:line="300" w:lineRule="atLeast"/>
        <w:rPr>
          <w:rFonts w:cs="Arial"/>
          <w:color w:val="000000"/>
          <w:szCs w:val="22"/>
        </w:rPr>
      </w:pPr>
      <w:r w:rsidRPr="001A7E87">
        <w:rPr>
          <w:rFonts w:cs="Arial"/>
          <w:color w:val="000000"/>
          <w:szCs w:val="22"/>
        </w:rPr>
        <w:t>Toto zmocnění trvá až do písemného odvolání. Změny v zastoupení budou uvedeny v dodatku k této smlouvě.</w:t>
      </w:r>
    </w:p>
    <w:p w14:paraId="114D9D0D" w14:textId="77777777" w:rsidR="00D25936" w:rsidRPr="00386410" w:rsidRDefault="00D25936" w:rsidP="00D25936">
      <w:pPr>
        <w:rPr>
          <w:rFonts w:cs="Arial"/>
          <w:szCs w:val="22"/>
        </w:rPr>
      </w:pPr>
      <w:r w:rsidRPr="009B195C">
        <w:rPr>
          <w:rFonts w:cs="Arial"/>
          <w:szCs w:val="22"/>
        </w:rPr>
        <w:t>(dále jen „zhotovitel“)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41B37BC6" w:rsidR="00531101" w:rsidRDefault="00531101" w:rsidP="009B195C">
      <w:pPr>
        <w:widowControl w:val="0"/>
        <w:spacing w:line="240" w:lineRule="atLeast"/>
        <w:rPr>
          <w:rFonts w:cs="Arial"/>
          <w:szCs w:val="22"/>
        </w:rPr>
      </w:pPr>
    </w:p>
    <w:p w14:paraId="1DA028DC" w14:textId="77777777" w:rsidR="00943DE0" w:rsidRDefault="00943DE0"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01E85071" w14:textId="02677E02" w:rsidR="00044938" w:rsidRPr="00EE4014" w:rsidRDefault="00044938" w:rsidP="00044938">
      <w:pPr>
        <w:pStyle w:val="A-odstavecodsazensodrkami"/>
        <w:keepNext/>
        <w:numPr>
          <w:ilvl w:val="0"/>
          <w:numId w:val="0"/>
        </w:numPr>
        <w:rPr>
          <w:bCs/>
        </w:rPr>
      </w:pPr>
      <w:r w:rsidRPr="00EE4014">
        <w:rPr>
          <w:bCs/>
        </w:rPr>
        <w:t xml:space="preserve">Předmětem </w:t>
      </w:r>
      <w:r w:rsidR="00BB016C">
        <w:rPr>
          <w:bCs/>
        </w:rPr>
        <w:t xml:space="preserve">smlouvy </w:t>
      </w:r>
      <w:r w:rsidRPr="00EE4014">
        <w:rPr>
          <w:bCs/>
        </w:rPr>
        <w:t xml:space="preserve">je zpracování projektové dokumentace pro </w:t>
      </w:r>
      <w:r w:rsidRPr="00EE4014">
        <w:t>ohlášení</w:t>
      </w:r>
      <w:r w:rsidRPr="00EE4014">
        <w:rPr>
          <w:lang w:val="en-US"/>
        </w:rPr>
        <w:t xml:space="preserve"> </w:t>
      </w:r>
      <w:r w:rsidRPr="00EE4014">
        <w:t>stavby</w:t>
      </w:r>
      <w:r w:rsidRPr="00EE4014">
        <w:rPr>
          <w:lang w:val="en-US"/>
        </w:rPr>
        <w:t xml:space="preserve"> </w:t>
      </w:r>
      <w:r w:rsidRPr="00EE4014">
        <w:t>uvedené</w:t>
      </w:r>
      <w:r w:rsidRPr="00EE4014">
        <w:rPr>
          <w:lang w:val="en-US"/>
        </w:rPr>
        <w:t xml:space="preserve"> v</w:t>
      </w:r>
      <w:r w:rsidR="00943DE0">
        <w:rPr>
          <w:lang w:val="en-US"/>
        </w:rPr>
        <w:t> </w:t>
      </w:r>
      <w:r w:rsidRPr="00EE4014">
        <w:rPr>
          <w:lang w:val="en-US"/>
        </w:rPr>
        <w:t xml:space="preserve">§104 </w:t>
      </w:r>
      <w:r w:rsidRPr="00EE4014">
        <w:t>ost</w:t>
      </w:r>
      <w:r w:rsidRPr="00EE4014">
        <w:rPr>
          <w:lang w:val="en-US"/>
        </w:rPr>
        <w:t xml:space="preserve">. 1 </w:t>
      </w:r>
      <w:r w:rsidRPr="00EE4014">
        <w:t>písm</w:t>
      </w:r>
      <w:r w:rsidRPr="00EE4014">
        <w:rPr>
          <w:lang w:val="en-US"/>
        </w:rPr>
        <w:t xml:space="preserve">. a) </w:t>
      </w:r>
      <w:r w:rsidRPr="00EE4014">
        <w:t>až</w:t>
      </w:r>
      <w:r w:rsidRPr="00EE4014">
        <w:rPr>
          <w:lang w:val="en-US"/>
        </w:rPr>
        <w:t xml:space="preserve"> e) </w:t>
      </w:r>
      <w:r w:rsidRPr="00EE4014">
        <w:t>stavebního</w:t>
      </w:r>
      <w:r w:rsidRPr="00EE4014">
        <w:rPr>
          <w:lang w:val="en-US"/>
        </w:rPr>
        <w:t xml:space="preserve"> </w:t>
      </w:r>
      <w:r w:rsidRPr="00EE4014">
        <w:t>zákona</w:t>
      </w:r>
      <w:r w:rsidRPr="00EE4014">
        <w:rPr>
          <w:lang w:val="en-US"/>
        </w:rPr>
        <w:t xml:space="preserve"> </w:t>
      </w:r>
      <w:r w:rsidRPr="00EE4014">
        <w:t>nebo</w:t>
      </w:r>
      <w:r w:rsidRPr="00EE4014">
        <w:rPr>
          <w:lang w:val="en-US"/>
        </w:rPr>
        <w:t xml:space="preserve"> pro </w:t>
      </w:r>
      <w:r w:rsidRPr="00EE4014">
        <w:t>vydání</w:t>
      </w:r>
      <w:r w:rsidRPr="00EE4014">
        <w:rPr>
          <w:lang w:val="en-US"/>
        </w:rPr>
        <w:t xml:space="preserve"> </w:t>
      </w:r>
      <w:r w:rsidRPr="00EE4014">
        <w:rPr>
          <w:bCs/>
        </w:rPr>
        <w:t>stavebního povolení v</w:t>
      </w:r>
      <w:r w:rsidR="00943DE0">
        <w:rPr>
          <w:bCs/>
        </w:rPr>
        <w:t> </w:t>
      </w:r>
      <w:r w:rsidRPr="00EE4014">
        <w:rPr>
          <w:bCs/>
        </w:rPr>
        <w:t>podrobnostech projektové dokumentace pro provádění stavby (DS</w:t>
      </w:r>
      <w:r w:rsidR="00D25936">
        <w:rPr>
          <w:bCs/>
        </w:rPr>
        <w:t>P/DPS</w:t>
      </w:r>
      <w:r w:rsidRPr="00EE4014">
        <w:rPr>
          <w:bCs/>
        </w:rPr>
        <w:t>) včetně dokladové části, soupisu prací a vyhodnocení potřeby zajištění koordinátora BOZP v přípravě a realizaci stavby.</w:t>
      </w:r>
    </w:p>
    <w:p w14:paraId="4862C179" w14:textId="77777777" w:rsidR="00044938" w:rsidRPr="00D25936" w:rsidRDefault="00044938" w:rsidP="00044938">
      <w:pPr>
        <w:pStyle w:val="A-odstavecodsazensodrkami"/>
        <w:keepNext/>
        <w:numPr>
          <w:ilvl w:val="0"/>
          <w:numId w:val="0"/>
        </w:numPr>
        <w:rPr>
          <w:bCs/>
          <w:color w:val="000000"/>
        </w:rPr>
      </w:pPr>
    </w:p>
    <w:p w14:paraId="0FA52CEB" w14:textId="77989038" w:rsidR="00044938" w:rsidRPr="00D25936" w:rsidRDefault="00044938" w:rsidP="00044938">
      <w:pPr>
        <w:pStyle w:val="A-odstavecodsazensodrkami"/>
        <w:keepNext/>
        <w:numPr>
          <w:ilvl w:val="0"/>
          <w:numId w:val="0"/>
        </w:numPr>
        <w:rPr>
          <w:bCs/>
        </w:rPr>
      </w:pPr>
      <w:r w:rsidRPr="00D25936">
        <w:rPr>
          <w:bCs/>
        </w:rPr>
        <w:t>Předmětem smlouvy je zpracování a zajištění:</w:t>
      </w:r>
      <w:r w:rsidR="000A539A" w:rsidRPr="00D25936">
        <w:rPr>
          <w:bCs/>
        </w:rPr>
        <w:t xml:space="preserve"> </w:t>
      </w:r>
    </w:p>
    <w:p w14:paraId="32E1AB8E" w14:textId="444AB0CD" w:rsidR="000A539A" w:rsidRPr="00D25936" w:rsidRDefault="000A539A" w:rsidP="00044938">
      <w:pPr>
        <w:pStyle w:val="A-odstavecodsazensodrkami"/>
        <w:keepNext/>
        <w:numPr>
          <w:ilvl w:val="0"/>
          <w:numId w:val="0"/>
        </w:numPr>
        <w:rPr>
          <w:b/>
        </w:rPr>
      </w:pPr>
      <w:r w:rsidRPr="00D25936">
        <w:rPr>
          <w:bCs/>
        </w:rPr>
        <w:t>zpracování projektové dokumentace na nové požadavky</w:t>
      </w:r>
      <w:r w:rsidR="00D25936" w:rsidRPr="00D25936">
        <w:rPr>
          <w:bCs/>
        </w:rPr>
        <w:t xml:space="preserve"> objednatele</w:t>
      </w:r>
      <w:r w:rsidRPr="00D25936">
        <w:rPr>
          <w:bCs/>
        </w:rPr>
        <w:t>, které budou řešeny ve vazbě na již dokončenou PD „</w:t>
      </w:r>
      <w:r w:rsidRPr="00D25936">
        <w:rPr>
          <w:b/>
        </w:rPr>
        <w:t xml:space="preserve">VD Kadaň </w:t>
      </w:r>
      <w:r w:rsidR="008754FC">
        <w:rPr>
          <w:rFonts w:ascii="Times New Roman" w:hAnsi="Times New Roman" w:cs="Times New Roman"/>
          <w:b/>
        </w:rPr>
        <w:t>˗</w:t>
      </w:r>
      <w:r w:rsidRPr="00D25936">
        <w:rPr>
          <w:b/>
        </w:rPr>
        <w:t xml:space="preserve"> trámce pro hydraulický nakládací jeřáb“.</w:t>
      </w:r>
    </w:p>
    <w:p w14:paraId="437B9FD1" w14:textId="02317C5C" w:rsidR="000A539A" w:rsidRPr="00217336" w:rsidRDefault="000A539A" w:rsidP="00044938">
      <w:pPr>
        <w:pStyle w:val="A-odstavecodsazensodrkami"/>
        <w:keepNext/>
        <w:numPr>
          <w:ilvl w:val="0"/>
          <w:numId w:val="0"/>
        </w:numPr>
        <w:rPr>
          <w:bCs/>
        </w:rPr>
      </w:pPr>
    </w:p>
    <w:p w14:paraId="3F7C981C" w14:textId="659B91FA" w:rsidR="001E537C" w:rsidRPr="00217336" w:rsidRDefault="001E537C" w:rsidP="00044938">
      <w:pPr>
        <w:pStyle w:val="A-odstavecodsazensodrkami"/>
        <w:keepNext/>
        <w:numPr>
          <w:ilvl w:val="0"/>
          <w:numId w:val="0"/>
        </w:numPr>
      </w:pPr>
      <w:r w:rsidRPr="00217336">
        <w:rPr>
          <w:bCs/>
        </w:rPr>
        <w:t>Projektová dokumentace a inženýrská činnost bude koordinována</w:t>
      </w:r>
      <w:r w:rsidRPr="00217336">
        <w:t xml:space="preserve"> s projekčními pracemi, které jsou specifikovány ve smlouvě POh 1399/2021 v platném znění. </w:t>
      </w:r>
    </w:p>
    <w:p w14:paraId="6E605B01" w14:textId="77777777" w:rsidR="001E537C" w:rsidRPr="00217336" w:rsidRDefault="001E537C" w:rsidP="000A539A">
      <w:pPr>
        <w:rPr>
          <w:rFonts w:cs="Arial"/>
          <w:szCs w:val="22"/>
        </w:rPr>
      </w:pPr>
    </w:p>
    <w:p w14:paraId="3118C15B" w14:textId="13558AFE" w:rsidR="000A539A" w:rsidRPr="00217336" w:rsidRDefault="000A539A" w:rsidP="000A539A">
      <w:pPr>
        <w:rPr>
          <w:rFonts w:cs="Arial"/>
          <w:szCs w:val="22"/>
        </w:rPr>
      </w:pPr>
      <w:r w:rsidRPr="00217336">
        <w:rPr>
          <w:rFonts w:cs="Arial"/>
          <w:szCs w:val="22"/>
        </w:rPr>
        <w:t>Dle zadání jde o tyto stavební objekty a provozní soubory VD Kadaň:</w:t>
      </w:r>
    </w:p>
    <w:p w14:paraId="1DBE8525" w14:textId="77777777" w:rsidR="000A539A" w:rsidRPr="0000506A" w:rsidRDefault="000A539A" w:rsidP="000A539A">
      <w:pPr>
        <w:rPr>
          <w:rFonts w:cs="Arial"/>
          <w:b/>
          <w:szCs w:val="22"/>
        </w:rPr>
      </w:pPr>
    </w:p>
    <w:p w14:paraId="3106A20D" w14:textId="77777777" w:rsidR="000A539A" w:rsidRPr="0000506A" w:rsidRDefault="000A539A" w:rsidP="000A539A">
      <w:pPr>
        <w:rPr>
          <w:rFonts w:cs="Arial"/>
          <w:b/>
          <w:szCs w:val="22"/>
        </w:rPr>
      </w:pPr>
      <w:r w:rsidRPr="0000506A">
        <w:rPr>
          <w:rFonts w:cs="Arial"/>
          <w:b/>
          <w:szCs w:val="22"/>
        </w:rPr>
        <w:t xml:space="preserve">1. SO 23 Vyhřívání prahu a bočních štítů jezového pole. </w:t>
      </w:r>
    </w:p>
    <w:p w14:paraId="66839CBE" w14:textId="77777777" w:rsidR="000A539A" w:rsidRPr="0000506A" w:rsidRDefault="000A539A" w:rsidP="000A539A">
      <w:pPr>
        <w:rPr>
          <w:rFonts w:cs="Arial"/>
          <w:b/>
          <w:szCs w:val="22"/>
        </w:rPr>
      </w:pPr>
      <w:r w:rsidRPr="0000506A">
        <w:rPr>
          <w:rFonts w:cs="Arial"/>
          <w:b/>
          <w:szCs w:val="22"/>
        </w:rPr>
        <w:t xml:space="preserve">2. PS 21 Ovládání pohonů jezového pole 1 a 3 pomocí FM.  </w:t>
      </w:r>
    </w:p>
    <w:p w14:paraId="622124ED" w14:textId="77777777" w:rsidR="000A539A" w:rsidRPr="0000506A" w:rsidRDefault="000A539A" w:rsidP="000A539A">
      <w:pPr>
        <w:rPr>
          <w:rFonts w:cs="Arial"/>
          <w:b/>
          <w:szCs w:val="22"/>
        </w:rPr>
      </w:pPr>
      <w:r w:rsidRPr="0000506A">
        <w:rPr>
          <w:rFonts w:cs="Arial"/>
          <w:b/>
          <w:szCs w:val="22"/>
        </w:rPr>
        <w:t xml:space="preserve">3. SO 24 Instalace bezpečnostních bran. </w:t>
      </w:r>
    </w:p>
    <w:p w14:paraId="6753062B" w14:textId="77777777" w:rsidR="000A539A" w:rsidRPr="00D25936" w:rsidRDefault="000A539A" w:rsidP="00044938">
      <w:pPr>
        <w:pStyle w:val="A-odstavecodsazensodrkami"/>
        <w:keepNext/>
        <w:numPr>
          <w:ilvl w:val="0"/>
          <w:numId w:val="0"/>
        </w:numPr>
        <w:rPr>
          <w:bCs/>
        </w:rPr>
      </w:pPr>
    </w:p>
    <w:p w14:paraId="0982F1DB" w14:textId="233553D3" w:rsidR="000A539A" w:rsidRPr="00D25936" w:rsidRDefault="00BB016C" w:rsidP="00A74A07">
      <w:pPr>
        <w:pStyle w:val="A-odstavecodsazensodrkami"/>
        <w:keepNext/>
        <w:numPr>
          <w:ilvl w:val="0"/>
          <w:numId w:val="0"/>
        </w:numPr>
        <w:rPr>
          <w:bCs/>
          <w:color w:val="000000"/>
        </w:rPr>
      </w:pPr>
      <w:r w:rsidRPr="00D25936">
        <w:rPr>
          <w:bCs/>
          <w:color w:val="000000"/>
        </w:rPr>
        <w:t>Prahy a boční štíty segmentů a klapek jsou vybaveny vyhřívacím zařízením, které umožňuje manipulaci se zařízením i v zimním období. V rámci akce požadujeme výměnu zdroje tepla včetně rozdělovače jednotlivých větví pro vytápění jezových polí č. 1 a 2, požadujeme realizovat stejným způsobem, jako již provedené na jezovém poli č. 3.</w:t>
      </w:r>
    </w:p>
    <w:p w14:paraId="2D1AAB93" w14:textId="7334F825" w:rsidR="000A539A" w:rsidRPr="00D25936" w:rsidRDefault="000A539A" w:rsidP="00A74A07">
      <w:pPr>
        <w:pStyle w:val="A-odstavecodsazensodrkami"/>
        <w:keepNext/>
        <w:numPr>
          <w:ilvl w:val="0"/>
          <w:numId w:val="0"/>
        </w:numPr>
        <w:rPr>
          <w:bCs/>
          <w:color w:val="000000"/>
        </w:rPr>
      </w:pPr>
    </w:p>
    <w:p w14:paraId="5743A89F" w14:textId="27104D5B" w:rsidR="00D25936" w:rsidRDefault="000A539A" w:rsidP="00A74A07">
      <w:pPr>
        <w:pStyle w:val="A-odstavecodsazensodrkami"/>
        <w:keepNext/>
        <w:numPr>
          <w:ilvl w:val="0"/>
          <w:numId w:val="0"/>
        </w:numPr>
        <w:rPr>
          <w:bCs/>
          <w:color w:val="000000"/>
        </w:rPr>
      </w:pPr>
      <w:r w:rsidRPr="00D25936">
        <w:rPr>
          <w:bCs/>
          <w:color w:val="000000"/>
        </w:rPr>
        <w:t>Na VD Kadaň je prováděna regulace hladiny na horní vodě pomocí tří jezových klapek a</w:t>
      </w:r>
      <w:r w:rsidR="00943DE0">
        <w:rPr>
          <w:bCs/>
          <w:color w:val="000000"/>
        </w:rPr>
        <w:t> </w:t>
      </w:r>
      <w:r w:rsidRPr="00D25936">
        <w:rPr>
          <w:bCs/>
          <w:color w:val="000000"/>
        </w:rPr>
        <w:t>segmentů. Zdvih klapky a segmentu jezového pole č. 1 a 3 je zajištěno pomocí Gallova řetězu, dvou převodovek ČKD a transmisí s úhlovými převodovkami</w:t>
      </w:r>
      <w:r w:rsidR="00D25936">
        <w:rPr>
          <w:bCs/>
          <w:color w:val="000000"/>
        </w:rPr>
        <w:t>.</w:t>
      </w:r>
    </w:p>
    <w:p w14:paraId="355496A8" w14:textId="1FFCDF46" w:rsidR="000A539A" w:rsidRPr="00D25936" w:rsidRDefault="000A539A" w:rsidP="00A74A07">
      <w:pPr>
        <w:pStyle w:val="A-odstavecodsazensodrkami"/>
        <w:keepNext/>
        <w:numPr>
          <w:ilvl w:val="0"/>
          <w:numId w:val="0"/>
        </w:numPr>
        <w:rPr>
          <w:bCs/>
          <w:color w:val="000000"/>
        </w:rPr>
      </w:pPr>
      <w:r w:rsidRPr="00D25936">
        <w:rPr>
          <w:bCs/>
          <w:color w:val="000000"/>
        </w:rPr>
        <w:t>Z důvodu omezení možnosti mechanických vad spojek, úhlových převodovek, ložiskových domků atd. požadujeme zajistit pohon obou převodovek pomocí tzv. elektronické hřídele.</w:t>
      </w:r>
      <w:r w:rsidRPr="00D25936">
        <w:rPr>
          <w:bCs/>
          <w:color w:val="000000"/>
        </w:rPr>
        <w:br/>
        <w:t>Požadujeme instalovat stejné zařízení, jako již instalované na jezovém poli č. 2.</w:t>
      </w:r>
    </w:p>
    <w:p w14:paraId="0E6C9D57" w14:textId="77DCCF98" w:rsidR="000A539A" w:rsidRPr="00D25936" w:rsidRDefault="000A539A" w:rsidP="00A74A07">
      <w:pPr>
        <w:pStyle w:val="A-odstavecodsazensodrkami"/>
        <w:keepNext/>
        <w:numPr>
          <w:ilvl w:val="0"/>
          <w:numId w:val="0"/>
        </w:numPr>
        <w:rPr>
          <w:bCs/>
          <w:color w:val="000000"/>
        </w:rPr>
      </w:pPr>
    </w:p>
    <w:p w14:paraId="6D150060" w14:textId="5853A2DD" w:rsidR="000A539A" w:rsidRPr="00D25936" w:rsidRDefault="000A539A" w:rsidP="00A74A07">
      <w:pPr>
        <w:pStyle w:val="A-odstavecodsazensodrkami"/>
        <w:keepNext/>
        <w:numPr>
          <w:ilvl w:val="0"/>
          <w:numId w:val="0"/>
        </w:numPr>
        <w:rPr>
          <w:bCs/>
          <w:color w:val="000000"/>
        </w:rPr>
      </w:pPr>
      <w:r w:rsidRPr="00D25936">
        <w:rPr>
          <w:bCs/>
          <w:color w:val="000000"/>
        </w:rPr>
        <w:t>V rámci akce požadujeme instalaci posuvných bran na obě strany hráze z důvodu zajištění bezpečnosti osob pohybujících se po hrázi. Brány budou zavírány a znemožněn tak přístup osobám na hráz při plnění pracovních úkonů, u kterých může dojít k ohrožení bezpečnosti osob. První brána bude instalována u manipulační plochy nad MVE a druhá u levého zavázání do břehu. Obě budou elektricky ovládané.</w:t>
      </w:r>
    </w:p>
    <w:p w14:paraId="55331CE9" w14:textId="24E90C5C" w:rsidR="000A539A" w:rsidRPr="00D25936" w:rsidRDefault="000A539A" w:rsidP="00A74A07">
      <w:pPr>
        <w:pStyle w:val="A-odstavecodsazensodrkami"/>
        <w:keepNext/>
        <w:numPr>
          <w:ilvl w:val="0"/>
          <w:numId w:val="0"/>
        </w:numPr>
        <w:rPr>
          <w:b/>
          <w:bCs/>
          <w:color w:val="000000"/>
        </w:rPr>
      </w:pPr>
    </w:p>
    <w:p w14:paraId="56E7CD67" w14:textId="1AF020FA" w:rsidR="00781B6E" w:rsidRPr="00D25936" w:rsidRDefault="00781B6E" w:rsidP="00A74A07">
      <w:pPr>
        <w:rPr>
          <w:rFonts w:eastAsia="Arial CE" w:cs="Arial"/>
          <w:szCs w:val="22"/>
        </w:rPr>
      </w:pPr>
      <w:r w:rsidRPr="00D25936">
        <w:rPr>
          <w:rFonts w:eastAsia="Arial CE" w:cs="Arial"/>
          <w:szCs w:val="22"/>
        </w:rPr>
        <w:t>Součástí díla jsou výsledky jednání, zápisy nebo záznamy z výrobních výborů se</w:t>
      </w:r>
      <w:r w:rsidR="00864E08" w:rsidRPr="00D25936">
        <w:rPr>
          <w:rFonts w:eastAsia="Arial CE" w:cs="Arial"/>
          <w:szCs w:val="22"/>
        </w:rPr>
        <w:t> </w:t>
      </w:r>
      <w:r w:rsidRPr="00D25936">
        <w:rPr>
          <w:rFonts w:eastAsia="Arial CE" w:cs="Arial"/>
          <w:szCs w:val="22"/>
        </w:rPr>
        <w:t xml:space="preserve">zástupci objednatele. </w:t>
      </w:r>
    </w:p>
    <w:p w14:paraId="15BFC243" w14:textId="1B9BE2B0" w:rsidR="00781B6E" w:rsidRPr="00D25936" w:rsidRDefault="00781B6E" w:rsidP="00504046">
      <w:pPr>
        <w:ind w:right="-567"/>
        <w:rPr>
          <w:rFonts w:eastAsia="Arial CE" w:cs="Arial"/>
          <w:szCs w:val="22"/>
        </w:rPr>
      </w:pPr>
    </w:p>
    <w:p w14:paraId="5BA9E094" w14:textId="23D2E8E4" w:rsidR="00535E2B" w:rsidRPr="00D25936" w:rsidRDefault="000A539A" w:rsidP="00535E2B">
      <w:pPr>
        <w:spacing w:after="160" w:line="259" w:lineRule="auto"/>
        <w:contextualSpacing/>
        <w:rPr>
          <w:rFonts w:cs="Arial"/>
          <w:szCs w:val="22"/>
        </w:rPr>
      </w:pPr>
      <w:r w:rsidRPr="00D25936">
        <w:rPr>
          <w:rFonts w:eastAsia="Arial CE" w:cs="Arial"/>
          <w:szCs w:val="22"/>
        </w:rPr>
        <w:t xml:space="preserve">Objednatel poskytne zhotoviteli </w:t>
      </w:r>
      <w:r w:rsidR="00535E2B" w:rsidRPr="00D25936">
        <w:rPr>
          <w:rFonts w:eastAsia="Arial CE" w:cs="Arial"/>
          <w:szCs w:val="22"/>
        </w:rPr>
        <w:t>potřebné podklady pro (kabe</w:t>
      </w:r>
      <w:r w:rsidR="00535E2B" w:rsidRPr="00D25936">
        <w:rPr>
          <w:rFonts w:cs="Arial"/>
          <w:szCs w:val="22"/>
        </w:rPr>
        <w:t>láž, rozvaděče, MaR, návrh bran).</w:t>
      </w:r>
    </w:p>
    <w:p w14:paraId="46542AB7" w14:textId="75F16073" w:rsidR="000A539A" w:rsidRPr="00D25936" w:rsidRDefault="000A539A" w:rsidP="00535E2B">
      <w:pPr>
        <w:ind w:right="-567"/>
        <w:rPr>
          <w:rFonts w:eastAsia="Arial CE" w:cs="Arial"/>
          <w:szCs w:val="22"/>
        </w:rPr>
      </w:pPr>
    </w:p>
    <w:p w14:paraId="350CCCB2" w14:textId="3A92E5CF" w:rsidR="00242D51" w:rsidRPr="00D25936" w:rsidRDefault="00781B6E" w:rsidP="00A74A07">
      <w:pPr>
        <w:rPr>
          <w:rFonts w:eastAsia="Arial CE" w:cs="Arial"/>
          <w:szCs w:val="22"/>
        </w:rPr>
      </w:pPr>
      <w:r w:rsidRPr="00D25936">
        <w:rPr>
          <w:rFonts w:eastAsia="Arial CE" w:cs="Arial"/>
          <w:szCs w:val="22"/>
        </w:rPr>
        <w:t>Součástí plnění díla je také inženýrská činnost, která povede k zajištění dokladové části - tj.</w:t>
      </w:r>
      <w:r w:rsidR="00864E08" w:rsidRPr="00D25936">
        <w:rPr>
          <w:rFonts w:eastAsia="Arial CE" w:cs="Arial"/>
          <w:szCs w:val="22"/>
        </w:rPr>
        <w:t> </w:t>
      </w:r>
      <w:r w:rsidRPr="00D25936">
        <w:rPr>
          <w:rFonts w:eastAsia="Arial CE" w:cs="Arial"/>
          <w:szCs w:val="22"/>
        </w:rPr>
        <w:t xml:space="preserve">získání závazných stanovisek, stanovisek vlastníků veřejné dopravní a technické infrastruktury, rozhodnutí, vyjádření dotčených orgánů či získání dokladů o splnění požadavků </w:t>
      </w:r>
      <w:r w:rsidRPr="00D25936">
        <w:rPr>
          <w:rFonts w:eastAsia="Arial CE" w:cs="Arial"/>
          <w:szCs w:val="22"/>
        </w:rPr>
        <w:lastRenderedPageBreak/>
        <w:t>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471596F7" w14:textId="6F7E317A" w:rsidR="00680069" w:rsidRPr="00D25936" w:rsidRDefault="00781B6E" w:rsidP="00A74A07">
      <w:pPr>
        <w:outlineLvl w:val="0"/>
        <w:rPr>
          <w:rFonts w:eastAsia="Arial CE" w:cs="Arial"/>
          <w:szCs w:val="22"/>
        </w:rPr>
      </w:pPr>
      <w:r w:rsidRPr="00D25936">
        <w:rPr>
          <w:rFonts w:eastAsia="Arial CE" w:cs="Arial"/>
          <w:szCs w:val="22"/>
        </w:rPr>
        <w:t xml:space="preserve">Dále je součástí dokladové části tzv. majetkoprávní elaborát </w:t>
      </w:r>
      <w:r w:rsidR="00B67C48">
        <w:rPr>
          <w:rFonts w:ascii="Times New Roman" w:eastAsia="Arial CE" w:hAnsi="Times New Roman"/>
          <w:szCs w:val="22"/>
        </w:rPr>
        <w:t>˗</w:t>
      </w:r>
      <w:r w:rsidRPr="00D25936">
        <w:rPr>
          <w:rFonts w:eastAsia="Arial CE" w:cs="Arial"/>
          <w:szCs w:val="22"/>
        </w:rPr>
        <w:t xml:space="preserve"> souhlasy dotčených vlastníků nemovitostí s trvalým nebo dočasným záborem na vzorových formulářích, které poskytne objednatel. </w:t>
      </w:r>
      <w:r w:rsidR="008D42F3" w:rsidRPr="00D25936">
        <w:rPr>
          <w:rFonts w:eastAsia="Arial CE" w:cs="Arial"/>
          <w:szCs w:val="22"/>
        </w:rPr>
        <w:t>Dle § 184a stavebního zákona musí být souhlas s navrhovaným stavebním záměrem vyznačen na situačním výkresu projektové dokumentace</w:t>
      </w:r>
      <w:r w:rsidRPr="00D25936">
        <w:rPr>
          <w:rFonts w:eastAsia="Arial CE" w:cs="Arial"/>
          <w:szCs w:val="22"/>
        </w:rPr>
        <w:t>.</w:t>
      </w:r>
    </w:p>
    <w:p w14:paraId="224D5474" w14:textId="77777777" w:rsidR="00242D51" w:rsidRPr="00D25936" w:rsidRDefault="00242D51" w:rsidP="00A74A07">
      <w:pPr>
        <w:rPr>
          <w:rFonts w:eastAsia="Arial CE" w:cs="Arial"/>
          <w:szCs w:val="22"/>
        </w:rPr>
      </w:pPr>
    </w:p>
    <w:p w14:paraId="0BADAE00" w14:textId="3774621E" w:rsidR="00242D51" w:rsidRDefault="00242D51" w:rsidP="00A74A07">
      <w:pPr>
        <w:rPr>
          <w:rFonts w:eastAsia="Arial CE" w:cs="Arial"/>
          <w:szCs w:val="22"/>
        </w:rPr>
      </w:pPr>
      <w:r w:rsidRPr="00D25936">
        <w:rPr>
          <w:rFonts w:eastAsia="Arial CE" w:cs="Arial"/>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D25936">
        <w:rPr>
          <w:rFonts w:eastAsia="Arial CE" w:cs="Arial"/>
          <w:szCs w:val="22"/>
        </w:rPr>
        <w:t> </w:t>
      </w:r>
      <w:r w:rsidRPr="00D25936">
        <w:rPr>
          <w:rFonts w:eastAsia="Arial CE" w:cs="Arial"/>
          <w:szCs w:val="22"/>
        </w:rPr>
        <w:t>bezvadné Dílo ve sjednaném termínu od zhotovitele převzít a zaplatit zhotovitele cenu Díla specifikovanou dále v této Smlouvě.</w:t>
      </w:r>
    </w:p>
    <w:p w14:paraId="06E4EC5F" w14:textId="77777777" w:rsidR="00943DE0" w:rsidRPr="00D25936" w:rsidRDefault="00943DE0" w:rsidP="00A74A07">
      <w:pPr>
        <w:rPr>
          <w:rFonts w:eastAsia="Arial CE" w:cs="Arial"/>
          <w:szCs w:val="22"/>
        </w:rPr>
      </w:pPr>
    </w:p>
    <w:p w14:paraId="14467406" w14:textId="244C2FCE" w:rsidR="0092134F" w:rsidRDefault="0092134F" w:rsidP="00A74A07">
      <w:pPr>
        <w:rPr>
          <w:rFonts w:eastAsia="Arial CE"/>
        </w:rPr>
      </w:pPr>
    </w:p>
    <w:p w14:paraId="19D2A7F0" w14:textId="77777777" w:rsidR="00943DE0" w:rsidRDefault="00943DE0"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5F821F0E" w14:textId="77777777" w:rsidR="009B13D4" w:rsidRPr="00E93E81" w:rsidRDefault="009B13D4" w:rsidP="00BE1E0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BE1E0D">
      <w:pPr>
        <w:autoSpaceDE w:val="0"/>
        <w:autoSpaceDN w:val="0"/>
        <w:adjustRightInd w:val="0"/>
        <w:rPr>
          <w:rFonts w:cs="Arial"/>
          <w:szCs w:val="22"/>
        </w:rPr>
      </w:pPr>
    </w:p>
    <w:p w14:paraId="59B992B0" w14:textId="77777777" w:rsidR="009B13D4" w:rsidRPr="00E93E81" w:rsidRDefault="009B13D4" w:rsidP="00BE1E0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BE1E0D">
      <w:pPr>
        <w:autoSpaceDE w:val="0"/>
        <w:autoSpaceDN w:val="0"/>
        <w:adjustRightInd w:val="0"/>
        <w:rPr>
          <w:rFonts w:cs="Arial"/>
          <w:szCs w:val="22"/>
        </w:rPr>
      </w:pPr>
    </w:p>
    <w:p w14:paraId="2C77D9CD" w14:textId="1C1493F8" w:rsidR="009B13D4" w:rsidRDefault="009B13D4" w:rsidP="00BE1E0D">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5C7D4C10" w14:textId="4DDBD9C7" w:rsidR="00535E2B" w:rsidRDefault="00535E2B" w:rsidP="00BE1E0D">
      <w:pPr>
        <w:autoSpaceDE w:val="0"/>
        <w:autoSpaceDN w:val="0"/>
        <w:adjustRightInd w:val="0"/>
        <w:rPr>
          <w:rFonts w:cs="Arial"/>
          <w:szCs w:val="22"/>
        </w:rPr>
      </w:pPr>
    </w:p>
    <w:p w14:paraId="2856F6BB" w14:textId="6B76374B" w:rsidR="00535E2B" w:rsidRPr="002C126A" w:rsidRDefault="00535E2B" w:rsidP="00535E2B">
      <w:pPr>
        <w:pStyle w:val="Odstavecseseznamem"/>
        <w:numPr>
          <w:ilvl w:val="0"/>
          <w:numId w:val="12"/>
        </w:numPr>
        <w:contextualSpacing w:val="0"/>
        <w:rPr>
          <w:rFonts w:cs="Arial"/>
          <w:szCs w:val="22"/>
        </w:rPr>
      </w:pPr>
      <w:r w:rsidRPr="002C126A">
        <w:rPr>
          <w:rFonts w:cs="Arial"/>
          <w:szCs w:val="22"/>
        </w:rPr>
        <w:t xml:space="preserve">Povodňový plán stavby (PP) - 1x paré tištěné a 1 x v elektronické podobě pro doplnění zhotovitelem (_.doc). </w:t>
      </w:r>
    </w:p>
    <w:p w14:paraId="2B4428CB" w14:textId="31342545" w:rsidR="00535E2B" w:rsidRPr="002C126A" w:rsidRDefault="00535E2B" w:rsidP="00535E2B">
      <w:pPr>
        <w:pStyle w:val="Odstavecseseznamem"/>
        <w:numPr>
          <w:ilvl w:val="0"/>
          <w:numId w:val="12"/>
        </w:numPr>
        <w:autoSpaceDE w:val="0"/>
        <w:autoSpaceDN w:val="0"/>
        <w:adjustRightInd w:val="0"/>
        <w:contextualSpacing w:val="0"/>
        <w:rPr>
          <w:rFonts w:cs="Arial"/>
          <w:szCs w:val="22"/>
        </w:rPr>
      </w:pPr>
      <w:r w:rsidRPr="002C126A">
        <w:rPr>
          <w:rFonts w:cs="Arial"/>
          <w:szCs w:val="22"/>
        </w:rPr>
        <w:t>Plán havarijních opatření na staveništi (HP) -</w:t>
      </w:r>
      <w:r w:rsidR="00354C43">
        <w:rPr>
          <w:rFonts w:cs="Arial"/>
          <w:szCs w:val="22"/>
        </w:rPr>
        <w:t xml:space="preserve"> </w:t>
      </w:r>
      <w:r w:rsidRPr="002C126A">
        <w:rPr>
          <w:rFonts w:cs="Arial"/>
          <w:szCs w:val="22"/>
        </w:rPr>
        <w:t xml:space="preserve">1x paré tištěné a 1x v elektronické podobě pro doplnění zhotovitelem (_.doc). </w:t>
      </w:r>
    </w:p>
    <w:p w14:paraId="70DDCACF" w14:textId="388686A2" w:rsidR="00535E2B" w:rsidRPr="002C126A" w:rsidRDefault="00535E2B" w:rsidP="00535E2B">
      <w:pPr>
        <w:pStyle w:val="Odstavecseseznamem"/>
        <w:numPr>
          <w:ilvl w:val="0"/>
          <w:numId w:val="12"/>
        </w:numPr>
        <w:autoSpaceDE w:val="0"/>
        <w:autoSpaceDN w:val="0"/>
        <w:adjustRightInd w:val="0"/>
        <w:contextualSpacing w:val="0"/>
        <w:rPr>
          <w:rFonts w:cs="Arial"/>
          <w:szCs w:val="22"/>
        </w:rPr>
      </w:pPr>
      <w:r w:rsidRPr="002C126A">
        <w:rPr>
          <w:rFonts w:cs="Arial"/>
          <w:szCs w:val="22"/>
        </w:rPr>
        <w:t xml:space="preserve">Podmínky provádění stavebních prací a návrh zásad kontroly jejich kvality (KZP) - 1x paré tištěné a 1x v elektronické podobě pro doplnění zhotovitelem (_.xls). </w:t>
      </w:r>
    </w:p>
    <w:p w14:paraId="07BA69F4" w14:textId="250B63D5" w:rsidR="00535E2B" w:rsidRPr="009B13D4" w:rsidRDefault="00535E2B" w:rsidP="00535E2B">
      <w:pPr>
        <w:pStyle w:val="Odstavecseseznamem"/>
        <w:numPr>
          <w:ilvl w:val="0"/>
          <w:numId w:val="12"/>
        </w:numPr>
        <w:contextualSpacing w:val="0"/>
        <w:rPr>
          <w:rFonts w:cs="Arial"/>
          <w:szCs w:val="22"/>
        </w:rPr>
      </w:pPr>
      <w:r w:rsidRPr="002C126A">
        <w:rPr>
          <w:rFonts w:cs="Arial"/>
          <w:szCs w:val="22"/>
        </w:rPr>
        <w:t>Kontrolní rozpočet stavby zpracovaný jako soupis prací a oceněný soupis prací dle zákona č. 134/2016 Sb., v platném znění, který se zpracuje</w:t>
      </w:r>
      <w:r w:rsidRPr="00B43E05">
        <w:rPr>
          <w:rFonts w:cs="Arial"/>
          <w:szCs w:val="22"/>
        </w:rPr>
        <w:t xml:space="preserve"> vedle běžných výstupů z</w:t>
      </w:r>
      <w:r w:rsidRPr="009B13D4">
        <w:rPr>
          <w:rFonts w:cs="Arial"/>
          <w:szCs w:val="22"/>
        </w:rPr>
        <w:t xml:space="preserve"> programu KROS také v elektronické podobě ve formátu (_.xc4). Soupis prací se zpracuje 6x do</w:t>
      </w:r>
      <w:r>
        <w:rPr>
          <w:rFonts w:cs="Arial"/>
          <w:szCs w:val="22"/>
        </w:rPr>
        <w:t> </w:t>
      </w:r>
      <w:r w:rsidRPr="009B13D4">
        <w:rPr>
          <w:rFonts w:cs="Arial"/>
          <w:szCs w:val="22"/>
        </w:rPr>
        <w:t xml:space="preserve">každého tištěného paré PD. Oceněný soupis prací </w:t>
      </w:r>
      <w:r w:rsidR="00354C43">
        <w:rPr>
          <w:rFonts w:ascii="Times New Roman" w:hAnsi="Times New Roman"/>
          <w:szCs w:val="22"/>
        </w:rPr>
        <w:t>˗</w:t>
      </w:r>
      <w:r w:rsidRPr="009B13D4">
        <w:rPr>
          <w:rFonts w:cs="Arial"/>
          <w:szCs w:val="22"/>
        </w:rPr>
        <w:t xml:space="preserve"> 2x paré tištěné se vloží se do paré č.</w:t>
      </w:r>
      <w:r>
        <w:rPr>
          <w:rFonts w:cs="Arial"/>
          <w:szCs w:val="22"/>
        </w:rPr>
        <w:t> </w:t>
      </w:r>
      <w:r w:rsidRPr="009B13D4">
        <w:rPr>
          <w:rFonts w:cs="Arial"/>
          <w:szCs w:val="22"/>
        </w:rPr>
        <w:t>1 a č. 2 PD. Dále se oceněný soupis dodá 1x na CD.</w:t>
      </w:r>
    </w:p>
    <w:p w14:paraId="157F67C5" w14:textId="77777777" w:rsidR="00535E2B" w:rsidRPr="00B43E05" w:rsidRDefault="00535E2B" w:rsidP="00D25936">
      <w:pPr>
        <w:ind w:left="360"/>
        <w:rPr>
          <w:rFonts w:cs="Arial"/>
          <w:szCs w:val="22"/>
        </w:rPr>
      </w:pPr>
      <w:r w:rsidRPr="00B43E05">
        <w:rPr>
          <w:rFonts w:cs="Arial"/>
          <w:szCs w:val="22"/>
        </w:rPr>
        <w:t xml:space="preserve">Pro tvorbu jednotkových cen bude v maximální možné míře použita cenová soustava ÚRS, a. s., Praha, platná v době odevzdání předmětu plnění. </w:t>
      </w:r>
    </w:p>
    <w:p w14:paraId="53BCB7E6" w14:textId="77777777" w:rsidR="00535E2B" w:rsidRPr="00B43E05" w:rsidRDefault="00535E2B" w:rsidP="00D25936">
      <w:pPr>
        <w:ind w:left="360"/>
        <w:rPr>
          <w:rFonts w:cs="Arial"/>
          <w:szCs w:val="22"/>
        </w:rPr>
      </w:pPr>
      <w:r w:rsidRPr="00B43E05">
        <w:rPr>
          <w:rFonts w:cs="Arial"/>
          <w:szCs w:val="22"/>
        </w:rPr>
        <w:t>Pokud součástí soupisu prací a oceněného soupisu prací budou u stavebních prací nebo u technologických souborů tzv. „R-položky“, bude provedena v rámci soupisu prací a</w:t>
      </w:r>
      <w:r>
        <w:rPr>
          <w:rFonts w:cs="Arial"/>
          <w:szCs w:val="22"/>
        </w:rPr>
        <w:t> </w:t>
      </w:r>
      <w:r w:rsidRPr="00B43E05">
        <w:rPr>
          <w:rFonts w:cs="Arial"/>
          <w:szCs w:val="22"/>
        </w:rPr>
        <w:t>oceněného soupisu prací kalkulace každé takovéto položky. K vytvoření kalkulace je</w:t>
      </w:r>
      <w:r>
        <w:rPr>
          <w:rFonts w:cs="Arial"/>
          <w:szCs w:val="22"/>
        </w:rPr>
        <w:t> </w:t>
      </w:r>
      <w:r w:rsidRPr="00B43E05">
        <w:rPr>
          <w:rFonts w:cs="Arial"/>
          <w:szCs w:val="22"/>
        </w:rPr>
        <w:t xml:space="preserve">možné používat položky z databáze nebo oslovit výrobce a doložit konkrétní cenovou nabídku. </w:t>
      </w:r>
    </w:p>
    <w:p w14:paraId="09E7C966" w14:textId="77777777" w:rsidR="00535E2B" w:rsidRDefault="00535E2B" w:rsidP="00535E2B">
      <w:pPr>
        <w:autoSpaceDE w:val="0"/>
        <w:autoSpaceDN w:val="0"/>
        <w:adjustRightInd w:val="0"/>
        <w:rPr>
          <w:rFonts w:cs="Arial"/>
          <w:szCs w:val="22"/>
        </w:rPr>
      </w:pPr>
    </w:p>
    <w:p w14:paraId="1C26158A" w14:textId="77777777" w:rsidR="00535E2B" w:rsidRPr="00CA30D6" w:rsidRDefault="00535E2B" w:rsidP="00535E2B">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Pr>
          <w:rFonts w:cs="Arial"/>
          <w:szCs w:val="22"/>
        </w:rPr>
        <w:t> </w:t>
      </w:r>
      <w:r w:rsidRPr="00CA30D6">
        <w:rPr>
          <w:rFonts w:cs="Arial"/>
          <w:szCs w:val="22"/>
        </w:rPr>
        <w:t>dostatečné množství příčných řezů jednoznačně určujících kvalitu betonu a oceli, polohu a</w:t>
      </w:r>
      <w:r>
        <w:rPr>
          <w:rFonts w:cs="Arial"/>
          <w:szCs w:val="22"/>
        </w:rPr>
        <w:t> </w:t>
      </w:r>
      <w:r w:rsidRPr="00CA30D6">
        <w:rPr>
          <w:rFonts w:cs="Arial"/>
          <w:szCs w:val="22"/>
        </w:rPr>
        <w:t xml:space="preserve">průřezovou plochu a jejich hmotnost, počet vložek příslušného profilu; výkres uspořádání vyztužení slouží na základě podrobného statického výpočtu jako podklad pro vypracování </w:t>
      </w:r>
      <w:r w:rsidRPr="00CA30D6">
        <w:rPr>
          <w:rFonts w:cs="Arial"/>
          <w:szCs w:val="22"/>
        </w:rPr>
        <w:lastRenderedPageBreak/>
        <w:t>podrobných výkresů výztuže - dokumentace zajišťované zhotovitelem stavby tzv. dílenské dokumentace).</w:t>
      </w:r>
    </w:p>
    <w:p w14:paraId="7C150D8B" w14:textId="77777777" w:rsidR="00535E2B" w:rsidRPr="00CA30D6" w:rsidRDefault="00535E2B" w:rsidP="00535E2B">
      <w:pPr>
        <w:rPr>
          <w:rFonts w:cs="Arial"/>
          <w:szCs w:val="22"/>
        </w:rPr>
      </w:pPr>
    </w:p>
    <w:p w14:paraId="4EB59976" w14:textId="77777777" w:rsidR="00535E2B" w:rsidRPr="009B13D4" w:rsidRDefault="00535E2B" w:rsidP="00535E2B">
      <w:pPr>
        <w:autoSpaceDE w:val="0"/>
        <w:autoSpaceDN w:val="0"/>
        <w:adjustRightInd w:val="0"/>
        <w:rPr>
          <w:rFonts w:cs="Arial"/>
          <w:szCs w:val="22"/>
        </w:rPr>
      </w:pPr>
      <w:r w:rsidRPr="009B13D4">
        <w:rPr>
          <w:rFonts w:cs="Arial"/>
          <w:szCs w:val="22"/>
        </w:rPr>
        <w:t>Kompletní projektová dokumentace bude předána celkem v počtu 6x paré tištěné + 2x na</w:t>
      </w:r>
      <w:r>
        <w:rPr>
          <w:rFonts w:cs="Arial"/>
          <w:szCs w:val="22"/>
        </w:rPr>
        <w:t> </w:t>
      </w:r>
      <w:r w:rsidRPr="009B13D4">
        <w:rPr>
          <w:rFonts w:cs="Arial"/>
          <w:szCs w:val="22"/>
        </w:rPr>
        <w:t>elektronickém nosiči dat, a to 1x ve formátu (_.pdf), a 1x v editovatelných formátech pro</w:t>
      </w:r>
      <w:r>
        <w:rPr>
          <w:rFonts w:cs="Arial"/>
          <w:szCs w:val="22"/>
        </w:rPr>
        <w:t> </w:t>
      </w:r>
      <w:r w:rsidRPr="009B13D4">
        <w:rPr>
          <w:rFonts w:cs="Arial"/>
          <w:szCs w:val="22"/>
        </w:rPr>
        <w:t>potřeby objednatele (_.doc, _.docx, _.xls, _.xlsx, _.dwg a dalších), výkresy budou v</w:t>
      </w:r>
      <w:r>
        <w:rPr>
          <w:rFonts w:cs="Arial"/>
          <w:szCs w:val="22"/>
        </w:rPr>
        <w:t> </w:t>
      </w:r>
      <w:r w:rsidRPr="009B13D4">
        <w:rPr>
          <w:rFonts w:cs="Arial"/>
          <w:szCs w:val="22"/>
        </w:rPr>
        <w:t xml:space="preserve">souřadnicovém systému S-JTSK. </w:t>
      </w:r>
    </w:p>
    <w:p w14:paraId="27CD2966" w14:textId="1769D843" w:rsidR="00535E2B" w:rsidRDefault="00535E2B" w:rsidP="00535E2B">
      <w:pPr>
        <w:autoSpaceDE w:val="0"/>
        <w:autoSpaceDN w:val="0"/>
        <w:adjustRightInd w:val="0"/>
        <w:rPr>
          <w:rFonts w:cs="Arial"/>
          <w:szCs w:val="22"/>
        </w:rPr>
      </w:pPr>
    </w:p>
    <w:p w14:paraId="529A53A3" w14:textId="77777777" w:rsidR="00F90F39" w:rsidRDefault="00F90F39" w:rsidP="00535E2B">
      <w:pPr>
        <w:autoSpaceDE w:val="0"/>
        <w:autoSpaceDN w:val="0"/>
        <w:adjustRightInd w:val="0"/>
        <w:rPr>
          <w:rFonts w:cs="Arial"/>
          <w:szCs w:val="22"/>
        </w:rPr>
      </w:pPr>
    </w:p>
    <w:p w14:paraId="571417C4" w14:textId="77777777" w:rsidR="00535E2B" w:rsidRPr="009B13D4" w:rsidRDefault="00535E2B" w:rsidP="00535E2B">
      <w:pPr>
        <w:autoSpaceDE w:val="0"/>
        <w:autoSpaceDN w:val="0"/>
        <w:adjustRightInd w:val="0"/>
        <w:rPr>
          <w:rFonts w:cs="Arial"/>
          <w:szCs w:val="22"/>
        </w:rPr>
      </w:pPr>
    </w:p>
    <w:p w14:paraId="38E0A008" w14:textId="77777777" w:rsidR="00535E2B" w:rsidRPr="009B13D4" w:rsidRDefault="00535E2B" w:rsidP="00535E2B">
      <w:pPr>
        <w:autoSpaceDE w:val="0"/>
        <w:autoSpaceDN w:val="0"/>
        <w:adjustRightInd w:val="0"/>
        <w:rPr>
          <w:rFonts w:cs="Arial"/>
          <w:b/>
          <w:szCs w:val="22"/>
        </w:rPr>
      </w:pPr>
      <w:r w:rsidRPr="009B13D4">
        <w:rPr>
          <w:rFonts w:cs="Arial"/>
          <w:b/>
          <w:szCs w:val="22"/>
        </w:rPr>
        <w:t xml:space="preserve">Průběh prací </w:t>
      </w:r>
    </w:p>
    <w:p w14:paraId="4CBC65E7" w14:textId="77777777" w:rsidR="00535E2B" w:rsidRDefault="00535E2B" w:rsidP="00BE1E0D">
      <w:pPr>
        <w:autoSpaceDE w:val="0"/>
        <w:autoSpaceDN w:val="0"/>
        <w:adjustRightInd w:val="0"/>
        <w:rPr>
          <w:rFonts w:cs="Arial"/>
          <w:szCs w:val="22"/>
        </w:rPr>
      </w:pPr>
    </w:p>
    <w:p w14:paraId="52FE10E6" w14:textId="1C60E84C" w:rsidR="009B13D4" w:rsidRPr="00E93E81" w:rsidRDefault="009B13D4" w:rsidP="00BE1E0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BE1E0D">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BE1E0D">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BE1E0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BE1E0D">
      <w:pPr>
        <w:autoSpaceDE w:val="0"/>
        <w:autoSpaceDN w:val="0"/>
        <w:adjustRightInd w:val="0"/>
        <w:rPr>
          <w:rFonts w:cs="Arial"/>
          <w:szCs w:val="22"/>
        </w:rPr>
      </w:pPr>
    </w:p>
    <w:p w14:paraId="0BD1BB69" w14:textId="41019B53" w:rsidR="009B13D4" w:rsidRPr="00E93E81" w:rsidRDefault="009B13D4" w:rsidP="00BE1E0D">
      <w:pPr>
        <w:autoSpaceDE w:val="0"/>
        <w:autoSpaceDN w:val="0"/>
        <w:adjustRightInd w:val="0"/>
        <w:rPr>
          <w:rFonts w:cs="Arial"/>
          <w:szCs w:val="22"/>
        </w:rPr>
      </w:pPr>
      <w:r w:rsidRPr="00E93E81">
        <w:rPr>
          <w:rFonts w:cs="Arial"/>
          <w:szCs w:val="22"/>
        </w:rPr>
        <w:t>Na VV budou výsledky prezentovány</w:t>
      </w:r>
      <w:r w:rsidR="00354C43">
        <w:rPr>
          <w:rFonts w:cs="Arial"/>
          <w:szCs w:val="22"/>
        </w:rPr>
        <w:t>,</w:t>
      </w:r>
      <w:r w:rsidRPr="00E93E81">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BE1E0D">
      <w:pPr>
        <w:autoSpaceDE w:val="0"/>
        <w:autoSpaceDN w:val="0"/>
        <w:adjustRightInd w:val="0"/>
        <w:rPr>
          <w:rFonts w:cs="Arial"/>
          <w:szCs w:val="22"/>
        </w:rPr>
      </w:pPr>
    </w:p>
    <w:p w14:paraId="52265A7E" w14:textId="77777777" w:rsidR="009B13D4" w:rsidRPr="00E93E81" w:rsidRDefault="009B13D4" w:rsidP="00BE1E0D">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132F16D8"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 xml:space="preserve">2x pracovní tištěná paré </w:t>
      </w:r>
      <w:r w:rsidR="00354C43">
        <w:rPr>
          <w:rFonts w:ascii="Times New Roman" w:hAnsi="Times New Roman"/>
          <w:szCs w:val="22"/>
        </w:rPr>
        <w:t>˗</w:t>
      </w:r>
      <w:r w:rsidRPr="00E93E81">
        <w:rPr>
          <w:rFonts w:cs="Arial"/>
          <w:szCs w:val="22"/>
        </w:rPr>
        <w:t xml:space="preserve">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93E81" w:rsidRDefault="009B13D4" w:rsidP="00BE1E0D">
      <w:pPr>
        <w:autoSpaceDE w:val="0"/>
        <w:autoSpaceDN w:val="0"/>
        <w:adjustRightInd w:val="0"/>
        <w:rPr>
          <w:rFonts w:cs="Arial"/>
          <w:szCs w:val="22"/>
        </w:rPr>
      </w:pPr>
    </w:p>
    <w:p w14:paraId="58798EF2" w14:textId="77777777" w:rsidR="009B13D4" w:rsidRPr="00E93E81" w:rsidRDefault="009B13D4" w:rsidP="00BE1E0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BE1E0D">
      <w:pPr>
        <w:autoSpaceDE w:val="0"/>
        <w:autoSpaceDN w:val="0"/>
        <w:adjustRightInd w:val="0"/>
        <w:rPr>
          <w:rFonts w:cs="Arial"/>
          <w:szCs w:val="22"/>
        </w:rPr>
      </w:pPr>
    </w:p>
    <w:p w14:paraId="109B04DC"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projektové dokumentace v</w:t>
      </w:r>
      <w:r>
        <w:rPr>
          <w:rFonts w:cs="Arial"/>
          <w:szCs w:val="22"/>
        </w:rPr>
        <w:t xml:space="preserve"> investiční </w:t>
      </w:r>
      <w:r w:rsidRPr="009B13D4">
        <w:rPr>
          <w:rFonts w:cs="Arial"/>
          <w:szCs w:val="22"/>
        </w:rPr>
        <w:t>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paré tištěné + 1x na elektronickém nosiči dat. </w:t>
      </w:r>
    </w:p>
    <w:p w14:paraId="26161CA1" w14:textId="77777777" w:rsidR="000674F1" w:rsidRPr="009B13D4" w:rsidRDefault="000674F1" w:rsidP="00BE1E0D">
      <w:pPr>
        <w:autoSpaceDE w:val="0"/>
        <w:autoSpaceDN w:val="0"/>
        <w:adjustRightInd w:val="0"/>
        <w:rPr>
          <w:rFonts w:cs="Arial"/>
          <w:szCs w:val="22"/>
        </w:rPr>
      </w:pPr>
    </w:p>
    <w:p w14:paraId="39550283"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kompletní projektové dokumentace v</w:t>
      </w:r>
      <w:r>
        <w:rPr>
          <w:rFonts w:cs="Arial"/>
          <w:szCs w:val="22"/>
        </w:rPr>
        <w:t xml:space="preserve"> investiční </w:t>
      </w:r>
      <w:r w:rsidRPr="009B13D4">
        <w:rPr>
          <w:rFonts w:cs="Arial"/>
          <w:szCs w:val="22"/>
        </w:rPr>
        <w:t xml:space="preserve">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BE1E0D">
      <w:pPr>
        <w:autoSpaceDE w:val="0"/>
        <w:autoSpaceDN w:val="0"/>
        <w:adjustRightInd w:val="0"/>
        <w:rPr>
          <w:rFonts w:cs="Arial"/>
          <w:szCs w:val="22"/>
        </w:rPr>
      </w:pPr>
    </w:p>
    <w:p w14:paraId="5E4B8DAC" w14:textId="729E34E5" w:rsidR="009B13D4" w:rsidRDefault="009B13D4" w:rsidP="00BE1E0D">
      <w:pPr>
        <w:autoSpaceDE w:val="0"/>
        <w:autoSpaceDN w:val="0"/>
        <w:adjustRightInd w:val="0"/>
        <w:rPr>
          <w:rFonts w:cs="Arial"/>
          <w:szCs w:val="22"/>
        </w:rPr>
      </w:pPr>
      <w:r w:rsidRPr="00E93E81">
        <w:rPr>
          <w:rFonts w:cs="Arial"/>
          <w:szCs w:val="22"/>
        </w:rPr>
        <w:t xml:space="preserve">Zhotovitel odpovídá za to, že dílo bude provedeno v souladu s příslušnými platnými předpisy a technickými normami. Zhotovitel je zodpovědný za stanovení potřebného rozsahu </w:t>
      </w:r>
      <w:r w:rsidRPr="00E93E81">
        <w:rPr>
          <w:rFonts w:cs="Arial"/>
          <w:szCs w:val="22"/>
        </w:rPr>
        <w:lastRenderedPageBreak/>
        <w:t>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3A601733" w14:textId="1366C97C" w:rsidR="00535E2B" w:rsidRDefault="00535E2B" w:rsidP="00BE1E0D">
      <w:pPr>
        <w:autoSpaceDE w:val="0"/>
        <w:autoSpaceDN w:val="0"/>
        <w:adjustRightInd w:val="0"/>
        <w:rPr>
          <w:rFonts w:cs="Arial"/>
          <w:szCs w:val="22"/>
        </w:rPr>
      </w:pPr>
    </w:p>
    <w:p w14:paraId="6E181255" w14:textId="77777777" w:rsidR="00535E2B" w:rsidRPr="00535E2B" w:rsidRDefault="00535E2B" w:rsidP="00535E2B">
      <w:pPr>
        <w:autoSpaceDE w:val="0"/>
        <w:autoSpaceDN w:val="0"/>
        <w:adjustRightInd w:val="0"/>
        <w:rPr>
          <w:rFonts w:ascii="Helv" w:hAnsi="Helv" w:cs="Helv"/>
        </w:rPr>
      </w:pPr>
      <w:r w:rsidRPr="00535E2B">
        <w:rPr>
          <w:rFonts w:cs="Arial"/>
        </w:rPr>
        <w:t xml:space="preserve">Pokud zhotovitel projekčních prací </w:t>
      </w:r>
      <w:r w:rsidRPr="00535E2B">
        <w:rPr>
          <w:rFonts w:ascii="Helv" w:hAnsi="Helv" w:cs="Helv"/>
        </w:rPr>
        <w:t>vyhodnotí, že budou na staveništi vykonávány práce a 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535E2B">
        <w:rPr>
          <w:rFonts w:cs="Arial"/>
        </w:rPr>
        <w:t xml:space="preserve"> výboru, elektronickou poštou</w:t>
      </w:r>
      <w:r w:rsidRPr="00535E2B">
        <w:rPr>
          <w:rFonts w:ascii="Helv" w:hAnsi="Helv" w:cs="Helv"/>
        </w:rPr>
        <w:t xml:space="preserve">) ještě v době zpracovávání PD. </w:t>
      </w:r>
      <w:r w:rsidRPr="00535E2B">
        <w:rPr>
          <w:rFonts w:cs="Arial"/>
        </w:rPr>
        <w:t xml:space="preserve">Objednatel </w:t>
      </w:r>
      <w:r w:rsidRPr="00535E2B">
        <w:rPr>
          <w:rFonts w:ascii="Helv" w:hAnsi="Helv" w:cs="Helv"/>
        </w:rPr>
        <w:t xml:space="preserve">následně zajistí v souladu s ustanovením § 15 odst. 2, zákona č. 309/2006 Sb., ve znění pozdějších předpisů, zpracování plánu BOZP koordinátorem BOZP v době přípravy stavby. </w:t>
      </w:r>
    </w:p>
    <w:p w14:paraId="2C843D31" w14:textId="77777777" w:rsidR="00535E2B" w:rsidRPr="00535E2B" w:rsidRDefault="00535E2B" w:rsidP="00535E2B">
      <w:pPr>
        <w:autoSpaceDE w:val="0"/>
        <w:autoSpaceDN w:val="0"/>
        <w:adjustRightInd w:val="0"/>
        <w:rPr>
          <w:rFonts w:ascii="Helv" w:hAnsi="Helv" w:cs="Helv"/>
        </w:rPr>
      </w:pPr>
    </w:p>
    <w:p w14:paraId="682C5372" w14:textId="77777777" w:rsidR="00535E2B" w:rsidRPr="00535E2B" w:rsidRDefault="00535E2B" w:rsidP="00535E2B">
      <w:pPr>
        <w:autoSpaceDE w:val="0"/>
        <w:autoSpaceDN w:val="0"/>
        <w:adjustRightInd w:val="0"/>
        <w:rPr>
          <w:rFonts w:ascii="Helv" w:hAnsi="Helv" w:cs="Helv"/>
        </w:rPr>
      </w:pPr>
      <w:r w:rsidRPr="00535E2B">
        <w:rPr>
          <w:rFonts w:ascii="Helv" w:hAnsi="Helv" w:cs="Helv"/>
        </w:rPr>
        <w:t xml:space="preserve">Pokud zhotovitel </w:t>
      </w:r>
      <w:r w:rsidRPr="00535E2B">
        <w:rPr>
          <w:rFonts w:cs="Arial"/>
        </w:rPr>
        <w:t xml:space="preserve">projekčních prací  </w:t>
      </w:r>
      <w:r w:rsidRPr="00535E2B">
        <w:rPr>
          <w:rFonts w:ascii="Helv" w:hAnsi="Helv" w:cs="Helv"/>
        </w:rPr>
        <w:t>vyhodnotí, že je nutné ve fázi přípravy a realizace stavby určit koordinátora BOZP (například při předpokladu naplnění ustanovení § 14 odst.1, zákona č. 309/2006 Sb., ve znění pozdějších předpisů,  a předpokladu, že nedojde k výjimce, kdy se koordinátor BOZP ve smyslu § 14 odst. 6, zákona č. 309/2006 Sb., ve znění pozdějších předpisů, neurčuje) sdělí zhotovitel tuto informaci neprodleně objednateli prokazatelným způsobem (např. v zápise z výrobního</w:t>
      </w:r>
      <w:r w:rsidRPr="00535E2B">
        <w:rPr>
          <w:rFonts w:cs="Arial"/>
        </w:rPr>
        <w:t xml:space="preserve"> výboru, elektronickou poštou</w:t>
      </w:r>
      <w:r w:rsidRPr="00535E2B">
        <w:rPr>
          <w:rFonts w:ascii="Helv" w:hAnsi="Helv" w:cs="Helv"/>
        </w:rPr>
        <w:t>) ještě v době zpracovávání PD. Objednatel následně smluvně zajistí činnost koordinátora BOZP oprávněnou osobou pro dobu přípravy a realizace stavby.</w:t>
      </w:r>
    </w:p>
    <w:p w14:paraId="078A23AB" w14:textId="77777777" w:rsidR="00535E2B" w:rsidRPr="00535E2B" w:rsidRDefault="00535E2B" w:rsidP="00535E2B">
      <w:pPr>
        <w:autoSpaceDE w:val="0"/>
        <w:autoSpaceDN w:val="0"/>
        <w:adjustRightInd w:val="0"/>
        <w:rPr>
          <w:rFonts w:ascii="Helv" w:hAnsi="Helv" w:cs="Helv"/>
        </w:rPr>
      </w:pPr>
    </w:p>
    <w:p w14:paraId="59871622" w14:textId="77777777" w:rsidR="00535E2B" w:rsidRPr="002C126A" w:rsidRDefault="00535E2B" w:rsidP="00535E2B">
      <w:pPr>
        <w:autoSpaceDE w:val="0"/>
        <w:autoSpaceDN w:val="0"/>
        <w:adjustRightInd w:val="0"/>
        <w:rPr>
          <w:rFonts w:ascii="Helv" w:hAnsi="Helv" w:cs="Helv"/>
        </w:rPr>
      </w:pPr>
      <w:r w:rsidRPr="00535E2B">
        <w:rPr>
          <w:rFonts w:ascii="Helv" w:hAnsi="Helv" w:cs="Helv"/>
        </w:rPr>
        <w:t>Zhotovitel je povinen v době přípravy, resp. v době zpracovávání PD, poskytnout pověřenému koordinátorovi BOZP podklady, informace a součinnost.</w:t>
      </w:r>
    </w:p>
    <w:p w14:paraId="694C583C" w14:textId="05877121" w:rsidR="00535E2B" w:rsidRDefault="00535E2B" w:rsidP="00BE1E0D">
      <w:pPr>
        <w:autoSpaceDE w:val="0"/>
        <w:autoSpaceDN w:val="0"/>
        <w:adjustRightInd w:val="0"/>
        <w:rPr>
          <w:rFonts w:cs="Arial"/>
          <w:szCs w:val="22"/>
        </w:rPr>
      </w:pPr>
    </w:p>
    <w:p w14:paraId="380BBB75" w14:textId="77777777" w:rsidR="00F90F39" w:rsidRPr="00E93E81" w:rsidRDefault="00F90F39" w:rsidP="00BE1E0D">
      <w:pPr>
        <w:autoSpaceDE w:val="0"/>
        <w:autoSpaceDN w:val="0"/>
        <w:adjustRightInd w:val="0"/>
        <w:rPr>
          <w:rFonts w:cs="Arial"/>
          <w:szCs w:val="22"/>
        </w:rPr>
      </w:pPr>
    </w:p>
    <w:p w14:paraId="4A45F1FD" w14:textId="77777777" w:rsidR="005A1623" w:rsidRDefault="005A1623" w:rsidP="00BE1E0D">
      <w:pPr>
        <w:autoSpaceDE w:val="0"/>
        <w:autoSpaceDN w:val="0"/>
        <w:adjustRightInd w:val="0"/>
        <w:rPr>
          <w:rFonts w:cs="Arial"/>
          <w:szCs w:val="22"/>
        </w:rPr>
      </w:pPr>
    </w:p>
    <w:p w14:paraId="79B35E01" w14:textId="35234162" w:rsidR="00680069"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24902A30" w14:textId="77777777" w:rsidR="00F90F39" w:rsidRPr="00F90F39" w:rsidRDefault="00F90F39" w:rsidP="00F90F39"/>
    <w:p w14:paraId="712A54BB" w14:textId="77777777" w:rsidR="00A075C1" w:rsidRPr="00B1004E" w:rsidRDefault="00A075C1" w:rsidP="00BE1E0D">
      <w:pPr>
        <w:rPr>
          <w:rFonts w:cs="Arial"/>
          <w:szCs w:val="22"/>
        </w:rPr>
      </w:pPr>
    </w:p>
    <w:p w14:paraId="00017A41" w14:textId="4B10EDF2" w:rsidR="00487F0A" w:rsidRDefault="00C63F88" w:rsidP="00BE1E0D">
      <w:pPr>
        <w:pStyle w:val="Nadpis4"/>
      </w:pPr>
      <w:r w:rsidRPr="005A1623">
        <w:t>Termín provedení díla</w:t>
      </w:r>
      <w:r w:rsidR="009577CF" w:rsidRPr="005A1623">
        <w:t>:</w:t>
      </w:r>
    </w:p>
    <w:p w14:paraId="63853866" w14:textId="77777777" w:rsidR="00F90F39" w:rsidRPr="00F90F39" w:rsidRDefault="00F90F39" w:rsidP="00F90F39"/>
    <w:p w14:paraId="53BBCDE1" w14:textId="77777777" w:rsidR="001D1C96" w:rsidRPr="00217336"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217336">
        <w:rPr>
          <w:rFonts w:cs="Arial"/>
          <w:color w:val="000000"/>
          <w:szCs w:val="22"/>
        </w:rPr>
        <w:t>zahájení prací na předmětu plnění:</w:t>
      </w:r>
    </w:p>
    <w:p w14:paraId="66D60867" w14:textId="79D11EBB" w:rsidR="006F7D2E" w:rsidRPr="00217336" w:rsidRDefault="006F7D2E" w:rsidP="009D6660">
      <w:pPr>
        <w:autoSpaceDE w:val="0"/>
        <w:autoSpaceDN w:val="0"/>
        <w:adjustRightInd w:val="0"/>
        <w:ind w:left="709"/>
        <w:rPr>
          <w:rFonts w:cs="Arial"/>
          <w:color w:val="000000"/>
          <w:szCs w:val="22"/>
        </w:rPr>
      </w:pPr>
      <w:r w:rsidRPr="00217336">
        <w:rPr>
          <w:rFonts w:cs="Arial"/>
          <w:color w:val="000000"/>
          <w:szCs w:val="22"/>
        </w:rPr>
        <w:t>bez zbytečného odkladu</w:t>
      </w:r>
      <w:r w:rsidR="0060753C" w:rsidRPr="00217336">
        <w:rPr>
          <w:rFonts w:cs="Arial"/>
          <w:color w:val="000000"/>
          <w:szCs w:val="22"/>
        </w:rPr>
        <w:t xml:space="preserve">, </w:t>
      </w:r>
      <w:r w:rsidR="0060753C" w:rsidRPr="00943DE0">
        <w:rPr>
          <w:rFonts w:cs="Arial"/>
          <w:b/>
          <w:color w:val="000000"/>
          <w:szCs w:val="22"/>
        </w:rPr>
        <w:t>nejpozději však do 10 týdnů</w:t>
      </w:r>
      <w:r w:rsidRPr="00943DE0">
        <w:rPr>
          <w:rFonts w:cs="Arial"/>
          <w:b/>
          <w:color w:val="000000"/>
          <w:szCs w:val="22"/>
        </w:rPr>
        <w:t xml:space="preserve"> po nabytí účinnosti </w:t>
      </w:r>
      <w:r w:rsidR="009D6660">
        <w:rPr>
          <w:rFonts w:cs="Arial"/>
          <w:b/>
          <w:color w:val="000000"/>
          <w:szCs w:val="22"/>
        </w:rPr>
        <w:t xml:space="preserve">  </w:t>
      </w:r>
      <w:r w:rsidRPr="00943DE0">
        <w:rPr>
          <w:rFonts w:cs="Arial"/>
          <w:b/>
          <w:color w:val="000000"/>
          <w:szCs w:val="22"/>
        </w:rPr>
        <w:t>smlouvy</w:t>
      </w:r>
      <w:r w:rsidR="009D6660">
        <w:rPr>
          <w:rFonts w:cs="Arial"/>
          <w:b/>
          <w:color w:val="000000"/>
          <w:szCs w:val="22"/>
        </w:rPr>
        <w:t>  </w:t>
      </w:r>
    </w:p>
    <w:p w14:paraId="3C0D530D" w14:textId="77777777" w:rsidR="001D1C96" w:rsidRPr="00217336" w:rsidRDefault="00837762" w:rsidP="00BE1E0D">
      <w:pPr>
        <w:autoSpaceDE w:val="0"/>
        <w:autoSpaceDN w:val="0"/>
        <w:adjustRightInd w:val="0"/>
        <w:ind w:left="709" w:hanging="1"/>
        <w:rPr>
          <w:rFonts w:cs="Arial"/>
          <w:color w:val="000000"/>
          <w:szCs w:val="22"/>
        </w:rPr>
      </w:pPr>
      <w:r w:rsidRPr="00217336">
        <w:rPr>
          <w:rFonts w:cs="Arial"/>
          <w:color w:val="000000"/>
          <w:szCs w:val="22"/>
        </w:rPr>
        <w:t xml:space="preserve"> </w:t>
      </w:r>
    </w:p>
    <w:p w14:paraId="09D88063" w14:textId="0893F411" w:rsidR="001D1C96" w:rsidRPr="00217336" w:rsidRDefault="000674F1" w:rsidP="00BE1E0D">
      <w:pPr>
        <w:pStyle w:val="Odstavecseseznamem"/>
        <w:numPr>
          <w:ilvl w:val="0"/>
          <w:numId w:val="11"/>
        </w:numPr>
        <w:autoSpaceDE w:val="0"/>
        <w:autoSpaceDN w:val="0"/>
        <w:adjustRightInd w:val="0"/>
        <w:ind w:left="709" w:hanging="425"/>
        <w:contextualSpacing w:val="0"/>
        <w:rPr>
          <w:rFonts w:cs="Arial"/>
          <w:b/>
          <w:color w:val="000000"/>
          <w:szCs w:val="22"/>
        </w:rPr>
      </w:pPr>
      <w:r w:rsidRPr="00217336">
        <w:rPr>
          <w:rFonts w:cs="Arial"/>
          <w:color w:val="000000"/>
          <w:szCs w:val="22"/>
        </w:rPr>
        <w:t xml:space="preserve">první </w:t>
      </w:r>
      <w:r w:rsidR="001D1C96" w:rsidRPr="00217336">
        <w:rPr>
          <w:rFonts w:cs="Arial"/>
          <w:color w:val="000000"/>
          <w:szCs w:val="22"/>
        </w:rPr>
        <w:t xml:space="preserve">dílčí termín </w:t>
      </w:r>
      <w:r w:rsidR="00354C43" w:rsidRPr="00217336">
        <w:rPr>
          <w:rFonts w:ascii="Times New Roman" w:hAnsi="Times New Roman"/>
          <w:color w:val="000000"/>
          <w:szCs w:val="22"/>
        </w:rPr>
        <w:t>˗</w:t>
      </w:r>
      <w:r w:rsidR="001D1C96" w:rsidRPr="00217336">
        <w:rPr>
          <w:rFonts w:cs="Arial"/>
          <w:color w:val="000000"/>
          <w:szCs w:val="22"/>
        </w:rPr>
        <w:t xml:space="preserve"> předání </w:t>
      </w:r>
      <w:r w:rsidR="00535E2B" w:rsidRPr="00217336">
        <w:rPr>
          <w:rFonts w:cs="Arial"/>
          <w:color w:val="000000"/>
          <w:szCs w:val="22"/>
        </w:rPr>
        <w:t xml:space="preserve">PD </w:t>
      </w:r>
      <w:r w:rsidR="001D1C96" w:rsidRPr="00217336">
        <w:rPr>
          <w:rFonts w:cs="Arial"/>
          <w:color w:val="000000"/>
          <w:szCs w:val="22"/>
        </w:rPr>
        <w:t>(2 x tištěné + 1 x elektronicky) po projednání na</w:t>
      </w:r>
      <w:r w:rsidR="00C95C0D" w:rsidRPr="00217336">
        <w:rPr>
          <w:rFonts w:cs="Arial"/>
          <w:color w:val="000000"/>
          <w:szCs w:val="22"/>
        </w:rPr>
        <w:t> </w:t>
      </w:r>
      <w:r w:rsidR="001D1C96" w:rsidRPr="00217336">
        <w:rPr>
          <w:rFonts w:cs="Arial"/>
          <w:color w:val="000000"/>
          <w:szCs w:val="22"/>
        </w:rPr>
        <w:t xml:space="preserve">ZVV: </w:t>
      </w:r>
      <w:r w:rsidR="00943DE0">
        <w:rPr>
          <w:rFonts w:cs="Arial"/>
          <w:color w:val="000000"/>
          <w:szCs w:val="22"/>
        </w:rPr>
        <w:t xml:space="preserve">  </w:t>
      </w:r>
      <w:r w:rsidR="001D1C96" w:rsidRPr="00943DE0">
        <w:rPr>
          <w:rFonts w:cs="Arial"/>
          <w:b/>
          <w:color w:val="000000"/>
          <w:szCs w:val="22"/>
        </w:rPr>
        <w:t xml:space="preserve">nejpozději </w:t>
      </w:r>
      <w:r w:rsidR="001D1C96" w:rsidRPr="00943DE0">
        <w:rPr>
          <w:rFonts w:cs="Arial"/>
          <w:b/>
          <w:bCs/>
          <w:color w:val="000000"/>
          <w:szCs w:val="22"/>
        </w:rPr>
        <w:t xml:space="preserve">do </w:t>
      </w:r>
      <w:r w:rsidR="0004481C" w:rsidRPr="00943DE0">
        <w:rPr>
          <w:rFonts w:cs="Arial"/>
          <w:b/>
          <w:bCs/>
          <w:color w:val="000000"/>
          <w:szCs w:val="22"/>
        </w:rPr>
        <w:t>31.</w:t>
      </w:r>
      <w:r w:rsidR="00943DE0" w:rsidRPr="00943DE0">
        <w:rPr>
          <w:rFonts w:cs="Arial"/>
          <w:b/>
          <w:bCs/>
          <w:color w:val="000000"/>
          <w:szCs w:val="22"/>
        </w:rPr>
        <w:t>0</w:t>
      </w:r>
      <w:r w:rsidR="0004481C" w:rsidRPr="00943DE0">
        <w:rPr>
          <w:rFonts w:cs="Arial"/>
          <w:b/>
          <w:bCs/>
          <w:color w:val="000000"/>
          <w:szCs w:val="22"/>
        </w:rPr>
        <w:t>5.2023</w:t>
      </w:r>
    </w:p>
    <w:p w14:paraId="15F1E480" w14:textId="77777777" w:rsidR="000674F1" w:rsidRPr="00217336" w:rsidRDefault="000674F1" w:rsidP="00BE1E0D">
      <w:pPr>
        <w:autoSpaceDE w:val="0"/>
        <w:autoSpaceDN w:val="0"/>
        <w:adjustRightInd w:val="0"/>
        <w:rPr>
          <w:rFonts w:cs="Arial"/>
          <w:color w:val="000000"/>
          <w:szCs w:val="22"/>
        </w:rPr>
      </w:pPr>
    </w:p>
    <w:p w14:paraId="31EDBFE4" w14:textId="2BBA000F" w:rsidR="00535E2B" w:rsidRPr="00943DE0" w:rsidRDefault="000674F1" w:rsidP="00535E2B">
      <w:pPr>
        <w:pStyle w:val="Odstavecseseznamem"/>
        <w:numPr>
          <w:ilvl w:val="0"/>
          <w:numId w:val="11"/>
        </w:numPr>
        <w:autoSpaceDE w:val="0"/>
        <w:autoSpaceDN w:val="0"/>
        <w:adjustRightInd w:val="0"/>
        <w:ind w:left="709" w:hanging="425"/>
        <w:contextualSpacing w:val="0"/>
        <w:rPr>
          <w:rFonts w:cs="Arial"/>
          <w:b/>
          <w:color w:val="000000"/>
          <w:szCs w:val="22"/>
        </w:rPr>
      </w:pPr>
      <w:r w:rsidRPr="00217336">
        <w:rPr>
          <w:rFonts w:cs="Arial"/>
          <w:color w:val="000000"/>
          <w:szCs w:val="22"/>
        </w:rPr>
        <w:t xml:space="preserve">druhý dílčí termín </w:t>
      </w:r>
      <w:r w:rsidR="00535E2B" w:rsidRPr="00217336">
        <w:rPr>
          <w:rFonts w:cs="Arial"/>
          <w:color w:val="000000"/>
          <w:szCs w:val="22"/>
        </w:rPr>
        <w:t xml:space="preserve">předání </w:t>
      </w:r>
      <w:r w:rsidR="0004481C">
        <w:rPr>
          <w:rFonts w:cs="Arial"/>
          <w:color w:val="000000"/>
          <w:szCs w:val="22"/>
        </w:rPr>
        <w:t xml:space="preserve">kompletní </w:t>
      </w:r>
      <w:r w:rsidR="00535E2B" w:rsidRPr="00217336">
        <w:rPr>
          <w:rFonts w:cs="Arial"/>
          <w:color w:val="000000"/>
          <w:szCs w:val="22"/>
        </w:rPr>
        <w:t xml:space="preserve">PD (2 x tištěné + 1 x elektronicky) </w:t>
      </w:r>
      <w:r w:rsidR="0004481C">
        <w:rPr>
          <w:rFonts w:cs="Arial"/>
          <w:color w:val="000000"/>
          <w:szCs w:val="22"/>
        </w:rPr>
        <w:t>včetně inženýrské činnosti</w:t>
      </w:r>
      <w:r w:rsidR="00535E2B" w:rsidRPr="00217336">
        <w:rPr>
          <w:rFonts w:cs="Arial"/>
          <w:color w:val="000000"/>
          <w:szCs w:val="22"/>
        </w:rPr>
        <w:t xml:space="preserve">: </w:t>
      </w:r>
      <w:r w:rsidR="00535E2B" w:rsidRPr="00943DE0">
        <w:rPr>
          <w:rFonts w:cs="Arial"/>
          <w:b/>
          <w:color w:val="000000"/>
          <w:szCs w:val="22"/>
        </w:rPr>
        <w:t xml:space="preserve">nejpozději </w:t>
      </w:r>
      <w:r w:rsidR="00535E2B" w:rsidRPr="00943DE0">
        <w:rPr>
          <w:rFonts w:cs="Arial"/>
          <w:b/>
          <w:bCs/>
          <w:color w:val="000000"/>
          <w:szCs w:val="22"/>
        </w:rPr>
        <w:t>do 3</w:t>
      </w:r>
      <w:r w:rsidR="0004481C" w:rsidRPr="00943DE0">
        <w:rPr>
          <w:rFonts w:cs="Arial"/>
          <w:b/>
          <w:bCs/>
          <w:color w:val="000000"/>
          <w:szCs w:val="22"/>
        </w:rPr>
        <w:t>1.</w:t>
      </w:r>
      <w:r w:rsidR="00943DE0" w:rsidRPr="00943DE0">
        <w:rPr>
          <w:rFonts w:cs="Arial"/>
          <w:b/>
          <w:bCs/>
          <w:color w:val="000000"/>
          <w:szCs w:val="22"/>
        </w:rPr>
        <w:t>0</w:t>
      </w:r>
      <w:r w:rsidR="0004481C" w:rsidRPr="00943DE0">
        <w:rPr>
          <w:rFonts w:cs="Arial"/>
          <w:b/>
          <w:bCs/>
          <w:color w:val="000000"/>
          <w:szCs w:val="22"/>
        </w:rPr>
        <w:t>8.2023</w:t>
      </w:r>
    </w:p>
    <w:p w14:paraId="564906A4" w14:textId="77777777" w:rsidR="00535E2B" w:rsidRPr="00943DE0" w:rsidRDefault="00535E2B" w:rsidP="00535E2B">
      <w:pPr>
        <w:autoSpaceDE w:val="0"/>
        <w:autoSpaceDN w:val="0"/>
        <w:adjustRightInd w:val="0"/>
        <w:rPr>
          <w:rFonts w:cs="Arial"/>
          <w:b/>
          <w:color w:val="000000"/>
          <w:szCs w:val="22"/>
        </w:rPr>
      </w:pPr>
    </w:p>
    <w:p w14:paraId="1C867F00" w14:textId="77777777" w:rsidR="001D1C96" w:rsidRPr="00217336"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217336">
        <w:rPr>
          <w:rFonts w:cs="Arial"/>
          <w:color w:val="000000"/>
          <w:szCs w:val="22"/>
        </w:rPr>
        <w:t>předání a převzetí kompletní PD (4 x tištěné + 2 x elektronicky):</w:t>
      </w:r>
    </w:p>
    <w:p w14:paraId="6EC2E5E9" w14:textId="49AF4842" w:rsidR="001D1C96" w:rsidRDefault="00C12B6A" w:rsidP="00BE1E0D">
      <w:pPr>
        <w:autoSpaceDE w:val="0"/>
        <w:autoSpaceDN w:val="0"/>
        <w:adjustRightInd w:val="0"/>
        <w:rPr>
          <w:rFonts w:cs="Arial"/>
          <w:color w:val="000000"/>
          <w:szCs w:val="22"/>
        </w:rPr>
      </w:pPr>
      <w:r w:rsidRPr="00217336">
        <w:rPr>
          <w:rFonts w:cs="Arial"/>
          <w:color w:val="000000"/>
          <w:szCs w:val="22"/>
        </w:rPr>
        <w:t xml:space="preserve"> </w:t>
      </w:r>
      <w:r w:rsidRPr="00217336">
        <w:rPr>
          <w:rFonts w:cs="Arial"/>
          <w:color w:val="000000"/>
          <w:szCs w:val="22"/>
        </w:rPr>
        <w:tab/>
      </w:r>
      <w:r w:rsidR="001D1C96" w:rsidRPr="00943DE0">
        <w:rPr>
          <w:rFonts w:cs="Arial"/>
          <w:b/>
          <w:color w:val="000000"/>
          <w:szCs w:val="22"/>
        </w:rPr>
        <w:t>1 měsíc po schválení v</w:t>
      </w:r>
      <w:r w:rsidR="000674F1" w:rsidRPr="00943DE0">
        <w:rPr>
          <w:rFonts w:cs="Arial"/>
          <w:b/>
          <w:color w:val="000000"/>
          <w:szCs w:val="22"/>
        </w:rPr>
        <w:t xml:space="preserve"> investiční </w:t>
      </w:r>
      <w:r w:rsidR="001D1C96" w:rsidRPr="00943DE0">
        <w:rPr>
          <w:rFonts w:cs="Arial"/>
          <w:b/>
          <w:color w:val="000000"/>
          <w:szCs w:val="22"/>
        </w:rPr>
        <w:t>komisi</w:t>
      </w:r>
      <w:r w:rsidR="001D1C96" w:rsidRPr="00217336">
        <w:rPr>
          <w:rFonts w:cs="Arial"/>
          <w:color w:val="000000"/>
          <w:szCs w:val="22"/>
        </w:rPr>
        <w:t xml:space="preserve"> (dále jen </w:t>
      </w:r>
      <w:r w:rsidR="000674F1" w:rsidRPr="00217336">
        <w:rPr>
          <w:rFonts w:cs="Arial"/>
          <w:color w:val="000000"/>
          <w:szCs w:val="22"/>
        </w:rPr>
        <w:t>IK PŘ</w:t>
      </w:r>
      <w:r w:rsidRPr="00217336">
        <w:rPr>
          <w:rFonts w:cs="Arial"/>
          <w:color w:val="000000"/>
          <w:szCs w:val="22"/>
        </w:rPr>
        <w:t>)</w:t>
      </w:r>
    </w:p>
    <w:p w14:paraId="6473D721" w14:textId="77777777" w:rsidR="00F90F39" w:rsidRPr="00217336" w:rsidRDefault="00F90F39" w:rsidP="00BE1E0D">
      <w:pPr>
        <w:autoSpaceDE w:val="0"/>
        <w:autoSpaceDN w:val="0"/>
        <w:adjustRightInd w:val="0"/>
        <w:rPr>
          <w:rFonts w:cs="Arial"/>
          <w:color w:val="000000"/>
          <w:szCs w:val="22"/>
        </w:rPr>
      </w:pPr>
    </w:p>
    <w:p w14:paraId="45FAFD5A" w14:textId="77777777" w:rsidR="00680069" w:rsidRPr="00217336" w:rsidRDefault="00680069" w:rsidP="00BE1E0D">
      <w:pPr>
        <w:ind w:left="426"/>
        <w:rPr>
          <w:rFonts w:cs="Arial"/>
          <w:szCs w:val="22"/>
        </w:rPr>
      </w:pPr>
    </w:p>
    <w:p w14:paraId="435DCC50" w14:textId="08D198F2" w:rsidR="00F34A8E" w:rsidRDefault="002329A3" w:rsidP="00BE1E0D">
      <w:pPr>
        <w:rPr>
          <w:rFonts w:cs="Arial"/>
          <w:color w:val="000000"/>
          <w:szCs w:val="22"/>
        </w:rPr>
      </w:pPr>
      <w:r w:rsidRPr="00217336">
        <w:rPr>
          <w:rFonts w:cs="Arial"/>
          <w:color w:val="000000"/>
          <w:szCs w:val="22"/>
        </w:rPr>
        <w:t>Místem plnění je Povodí Ohře, státní podnik, se sídlem Bezručova 4219</w:t>
      </w:r>
      <w:r w:rsidRPr="005A1623">
        <w:rPr>
          <w:rFonts w:cs="Arial"/>
          <w:color w:val="000000"/>
          <w:szCs w:val="22"/>
        </w:rPr>
        <w:t xml:space="preserve">, 430 03 Chomutov odbor </w:t>
      </w:r>
      <w:r w:rsidR="00414DA0" w:rsidRPr="005A1623">
        <w:rPr>
          <w:rFonts w:cs="Arial"/>
          <w:color w:val="000000"/>
          <w:szCs w:val="22"/>
        </w:rPr>
        <w:t>IN</w:t>
      </w:r>
      <w:r w:rsidR="00943DE0">
        <w:rPr>
          <w:rFonts w:cs="Arial"/>
          <w:color w:val="000000"/>
          <w:szCs w:val="22"/>
        </w:rPr>
        <w:t>Ž</w:t>
      </w:r>
      <w:r w:rsidRPr="005A1623">
        <w:rPr>
          <w:rFonts w:cs="Arial"/>
          <w:color w:val="000000"/>
          <w:szCs w:val="22"/>
        </w:rPr>
        <w:t>.</w:t>
      </w:r>
    </w:p>
    <w:p w14:paraId="6BE52100" w14:textId="77777777" w:rsidR="00F90F39" w:rsidRDefault="00F90F39" w:rsidP="00BE1E0D">
      <w:pPr>
        <w:rPr>
          <w:rFonts w:cs="Arial"/>
          <w:color w:val="000000"/>
          <w:szCs w:val="22"/>
        </w:rPr>
      </w:pPr>
    </w:p>
    <w:p w14:paraId="7BB7A9F6" w14:textId="77777777" w:rsidR="00943DE0" w:rsidRDefault="00943DE0"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BE1E0D">
      <w:pPr>
        <w:rPr>
          <w:rFonts w:cs="Arial"/>
          <w:szCs w:val="22"/>
        </w:rPr>
      </w:pPr>
    </w:p>
    <w:p w14:paraId="6CB58D0A" w14:textId="04C6D135" w:rsidR="009D1181" w:rsidRPr="00943DE0" w:rsidRDefault="009D1181" w:rsidP="00BE1E0D">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943DE0">
        <w:rPr>
          <w:rFonts w:ascii="Arial CE" w:hAnsi="Arial CE" w:cs="Arial"/>
          <w:b/>
          <w:color w:val="000000"/>
          <w:szCs w:val="22"/>
        </w:rPr>
        <w:t> </w:t>
      </w:r>
      <w:r w:rsidR="00535E2B">
        <w:rPr>
          <w:rFonts w:ascii="Arial CE" w:hAnsi="Arial CE" w:cs="Arial"/>
          <w:b/>
          <w:color w:val="000000"/>
          <w:szCs w:val="22"/>
        </w:rPr>
        <w:t>234</w:t>
      </w:r>
      <w:r w:rsidR="00943DE0">
        <w:rPr>
          <w:rFonts w:ascii="Arial CE" w:hAnsi="Arial CE" w:cs="Arial"/>
          <w:b/>
          <w:color w:val="000000"/>
          <w:szCs w:val="22"/>
        </w:rPr>
        <w:t> </w:t>
      </w:r>
      <w:r w:rsidR="000674F1">
        <w:rPr>
          <w:rFonts w:ascii="Arial CE" w:hAnsi="Arial CE" w:cs="Arial"/>
          <w:b/>
          <w:color w:val="000000"/>
          <w:szCs w:val="22"/>
        </w:rPr>
        <w:t>000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2"/>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lastRenderedPageBreak/>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204AF98E"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0F18D82F" w14:textId="77777777" w:rsidR="009D1181" w:rsidRPr="009D1181" w:rsidRDefault="009D1181" w:rsidP="00BE1E0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BE1E0D">
      <w:pPr>
        <w:suppressAutoHyphens/>
        <w:ind w:left="720"/>
        <w:contextualSpacing/>
        <w:rPr>
          <w:rFonts w:ascii="Arial CE" w:hAnsi="Arial CE" w:cs="Arial"/>
          <w:b/>
          <w:szCs w:val="22"/>
        </w:rPr>
      </w:pPr>
    </w:p>
    <w:p w14:paraId="3822A06A" w14:textId="082FAEF3" w:rsidR="009D1181" w:rsidRPr="00217336" w:rsidRDefault="00830F51" w:rsidP="002B0350">
      <w:pPr>
        <w:numPr>
          <w:ilvl w:val="0"/>
          <w:numId w:val="2"/>
        </w:numPr>
        <w:suppressAutoHyphens/>
        <w:ind w:left="720"/>
        <w:contextualSpacing/>
        <w:rPr>
          <w:rFonts w:ascii="Arial CE" w:hAnsi="Arial CE" w:cs="Arial"/>
          <w:szCs w:val="22"/>
        </w:rPr>
      </w:pPr>
      <w:r w:rsidRPr="00217336">
        <w:rPr>
          <w:rFonts w:ascii="Arial CE" w:hAnsi="Arial CE" w:cs="Arial"/>
          <w:szCs w:val="22"/>
        </w:rPr>
        <w:t xml:space="preserve">V případě prvního dílčího plnění dnem protokolárního předání a převzetí </w:t>
      </w:r>
      <w:r w:rsidR="00535E2B" w:rsidRPr="00217336">
        <w:rPr>
          <w:rFonts w:ascii="Arial CE" w:hAnsi="Arial CE" w:cs="Arial"/>
          <w:szCs w:val="22"/>
        </w:rPr>
        <w:t xml:space="preserve">PD </w:t>
      </w:r>
      <w:r w:rsidR="009D1181" w:rsidRPr="00217336">
        <w:rPr>
          <w:rFonts w:ascii="Arial CE" w:hAnsi="Arial CE" w:cs="Arial"/>
          <w:szCs w:val="22"/>
        </w:rPr>
        <w:t xml:space="preserve">ve výši </w:t>
      </w:r>
      <w:r w:rsidR="0004481C">
        <w:rPr>
          <w:rFonts w:ascii="Arial CE" w:hAnsi="Arial CE" w:cs="Arial"/>
          <w:szCs w:val="22"/>
        </w:rPr>
        <w:t>40</w:t>
      </w:r>
      <w:r w:rsidR="00943DE0">
        <w:rPr>
          <w:rFonts w:ascii="Arial CE" w:hAnsi="Arial CE" w:cs="Arial"/>
          <w:szCs w:val="22"/>
        </w:rPr>
        <w:t> </w:t>
      </w:r>
      <w:r w:rsidR="009D1181" w:rsidRPr="00217336">
        <w:rPr>
          <w:rFonts w:ascii="Arial CE" w:hAnsi="Arial CE" w:cs="Arial"/>
          <w:szCs w:val="22"/>
        </w:rPr>
        <w:t>%</w:t>
      </w:r>
      <w:r w:rsidR="00535E2B" w:rsidRPr="00217336">
        <w:rPr>
          <w:rFonts w:ascii="Arial CE" w:hAnsi="Arial CE" w:cs="Arial"/>
          <w:szCs w:val="22"/>
        </w:rPr>
        <w:t>,</w:t>
      </w:r>
      <w:r w:rsidR="009D1181" w:rsidRPr="00217336">
        <w:rPr>
          <w:rFonts w:ascii="Arial CE" w:hAnsi="Arial CE" w:cs="Arial"/>
          <w:szCs w:val="22"/>
        </w:rPr>
        <w:t xml:space="preserve"> </w:t>
      </w:r>
      <w:r w:rsidR="0004481C">
        <w:rPr>
          <w:rFonts w:ascii="Arial CE" w:hAnsi="Arial CE" w:cs="Arial"/>
          <w:szCs w:val="22"/>
        </w:rPr>
        <w:t>234 000,-</w:t>
      </w:r>
      <w:r w:rsidR="00943DE0">
        <w:rPr>
          <w:rFonts w:ascii="Arial CE" w:hAnsi="Arial CE" w:cs="Arial"/>
          <w:szCs w:val="22"/>
        </w:rPr>
        <w:t xml:space="preserve"> Kč, </w:t>
      </w:r>
      <w:r w:rsidR="009D1181" w:rsidRPr="00943DE0">
        <w:rPr>
          <w:rFonts w:ascii="Arial CE" w:hAnsi="Arial CE" w:cs="Arial"/>
          <w:b/>
          <w:szCs w:val="22"/>
        </w:rPr>
        <w:t>tj.</w:t>
      </w:r>
      <w:r w:rsidR="0004481C" w:rsidRPr="00943DE0">
        <w:rPr>
          <w:rFonts w:ascii="Arial CE" w:hAnsi="Arial CE" w:cs="Arial"/>
          <w:b/>
          <w:szCs w:val="22"/>
        </w:rPr>
        <w:t xml:space="preserve"> 93 600</w:t>
      </w:r>
      <w:r w:rsidR="005B6111" w:rsidRPr="00943DE0">
        <w:rPr>
          <w:rFonts w:ascii="Arial CE" w:hAnsi="Arial CE" w:cs="Arial"/>
          <w:b/>
          <w:szCs w:val="22"/>
        </w:rPr>
        <w:t xml:space="preserve">,- </w:t>
      </w:r>
      <w:r w:rsidR="009D1181" w:rsidRPr="00943DE0">
        <w:rPr>
          <w:rFonts w:ascii="Arial CE" w:hAnsi="Arial CE" w:cs="Arial"/>
          <w:b/>
          <w:bCs/>
          <w:szCs w:val="22"/>
        </w:rPr>
        <w:t>Kč</w:t>
      </w:r>
      <w:r w:rsidR="009D1181" w:rsidRPr="00943DE0">
        <w:rPr>
          <w:rFonts w:ascii="Arial CE" w:hAnsi="Arial CE" w:cs="Arial"/>
          <w:b/>
          <w:szCs w:val="22"/>
        </w:rPr>
        <w:t xml:space="preserve"> bez DPH</w:t>
      </w:r>
      <w:r w:rsidR="009D1181" w:rsidRPr="00217336">
        <w:rPr>
          <w:rFonts w:ascii="Arial CE" w:hAnsi="Arial CE" w:cs="Arial"/>
          <w:szCs w:val="22"/>
        </w:rPr>
        <w:t>.</w:t>
      </w:r>
    </w:p>
    <w:p w14:paraId="3C473EDD" w14:textId="77777777" w:rsidR="00325770" w:rsidRPr="00217336" w:rsidRDefault="00325770" w:rsidP="00BE1E0D">
      <w:pPr>
        <w:suppressAutoHyphens/>
        <w:contextualSpacing/>
        <w:rPr>
          <w:rFonts w:ascii="Arial CE" w:hAnsi="Arial CE" w:cs="Arial"/>
          <w:szCs w:val="22"/>
        </w:rPr>
      </w:pPr>
    </w:p>
    <w:p w14:paraId="161F6368" w14:textId="77602F9B" w:rsidR="00325770" w:rsidRPr="00943DE0" w:rsidRDefault="00325770" w:rsidP="00BE1E0D">
      <w:pPr>
        <w:numPr>
          <w:ilvl w:val="0"/>
          <w:numId w:val="2"/>
        </w:numPr>
        <w:suppressAutoHyphens/>
        <w:ind w:left="720"/>
        <w:contextualSpacing/>
        <w:rPr>
          <w:rFonts w:ascii="Arial CE" w:hAnsi="Arial CE" w:cs="Arial"/>
          <w:b/>
          <w:szCs w:val="22"/>
        </w:rPr>
      </w:pPr>
      <w:r w:rsidRPr="00217336">
        <w:rPr>
          <w:rFonts w:ascii="Arial CE" w:hAnsi="Arial CE" w:cs="Arial"/>
          <w:szCs w:val="22"/>
        </w:rPr>
        <w:t xml:space="preserve">V případě </w:t>
      </w:r>
      <w:r w:rsidR="00535E2B" w:rsidRPr="00217336">
        <w:rPr>
          <w:rFonts w:ascii="Arial CE" w:hAnsi="Arial CE" w:cs="Arial"/>
          <w:szCs w:val="22"/>
        </w:rPr>
        <w:t>druhého d</w:t>
      </w:r>
      <w:r w:rsidRPr="00217336">
        <w:rPr>
          <w:rFonts w:ascii="Arial CE" w:hAnsi="Arial CE" w:cs="Arial"/>
          <w:szCs w:val="22"/>
        </w:rPr>
        <w:t xml:space="preserve">ílčího plnění dnem protokolárního předání a převzetí </w:t>
      </w:r>
      <w:r w:rsidR="0004481C">
        <w:rPr>
          <w:rFonts w:ascii="Arial CE" w:hAnsi="Arial CE" w:cs="Arial"/>
          <w:szCs w:val="22"/>
        </w:rPr>
        <w:t xml:space="preserve">kompletní </w:t>
      </w:r>
      <w:r w:rsidR="00535E2B" w:rsidRPr="00217336">
        <w:rPr>
          <w:rFonts w:ascii="Arial CE" w:hAnsi="Arial CE" w:cs="Arial"/>
          <w:szCs w:val="22"/>
        </w:rPr>
        <w:t xml:space="preserve">PD </w:t>
      </w:r>
      <w:r w:rsidR="0004481C">
        <w:rPr>
          <w:rFonts w:ascii="Arial CE" w:hAnsi="Arial CE" w:cs="Arial"/>
          <w:szCs w:val="22"/>
        </w:rPr>
        <w:t xml:space="preserve">včetně inženýrské činnosti </w:t>
      </w:r>
      <w:r w:rsidRPr="00217336">
        <w:rPr>
          <w:rFonts w:ascii="Arial CE" w:hAnsi="Arial CE" w:cs="Arial"/>
          <w:szCs w:val="22"/>
        </w:rPr>
        <w:t xml:space="preserve">ve výši </w:t>
      </w:r>
      <w:r w:rsidR="0004481C">
        <w:rPr>
          <w:rFonts w:ascii="Arial CE" w:hAnsi="Arial CE" w:cs="Arial"/>
          <w:szCs w:val="22"/>
        </w:rPr>
        <w:t>40</w:t>
      </w:r>
      <w:r w:rsidRPr="00217336">
        <w:rPr>
          <w:rFonts w:ascii="Arial CE" w:hAnsi="Arial CE" w:cs="Arial"/>
          <w:szCs w:val="22"/>
        </w:rPr>
        <w:t xml:space="preserve"> % z částky </w:t>
      </w:r>
      <w:r w:rsidR="0004481C">
        <w:rPr>
          <w:rFonts w:ascii="Arial CE" w:hAnsi="Arial CE" w:cs="Arial"/>
          <w:szCs w:val="22"/>
        </w:rPr>
        <w:t>234 000</w:t>
      </w:r>
      <w:r w:rsidRPr="00217336">
        <w:rPr>
          <w:rFonts w:ascii="Arial CE" w:hAnsi="Arial CE" w:cs="Arial"/>
          <w:szCs w:val="22"/>
        </w:rPr>
        <w:t xml:space="preserve">,- Kč, </w:t>
      </w:r>
      <w:r w:rsidRPr="00943DE0">
        <w:rPr>
          <w:rFonts w:ascii="Arial CE" w:hAnsi="Arial CE" w:cs="Arial"/>
          <w:b/>
          <w:szCs w:val="22"/>
        </w:rPr>
        <w:t>tj.</w:t>
      </w:r>
      <w:r w:rsidR="00A230F1">
        <w:rPr>
          <w:rFonts w:ascii="Arial CE" w:hAnsi="Arial CE" w:cs="Arial"/>
          <w:b/>
          <w:szCs w:val="22"/>
        </w:rPr>
        <w:t> </w:t>
      </w:r>
      <w:r w:rsidRPr="00943DE0">
        <w:rPr>
          <w:rFonts w:ascii="Arial CE" w:hAnsi="Arial CE" w:cs="Arial"/>
          <w:b/>
          <w:szCs w:val="22"/>
        </w:rPr>
        <w:t>9</w:t>
      </w:r>
      <w:r w:rsidR="00535E2B" w:rsidRPr="00943DE0">
        <w:rPr>
          <w:rFonts w:ascii="Arial CE" w:hAnsi="Arial CE" w:cs="Arial"/>
          <w:b/>
          <w:szCs w:val="22"/>
        </w:rPr>
        <w:t>3</w:t>
      </w:r>
      <w:r w:rsidR="00A230F1">
        <w:rPr>
          <w:rFonts w:ascii="Arial CE" w:hAnsi="Arial CE" w:cs="Arial"/>
          <w:b/>
          <w:szCs w:val="22"/>
        </w:rPr>
        <w:t> </w:t>
      </w:r>
      <w:r w:rsidR="00535E2B" w:rsidRPr="00943DE0">
        <w:rPr>
          <w:rFonts w:ascii="Arial CE" w:hAnsi="Arial CE" w:cs="Arial"/>
          <w:b/>
          <w:szCs w:val="22"/>
        </w:rPr>
        <w:t>600</w:t>
      </w:r>
      <w:r w:rsidRPr="00943DE0">
        <w:rPr>
          <w:rFonts w:ascii="Arial CE" w:hAnsi="Arial CE" w:cs="Arial"/>
          <w:b/>
          <w:szCs w:val="22"/>
        </w:rPr>
        <w:t>,-</w:t>
      </w:r>
      <w:r w:rsidR="00A230F1">
        <w:rPr>
          <w:rFonts w:ascii="Arial CE" w:hAnsi="Arial CE" w:cs="Arial"/>
          <w:b/>
          <w:szCs w:val="22"/>
        </w:rPr>
        <w:t> </w:t>
      </w:r>
      <w:r w:rsidRPr="00943DE0">
        <w:rPr>
          <w:rFonts w:ascii="Arial CE" w:hAnsi="Arial CE" w:cs="Arial"/>
          <w:b/>
          <w:bCs/>
          <w:szCs w:val="22"/>
        </w:rPr>
        <w:t>Kč</w:t>
      </w:r>
      <w:r w:rsidR="00A230F1">
        <w:rPr>
          <w:rFonts w:ascii="Arial CE" w:hAnsi="Arial CE" w:cs="Arial"/>
          <w:b/>
          <w:bCs/>
          <w:szCs w:val="22"/>
        </w:rPr>
        <w:t> </w:t>
      </w:r>
      <w:r w:rsidRPr="00943DE0">
        <w:rPr>
          <w:rFonts w:ascii="Arial CE" w:hAnsi="Arial CE" w:cs="Arial"/>
          <w:b/>
          <w:szCs w:val="22"/>
        </w:rPr>
        <w:t>bez</w:t>
      </w:r>
      <w:r w:rsidR="00A230F1">
        <w:rPr>
          <w:rFonts w:ascii="Arial CE" w:hAnsi="Arial CE" w:cs="Arial"/>
          <w:b/>
          <w:szCs w:val="22"/>
        </w:rPr>
        <w:t> </w:t>
      </w:r>
      <w:r w:rsidRPr="00943DE0">
        <w:rPr>
          <w:rFonts w:ascii="Arial CE" w:hAnsi="Arial CE" w:cs="Arial"/>
          <w:b/>
          <w:szCs w:val="22"/>
        </w:rPr>
        <w:t>DPH.</w:t>
      </w:r>
    </w:p>
    <w:p w14:paraId="2370D7B4" w14:textId="77777777" w:rsidR="006C3692" w:rsidRPr="00217336" w:rsidRDefault="006C3692" w:rsidP="00BE1E0D">
      <w:pPr>
        <w:pStyle w:val="Odstavecseseznamem"/>
        <w:rPr>
          <w:rFonts w:ascii="Arial CE" w:hAnsi="Arial CE" w:cs="Arial"/>
          <w:szCs w:val="22"/>
        </w:rPr>
      </w:pPr>
    </w:p>
    <w:p w14:paraId="3B0FDC06" w14:textId="502FF9D4" w:rsidR="009D1181" w:rsidRDefault="009D1181" w:rsidP="00BE1E0D">
      <w:pPr>
        <w:numPr>
          <w:ilvl w:val="0"/>
          <w:numId w:val="2"/>
        </w:numPr>
        <w:suppressAutoHyphens/>
        <w:ind w:left="720"/>
        <w:contextualSpacing/>
        <w:rPr>
          <w:rFonts w:ascii="Arial CE" w:eastAsia="Arial CE" w:hAnsi="Arial CE" w:cs="Arial CE"/>
          <w:szCs w:val="22"/>
        </w:rPr>
      </w:pPr>
      <w:r w:rsidRPr="00217336">
        <w:rPr>
          <w:rFonts w:ascii="Arial CE" w:eastAsia="Arial CE" w:hAnsi="Arial CE" w:cs="Arial CE"/>
          <w:szCs w:val="22"/>
        </w:rPr>
        <w:t>V případě celkového plnění dnem podpisu „Rozhodnutí“ o schválení PD stupně generálním ředitelem Povodí Ohře, s. p., po předchozím projednání v</w:t>
      </w:r>
      <w:r w:rsidR="00325770" w:rsidRPr="00217336">
        <w:rPr>
          <w:rFonts w:ascii="Arial CE" w:eastAsia="Arial CE" w:hAnsi="Arial CE" w:cs="Arial CE"/>
          <w:szCs w:val="22"/>
        </w:rPr>
        <w:t xml:space="preserve"> investiční </w:t>
      </w:r>
      <w:r w:rsidRPr="00217336">
        <w:rPr>
          <w:rFonts w:ascii="Arial CE" w:eastAsia="Arial CE" w:hAnsi="Arial CE" w:cs="Arial CE"/>
          <w:szCs w:val="22"/>
        </w:rPr>
        <w:t>komisi ve výši zbývajících 20</w:t>
      </w:r>
      <w:r w:rsidR="00C12B6A" w:rsidRPr="00217336">
        <w:rPr>
          <w:rFonts w:ascii="Arial CE" w:eastAsia="Arial CE" w:hAnsi="Arial CE" w:cs="Arial CE"/>
          <w:szCs w:val="22"/>
        </w:rPr>
        <w:t xml:space="preserve"> </w:t>
      </w:r>
      <w:r w:rsidRPr="00217336">
        <w:rPr>
          <w:rFonts w:ascii="Arial CE" w:eastAsia="Arial CE" w:hAnsi="Arial CE" w:cs="Arial CE"/>
          <w:szCs w:val="22"/>
        </w:rPr>
        <w:t xml:space="preserve">% </w:t>
      </w:r>
      <w:r w:rsidR="006C3692" w:rsidRPr="00217336">
        <w:rPr>
          <w:rFonts w:ascii="Arial CE" w:eastAsia="Arial CE" w:hAnsi="Arial CE" w:cs="Arial CE"/>
          <w:szCs w:val="22"/>
        </w:rPr>
        <w:t>z částky</w:t>
      </w:r>
      <w:r w:rsidR="001C17C3" w:rsidRPr="00217336">
        <w:rPr>
          <w:rFonts w:ascii="Arial CE" w:eastAsia="Arial CE" w:hAnsi="Arial CE" w:cs="Arial CE"/>
          <w:szCs w:val="22"/>
        </w:rPr>
        <w:t xml:space="preserve"> </w:t>
      </w:r>
      <w:r w:rsidR="0004481C">
        <w:rPr>
          <w:rFonts w:ascii="Arial CE" w:eastAsia="Arial CE" w:hAnsi="Arial CE" w:cs="Arial CE"/>
          <w:szCs w:val="22"/>
        </w:rPr>
        <w:t>234 000</w:t>
      </w:r>
      <w:r w:rsidR="005B6111" w:rsidRPr="00217336">
        <w:rPr>
          <w:rFonts w:ascii="Arial CE" w:hAnsi="Arial CE" w:cs="Arial"/>
          <w:szCs w:val="22"/>
        </w:rPr>
        <w:t xml:space="preserve">,- </w:t>
      </w:r>
      <w:r w:rsidR="006C3692" w:rsidRPr="00217336">
        <w:rPr>
          <w:rFonts w:ascii="Arial CE" w:eastAsia="Arial CE" w:hAnsi="Arial CE" w:cs="Arial CE"/>
          <w:szCs w:val="22"/>
        </w:rPr>
        <w:t>Kč</w:t>
      </w:r>
      <w:r w:rsidRPr="00217336">
        <w:rPr>
          <w:rFonts w:ascii="Arial CE" w:eastAsia="Arial CE" w:hAnsi="Arial CE" w:cs="Arial CE"/>
          <w:szCs w:val="22"/>
        </w:rPr>
        <w:t xml:space="preserve">, </w:t>
      </w:r>
      <w:r w:rsidRPr="00943DE0">
        <w:rPr>
          <w:rFonts w:ascii="Arial CE" w:eastAsia="Arial CE" w:hAnsi="Arial CE" w:cs="Arial CE"/>
          <w:b/>
          <w:szCs w:val="22"/>
        </w:rPr>
        <w:t>tj.</w:t>
      </w:r>
      <w:r w:rsidR="00C12B6A" w:rsidRPr="00943DE0">
        <w:rPr>
          <w:rFonts w:ascii="Arial CE" w:eastAsia="Arial CE" w:hAnsi="Arial CE" w:cs="Arial CE"/>
          <w:b/>
          <w:szCs w:val="22"/>
        </w:rPr>
        <w:t xml:space="preserve"> </w:t>
      </w:r>
      <w:r w:rsidR="0004481C" w:rsidRPr="00943DE0">
        <w:rPr>
          <w:rFonts w:ascii="Arial CE" w:eastAsia="Arial CE" w:hAnsi="Arial CE" w:cs="Arial CE"/>
          <w:b/>
          <w:szCs w:val="22"/>
        </w:rPr>
        <w:t>46 800</w:t>
      </w:r>
      <w:r w:rsidR="005B6111" w:rsidRPr="00943DE0">
        <w:rPr>
          <w:rFonts w:ascii="Arial CE" w:hAnsi="Arial CE" w:cs="Arial"/>
          <w:b/>
          <w:szCs w:val="22"/>
        </w:rPr>
        <w:t xml:space="preserve">,- </w:t>
      </w:r>
      <w:r w:rsidRPr="00943DE0">
        <w:rPr>
          <w:rFonts w:ascii="Arial CE" w:eastAsia="Arial CE" w:hAnsi="Arial CE" w:cs="Arial CE"/>
          <w:b/>
          <w:szCs w:val="22"/>
        </w:rPr>
        <w:t>Kč bez DPH</w:t>
      </w:r>
      <w:r w:rsidRPr="00217336">
        <w:rPr>
          <w:rFonts w:ascii="Arial CE" w:eastAsia="Arial CE" w:hAnsi="Arial CE" w:cs="Arial CE"/>
          <w:szCs w:val="22"/>
        </w:rPr>
        <w:t xml:space="preserve">. </w:t>
      </w:r>
    </w:p>
    <w:p w14:paraId="44E2E15D" w14:textId="77777777" w:rsidR="00F90F39" w:rsidRDefault="00F90F39" w:rsidP="00F90F39">
      <w:pPr>
        <w:pStyle w:val="Odstavecseseznamem"/>
        <w:rPr>
          <w:rFonts w:ascii="Arial CE" w:eastAsia="Arial CE" w:hAnsi="Arial CE" w:cs="Arial CE"/>
          <w:szCs w:val="22"/>
        </w:rPr>
      </w:pPr>
    </w:p>
    <w:p w14:paraId="5B902B88" w14:textId="77777777" w:rsidR="00F90F39" w:rsidRPr="00217336" w:rsidRDefault="00F90F39" w:rsidP="00F90F39">
      <w:pPr>
        <w:suppressAutoHyphens/>
        <w:ind w:left="720"/>
        <w:contextualSpacing/>
        <w:rPr>
          <w:rFonts w:ascii="Arial CE" w:eastAsia="Arial CE" w:hAnsi="Arial CE" w:cs="Arial CE"/>
          <w:szCs w:val="22"/>
        </w:rPr>
      </w:pPr>
    </w:p>
    <w:p w14:paraId="3066A4C5" w14:textId="173D567E" w:rsidR="009D1181" w:rsidRDefault="00F90F39" w:rsidP="00F90F39">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217336">
        <w:rPr>
          <w:rFonts w:ascii="Arial CE" w:eastAsia="Arial CE" w:hAnsi="Arial CE" w:cs="Arial CE"/>
          <w:szCs w:val="22"/>
        </w:rPr>
        <w:t xml:space="preserve">Schválení PD v </w:t>
      </w:r>
      <w:r w:rsidR="007B240B" w:rsidRPr="00217336">
        <w:rPr>
          <w:rFonts w:ascii="Arial CE" w:eastAsia="Arial CE" w:hAnsi="Arial CE" w:cs="Arial CE"/>
          <w:szCs w:val="22"/>
        </w:rPr>
        <w:t>DK</w:t>
      </w:r>
      <w:r w:rsidR="009D1181" w:rsidRPr="00217336">
        <w:rPr>
          <w:rFonts w:ascii="Arial CE" w:eastAsia="Arial CE" w:hAnsi="Arial CE" w:cs="Arial CE"/>
          <w:szCs w:val="22"/>
        </w:rPr>
        <w:t xml:space="preserve"> je povinen objednatel oznámit zhotoviteli do 5 pracovních dnů po</w:t>
      </w:r>
      <w:r>
        <w:rPr>
          <w:rFonts w:ascii="Arial CE" w:eastAsia="Arial CE" w:hAnsi="Arial CE" w:cs="Arial CE"/>
          <w:szCs w:val="22"/>
        </w:rPr>
        <w:t> </w:t>
      </w:r>
      <w:r w:rsidR="009D1181" w:rsidRPr="00217336">
        <w:rPr>
          <w:rFonts w:ascii="Arial CE" w:eastAsia="Arial CE" w:hAnsi="Arial CE" w:cs="Arial CE"/>
          <w:szCs w:val="22"/>
        </w:rPr>
        <w:t>podpisu Rozhodnutí generálním ředitelem Povodí Ohře, s. p.</w:t>
      </w:r>
    </w:p>
    <w:p w14:paraId="5E8821F4" w14:textId="77777777" w:rsidR="00F90F39" w:rsidRPr="00217336" w:rsidRDefault="00F90F39" w:rsidP="00F90F39">
      <w:pPr>
        <w:suppressAutoHyphens/>
        <w:ind w:left="709" w:hanging="371"/>
        <w:rPr>
          <w:rFonts w:ascii="Arial CE" w:eastAsia="Arial CE" w:hAnsi="Arial CE" w:cs="Arial CE"/>
          <w:szCs w:val="22"/>
        </w:rPr>
      </w:pPr>
    </w:p>
    <w:p w14:paraId="6CCBD97A" w14:textId="77777777" w:rsidR="009D1181" w:rsidRPr="00217336" w:rsidRDefault="009D1181" w:rsidP="00BE1E0D">
      <w:pPr>
        <w:suppressAutoHyphens/>
        <w:contextualSpacing/>
        <w:rPr>
          <w:rFonts w:ascii="Arial CE" w:eastAsia="Arial CE" w:hAnsi="Arial CE" w:cs="Arial CE"/>
        </w:rPr>
      </w:pPr>
    </w:p>
    <w:p w14:paraId="6C17535C" w14:textId="72B7D58D" w:rsidR="006C3692" w:rsidRDefault="006C3692" w:rsidP="00BE1E0D">
      <w:pPr>
        <w:suppressAutoHyphens/>
        <w:ind w:left="1080" w:hanging="1080"/>
        <w:rPr>
          <w:rFonts w:ascii="Arial CE" w:eastAsia="Arial CE" w:hAnsi="Arial CE" w:cs="Arial CE"/>
        </w:rPr>
      </w:pPr>
      <w:bookmarkStart w:id="3" w:name="_Hlk47970335"/>
      <w:r w:rsidRPr="00217336">
        <w:rPr>
          <w:rFonts w:ascii="Arial CE" w:eastAsia="Arial CE" w:hAnsi="Arial CE" w:cs="Arial CE"/>
        </w:rPr>
        <w:t xml:space="preserve">Každá faktura bude povinně obsahovat příslušné číslo akce, </w:t>
      </w:r>
      <w:r w:rsidR="00943DE0">
        <w:rPr>
          <w:rFonts w:ascii="Arial CE" w:eastAsia="Arial CE" w:hAnsi="Arial CE" w:cs="Arial CE"/>
        </w:rPr>
        <w:t xml:space="preserve">    </w:t>
      </w:r>
      <w:r w:rsidRPr="00217336">
        <w:rPr>
          <w:rFonts w:ascii="Arial CE" w:eastAsia="Arial CE" w:hAnsi="Arial CE" w:cs="Arial CE"/>
        </w:rPr>
        <w:t>tj</w:t>
      </w:r>
      <w:bookmarkStart w:id="4" w:name="_Hlk104383058"/>
      <w:r w:rsidRPr="00217336">
        <w:rPr>
          <w:rFonts w:ascii="Arial CE" w:eastAsia="Arial CE" w:hAnsi="Arial CE" w:cs="Arial CE"/>
        </w:rPr>
        <w:t xml:space="preserve">. </w:t>
      </w:r>
      <w:bookmarkEnd w:id="4"/>
      <w:r w:rsidR="005A1623" w:rsidRPr="00217336">
        <w:rPr>
          <w:rFonts w:ascii="Arial CE" w:eastAsia="Arial CE" w:hAnsi="Arial CE" w:cs="Arial CE"/>
          <w:b/>
          <w:szCs w:val="22"/>
        </w:rPr>
        <w:t>502</w:t>
      </w:r>
      <w:r w:rsidR="00535E2B" w:rsidRPr="00217336">
        <w:rPr>
          <w:rFonts w:ascii="Arial CE" w:eastAsia="Arial CE" w:hAnsi="Arial CE" w:cs="Arial CE"/>
          <w:b/>
          <w:szCs w:val="22"/>
        </w:rPr>
        <w:t> 857, 502 858, 502</w:t>
      </w:r>
      <w:r w:rsidR="00F90F39">
        <w:rPr>
          <w:rFonts w:ascii="Arial CE" w:eastAsia="Arial CE" w:hAnsi="Arial CE" w:cs="Arial CE"/>
          <w:b/>
          <w:szCs w:val="22"/>
        </w:rPr>
        <w:t> </w:t>
      </w:r>
      <w:r w:rsidR="00535E2B" w:rsidRPr="00217336">
        <w:rPr>
          <w:rFonts w:ascii="Arial CE" w:eastAsia="Arial CE" w:hAnsi="Arial CE" w:cs="Arial CE"/>
          <w:b/>
          <w:szCs w:val="22"/>
        </w:rPr>
        <w:t>859</w:t>
      </w:r>
      <w:r w:rsidR="007F2D48" w:rsidRPr="00217336">
        <w:rPr>
          <w:rFonts w:ascii="Arial CE" w:eastAsia="Arial CE" w:hAnsi="Arial CE" w:cs="Arial CE"/>
        </w:rPr>
        <w:t>.</w:t>
      </w:r>
      <w:bookmarkEnd w:id="3"/>
    </w:p>
    <w:p w14:paraId="118877DD" w14:textId="77777777" w:rsidR="00F90F39" w:rsidRPr="005A1623" w:rsidRDefault="00F90F39" w:rsidP="00BE1E0D">
      <w:pPr>
        <w:suppressAutoHyphens/>
        <w:ind w:left="1080" w:hanging="1080"/>
        <w:rPr>
          <w:rFonts w:ascii="Arial CE" w:eastAsia="Arial CE" w:hAnsi="Arial CE" w:cs="Arial CE"/>
        </w:rPr>
      </w:pPr>
    </w:p>
    <w:p w14:paraId="55E5D679" w14:textId="77777777" w:rsidR="006C3692" w:rsidRPr="009D1181" w:rsidRDefault="006C3692" w:rsidP="00BE1E0D">
      <w:pPr>
        <w:suppressAutoHyphens/>
        <w:contextualSpacing/>
        <w:rPr>
          <w:rFonts w:ascii="Arial CE" w:eastAsia="Arial CE" w:hAnsi="Arial CE" w:cs="Arial CE"/>
        </w:rPr>
      </w:pPr>
    </w:p>
    <w:p w14:paraId="6D61C914" w14:textId="77777777"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3A37A4BE"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00354C43" w:rsidRPr="008A377D">
          <w:rPr>
            <w:rStyle w:val="Hypertextovodkaz"/>
            <w:rFonts w:ascii="Arial CE" w:hAnsi="Arial CE" w:cs="Arial"/>
            <w:szCs w:val="22"/>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77777777"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lastRenderedPageBreak/>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7AEE63B5" w14:textId="3B6B13A8" w:rsidR="00F350D4" w:rsidRDefault="009D1181" w:rsidP="00943DE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B1896EB" w14:textId="77777777" w:rsidR="00F90F39" w:rsidRDefault="00F90F39" w:rsidP="00F90F39">
      <w:pPr>
        <w:pStyle w:val="Odstavecseseznamem"/>
        <w:rPr>
          <w:rFonts w:ascii="Arial CE" w:hAnsi="Arial CE" w:cs="Arial"/>
          <w:szCs w:val="22"/>
        </w:rPr>
      </w:pPr>
    </w:p>
    <w:p w14:paraId="15DDDA9E" w14:textId="77777777" w:rsidR="00F90F39" w:rsidRPr="00943DE0" w:rsidRDefault="00F90F39" w:rsidP="00943DE0">
      <w:pPr>
        <w:numPr>
          <w:ilvl w:val="0"/>
          <w:numId w:val="3"/>
        </w:numPr>
        <w:autoSpaceDE w:val="0"/>
        <w:autoSpaceDN w:val="0"/>
        <w:adjustRightInd w:val="0"/>
        <w:ind w:left="426" w:hanging="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043CAE6D"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383194E0" w14:textId="77777777" w:rsidR="00943DE0" w:rsidRDefault="00943DE0" w:rsidP="00943DE0">
      <w:pPr>
        <w:pStyle w:val="Odstavecseseznamem"/>
        <w:rPr>
          <w:rFonts w:ascii="Arial CE" w:hAnsi="Arial CE"/>
        </w:rPr>
      </w:pPr>
    </w:p>
    <w:p w14:paraId="26FC4D63" w14:textId="77777777" w:rsidR="00943DE0" w:rsidRDefault="00943DE0" w:rsidP="00F90F39">
      <w:pPr>
        <w:pStyle w:val="A-odstavecodsazensodrkami"/>
        <w:numPr>
          <w:ilvl w:val="0"/>
          <w:numId w:val="0"/>
        </w:numPr>
        <w:ind w:left="426"/>
        <w:rPr>
          <w:rFonts w:ascii="Arial CE" w:hAnsi="Arial CE"/>
        </w:rPr>
      </w:pP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w:t>
      </w:r>
      <w:r w:rsidRPr="001D42DD">
        <w:rPr>
          <w:rFonts w:ascii="Arial CE" w:eastAsia="Arial CE" w:hAnsi="Arial CE" w:cs="Arial CE"/>
          <w:szCs w:val="22"/>
        </w:rPr>
        <w:lastRenderedPageBreak/>
        <w:t xml:space="preserve">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1291AE8"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178521B1" w14:textId="77777777" w:rsidR="00943DE0" w:rsidRPr="00943DE0" w:rsidRDefault="00943DE0" w:rsidP="00943DE0">
      <w:pPr>
        <w:pStyle w:val="Odstavecseseznamem"/>
        <w:rPr>
          <w:rFonts w:ascii="Arial CE" w:eastAsia="Arial CE" w:hAnsi="Arial CE" w:cs="Arial CE"/>
          <w:szCs w:val="22"/>
        </w:rPr>
      </w:pPr>
    </w:p>
    <w:p w14:paraId="00FA25B4" w14:textId="77777777" w:rsidR="00943DE0" w:rsidRDefault="00943DE0" w:rsidP="00943DE0">
      <w:pPr>
        <w:pStyle w:val="Odstavecseseznamem"/>
        <w:ind w:left="426"/>
        <w:rPr>
          <w:rFonts w:ascii="Arial CE" w:eastAsia="Arial CE" w:hAnsi="Arial CE" w:cs="Arial CE"/>
          <w:szCs w:val="22"/>
        </w:rPr>
      </w:pP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495D75B6" w:rsidR="00C979C5" w:rsidRDefault="00C979C5" w:rsidP="00BE1E0D">
      <w:pPr>
        <w:rPr>
          <w:rFonts w:cs="Arial"/>
          <w:color w:val="000000"/>
          <w:szCs w:val="22"/>
        </w:rPr>
      </w:pPr>
      <w:r>
        <w:rPr>
          <w:rFonts w:cs="Arial"/>
          <w:color w:val="000000"/>
          <w:szCs w:val="22"/>
        </w:rPr>
        <w:t xml:space="preserve"> </w:t>
      </w:r>
    </w:p>
    <w:p w14:paraId="2179B20B" w14:textId="77777777" w:rsidR="00943DE0" w:rsidRDefault="00943DE0" w:rsidP="00BE1E0D"/>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54B00B30"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0AA1D50" w14:textId="77777777" w:rsidR="00943DE0" w:rsidRDefault="00943DE0" w:rsidP="00BE1E0D">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lastRenderedPageBreak/>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r w:rsidRPr="00FA67B0">
        <w:t>li</w:t>
      </w:r>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422DA69A" w:rsidR="00AB4F23" w:rsidRDefault="00AB4F23" w:rsidP="00AB4F23">
      <w:pPr>
        <w:pStyle w:val="Nadpis3"/>
        <w:jc w:val="center"/>
        <w:rPr>
          <w:rFonts w:cs="Arial"/>
          <w:b/>
          <w:szCs w:val="22"/>
          <w:u w:val="single"/>
        </w:rPr>
      </w:pPr>
    </w:p>
    <w:p w14:paraId="6C5D4765" w14:textId="77777777" w:rsidR="00943DE0" w:rsidRPr="00943DE0" w:rsidRDefault="00943DE0" w:rsidP="00943DE0"/>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E1E0D">
      <w:pPr>
        <w:pStyle w:val="Zkladntext"/>
        <w:tabs>
          <w:tab w:val="clear" w:pos="360"/>
        </w:tabs>
        <w:ind w:left="567" w:firstLine="0"/>
        <w:textAlignment w:val="baseline"/>
        <w:rPr>
          <w:rFonts w:ascii="Arial CE" w:hAnsi="Arial CE"/>
          <w:b/>
          <w:color w:val="000000"/>
          <w:u w:val="single"/>
        </w:rPr>
      </w:pPr>
    </w:p>
    <w:p w14:paraId="767AC783" w14:textId="5188EBA5"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CC4FFD2" w14:textId="77777777" w:rsidR="00943DE0" w:rsidRDefault="00943DE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lastRenderedPageBreak/>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1933369E"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5CC319D9" w14:textId="77777777" w:rsidR="00943DE0" w:rsidRDefault="00943DE0" w:rsidP="00504046">
      <w:pPr>
        <w:pStyle w:val="Zkladntext"/>
        <w:tabs>
          <w:tab w:val="clear" w:pos="360"/>
        </w:tabs>
        <w:ind w:left="567" w:right="-567" w:firstLine="0"/>
        <w:textAlignment w:val="baseline"/>
        <w:rPr>
          <w:rFonts w:ascii="Arial CE" w:hAnsi="Arial CE"/>
          <w:b/>
          <w:color w:val="000000"/>
          <w:u w:val="single"/>
        </w:rPr>
      </w:pPr>
    </w:p>
    <w:p w14:paraId="3983A658"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54BBD0" w:rsidR="00FA67B0" w:rsidRPr="00FA67B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90A2B30"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A230F1">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3541B690" w14:textId="77777777" w:rsidR="00ED3368" w:rsidRPr="00BE1E0D" w:rsidRDefault="00ED3368" w:rsidP="00ED3368">
      <w:pPr>
        <w:pStyle w:val="Odstavecseseznamem"/>
        <w:numPr>
          <w:ilvl w:val="0"/>
          <w:numId w:val="4"/>
        </w:numPr>
        <w:ind w:left="426" w:hanging="426"/>
        <w:rPr>
          <w:rFonts w:cs="Arial"/>
          <w:bCs/>
          <w:color w:val="000000"/>
          <w:szCs w:val="22"/>
        </w:rPr>
      </w:pPr>
      <w:r w:rsidRPr="00BE1E0D">
        <w:t xml:space="preserve">Nedílnou součástí smlouvy je: </w:t>
      </w:r>
    </w:p>
    <w:p w14:paraId="35058901" w14:textId="77777777" w:rsidR="00ED3368" w:rsidRDefault="00ED3368" w:rsidP="00ED3368">
      <w:pPr>
        <w:ind w:firstLine="426"/>
        <w:rPr>
          <w:rFonts w:cs="Arial"/>
          <w:bCs/>
          <w:color w:val="000000"/>
          <w:szCs w:val="22"/>
        </w:rPr>
      </w:pPr>
      <w:r w:rsidRPr="00BE1E0D">
        <w:t>Příloha č. 1: Kalkulace ceny</w:t>
      </w:r>
    </w:p>
    <w:p w14:paraId="64B60098"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6DD2AD6B" w14:textId="0B9F7BE9" w:rsidR="00535E2B" w:rsidRDefault="00535E2B" w:rsidP="00535E2B">
      <w:pPr>
        <w:tabs>
          <w:tab w:val="left" w:pos="5670"/>
        </w:tabs>
        <w:autoSpaceDE w:val="0"/>
        <w:autoSpaceDN w:val="0"/>
        <w:adjustRightInd w:val="0"/>
        <w:ind w:firstLine="567"/>
        <w:jc w:val="left"/>
        <w:rPr>
          <w:szCs w:val="22"/>
        </w:rPr>
      </w:pPr>
      <w:r w:rsidRPr="00550FE6">
        <w:rPr>
          <w:rFonts w:cs="Arial"/>
          <w:color w:val="000000"/>
          <w:szCs w:val="22"/>
        </w:rPr>
        <w:t>v Chomutově dne</w:t>
      </w:r>
      <w:r>
        <w:rPr>
          <w:rFonts w:cs="Arial"/>
          <w:color w:val="000000"/>
          <w:szCs w:val="22"/>
        </w:rPr>
        <w:t>:</w:t>
      </w:r>
      <w:r>
        <w:rPr>
          <w:rFonts w:cs="Arial"/>
          <w:color w:val="000000"/>
          <w:szCs w:val="22"/>
        </w:rPr>
        <w:tab/>
      </w:r>
      <w:r w:rsidRPr="00241C08">
        <w:rPr>
          <w:szCs w:val="22"/>
        </w:rPr>
        <w:t>v</w:t>
      </w:r>
      <w:r>
        <w:rPr>
          <w:szCs w:val="22"/>
        </w:rPr>
        <w:t> Karlových Varech dne:</w:t>
      </w:r>
    </w:p>
    <w:p w14:paraId="006150A5" w14:textId="305F89DB" w:rsidR="00A333BD" w:rsidRDefault="00A333BD" w:rsidP="00535E2B">
      <w:pPr>
        <w:tabs>
          <w:tab w:val="left" w:pos="5670"/>
        </w:tabs>
        <w:autoSpaceDE w:val="0"/>
        <w:autoSpaceDN w:val="0"/>
        <w:adjustRightInd w:val="0"/>
        <w:ind w:firstLine="567"/>
        <w:jc w:val="left"/>
        <w:rPr>
          <w:szCs w:val="22"/>
        </w:rPr>
      </w:pPr>
    </w:p>
    <w:p w14:paraId="5C386E13" w14:textId="7BE3BD1E" w:rsidR="00A333BD" w:rsidRDefault="00A333BD" w:rsidP="00535E2B">
      <w:pPr>
        <w:tabs>
          <w:tab w:val="left" w:pos="5670"/>
        </w:tabs>
        <w:autoSpaceDE w:val="0"/>
        <w:autoSpaceDN w:val="0"/>
        <w:adjustRightInd w:val="0"/>
        <w:ind w:firstLine="567"/>
        <w:jc w:val="left"/>
        <w:rPr>
          <w:szCs w:val="22"/>
        </w:rPr>
      </w:pPr>
    </w:p>
    <w:p w14:paraId="6ADB2F84" w14:textId="77777777" w:rsidR="00A333BD" w:rsidRDefault="00A333BD" w:rsidP="00535E2B">
      <w:pPr>
        <w:tabs>
          <w:tab w:val="left" w:pos="5670"/>
        </w:tabs>
        <w:autoSpaceDE w:val="0"/>
        <w:autoSpaceDN w:val="0"/>
        <w:adjustRightInd w:val="0"/>
        <w:ind w:firstLine="567"/>
        <w:jc w:val="left"/>
        <w:rPr>
          <w:szCs w:val="22"/>
        </w:rPr>
      </w:pPr>
    </w:p>
    <w:p w14:paraId="4653D6E9" w14:textId="77777777" w:rsidR="00535E2B" w:rsidRDefault="00535E2B" w:rsidP="00535E2B">
      <w:pPr>
        <w:autoSpaceDE w:val="0"/>
        <w:autoSpaceDN w:val="0"/>
        <w:adjustRightInd w:val="0"/>
        <w:jc w:val="left"/>
        <w:rPr>
          <w:szCs w:val="22"/>
        </w:rPr>
      </w:pPr>
    </w:p>
    <w:p w14:paraId="78B0F245" w14:textId="77777777" w:rsidR="00535E2B" w:rsidRPr="00714854" w:rsidRDefault="00535E2B" w:rsidP="00535E2B">
      <w:pPr>
        <w:tabs>
          <w:tab w:val="left" w:pos="5670"/>
        </w:tabs>
        <w:autoSpaceDE w:val="0"/>
        <w:autoSpaceDN w:val="0"/>
        <w:adjustRightInd w:val="0"/>
        <w:ind w:left="567"/>
        <w:jc w:val="left"/>
        <w:rPr>
          <w:szCs w:val="22"/>
        </w:rPr>
      </w:pPr>
      <w:r w:rsidRPr="00714854">
        <w:rPr>
          <w:szCs w:val="22"/>
        </w:rPr>
        <w:t>……………………………………</w:t>
      </w:r>
      <w:r>
        <w:rPr>
          <w:szCs w:val="22"/>
        </w:rPr>
        <w:tab/>
      </w:r>
      <w:r w:rsidRPr="00714854">
        <w:rPr>
          <w:szCs w:val="22"/>
        </w:rPr>
        <w:t>…………………………………….</w:t>
      </w:r>
    </w:p>
    <w:p w14:paraId="59FAA653" w14:textId="77777777" w:rsidR="00B22AAA" w:rsidRDefault="00B22AAA" w:rsidP="00535E2B">
      <w:pPr>
        <w:tabs>
          <w:tab w:val="left" w:pos="5670"/>
        </w:tabs>
        <w:autoSpaceDE w:val="0"/>
        <w:autoSpaceDN w:val="0"/>
        <w:adjustRightInd w:val="0"/>
        <w:ind w:firstLine="567"/>
        <w:jc w:val="left"/>
        <w:rPr>
          <w:rFonts w:cs="Arial"/>
          <w:szCs w:val="22"/>
        </w:rPr>
      </w:pPr>
    </w:p>
    <w:p w14:paraId="5C1F70E1" w14:textId="415AF876" w:rsidR="00535E2B" w:rsidRPr="00574D01" w:rsidRDefault="00535E2B" w:rsidP="00535E2B">
      <w:pPr>
        <w:tabs>
          <w:tab w:val="left" w:pos="5670"/>
        </w:tabs>
        <w:autoSpaceDE w:val="0"/>
        <w:autoSpaceDN w:val="0"/>
        <w:adjustRightInd w:val="0"/>
        <w:ind w:firstLine="567"/>
        <w:jc w:val="left"/>
        <w:rPr>
          <w:rFonts w:cs="Arial"/>
          <w:szCs w:val="22"/>
        </w:rPr>
      </w:pPr>
      <w:bookmarkStart w:id="5" w:name="_GoBack"/>
      <w:bookmarkEnd w:id="5"/>
      <w:r>
        <w:rPr>
          <w:rFonts w:cs="Arial"/>
          <w:szCs w:val="22"/>
        </w:rPr>
        <w:t>I</w:t>
      </w:r>
      <w:r w:rsidRPr="00574D01">
        <w:rPr>
          <w:rFonts w:cs="Arial"/>
          <w:szCs w:val="22"/>
        </w:rPr>
        <w:t>nvestiční ředitel</w:t>
      </w:r>
      <w:r>
        <w:rPr>
          <w:rFonts w:cs="Arial"/>
          <w:szCs w:val="22"/>
        </w:rPr>
        <w:tab/>
        <w:t>„</w:t>
      </w:r>
      <w:r w:rsidRPr="00431301">
        <w:rPr>
          <w:rFonts w:cs="Arial"/>
          <w:bCs/>
          <w:szCs w:val="22"/>
        </w:rPr>
        <w:t>VP PROJEKTING</w:t>
      </w:r>
      <w:r>
        <w:rPr>
          <w:rFonts w:cs="Arial"/>
          <w:bCs/>
          <w:szCs w:val="22"/>
        </w:rPr>
        <w:t>“</w:t>
      </w:r>
      <w:r w:rsidRPr="00431301">
        <w:rPr>
          <w:rFonts w:cs="Arial"/>
          <w:bCs/>
          <w:szCs w:val="22"/>
        </w:rPr>
        <w:t xml:space="preserve"> s.r.o.</w:t>
      </w:r>
    </w:p>
    <w:p w14:paraId="3D3A5416" w14:textId="77777777" w:rsidR="00535E2B" w:rsidRPr="00235572" w:rsidRDefault="00535E2B" w:rsidP="00535E2B">
      <w:pPr>
        <w:tabs>
          <w:tab w:val="left" w:pos="5812"/>
        </w:tabs>
        <w:autoSpaceDE w:val="0"/>
        <w:autoSpaceDN w:val="0"/>
        <w:adjustRightInd w:val="0"/>
        <w:ind w:firstLine="567"/>
        <w:jc w:val="left"/>
        <w:rPr>
          <w:rFonts w:cs="Arial"/>
          <w:szCs w:val="22"/>
        </w:rPr>
      </w:pPr>
      <w:r w:rsidRPr="00574D01">
        <w:rPr>
          <w:rFonts w:cs="Arial"/>
          <w:szCs w:val="22"/>
        </w:rPr>
        <w:t>Povodí Ohře, státní podnik</w:t>
      </w:r>
      <w:r w:rsidRPr="00574D01">
        <w:rPr>
          <w:rFonts w:cs="Arial"/>
          <w:szCs w:val="22"/>
        </w:rPr>
        <w:tab/>
      </w:r>
    </w:p>
    <w:sectPr w:rsidR="00535E2B" w:rsidRPr="00235572"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BF4F" w14:textId="77777777" w:rsidR="006360FC" w:rsidRDefault="006360FC">
      <w:r>
        <w:separator/>
      </w:r>
    </w:p>
  </w:endnote>
  <w:endnote w:type="continuationSeparator" w:id="0">
    <w:p w14:paraId="6BD6934B" w14:textId="77777777" w:rsidR="006360FC" w:rsidRDefault="0063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E07C" w14:textId="77777777" w:rsidR="006360FC" w:rsidRDefault="006360FC">
      <w:r>
        <w:separator/>
      </w:r>
    </w:p>
  </w:footnote>
  <w:footnote w:type="continuationSeparator" w:id="0">
    <w:p w14:paraId="2AD62CB6" w14:textId="77777777" w:rsidR="006360FC" w:rsidRDefault="0063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E036DC6"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432749">
      <w:rPr>
        <w:rFonts w:cs="Arial"/>
        <w:szCs w:val="22"/>
      </w:rPr>
      <w:t xml:space="preserve"> 1147</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01C673A"/>
    <w:multiLevelType w:val="hybridMultilevel"/>
    <w:tmpl w:val="E6FE2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DAA46A68"/>
    <w:lvl w:ilvl="0" w:tplc="70A4A3D6">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506A"/>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481C"/>
    <w:rsid w:val="00044938"/>
    <w:rsid w:val="0004546C"/>
    <w:rsid w:val="00045664"/>
    <w:rsid w:val="00056330"/>
    <w:rsid w:val="00056FE6"/>
    <w:rsid w:val="00060209"/>
    <w:rsid w:val="000674F1"/>
    <w:rsid w:val="000768C5"/>
    <w:rsid w:val="00081614"/>
    <w:rsid w:val="00083E5A"/>
    <w:rsid w:val="000942A5"/>
    <w:rsid w:val="000A52AD"/>
    <w:rsid w:val="000A539A"/>
    <w:rsid w:val="000B334D"/>
    <w:rsid w:val="000C512F"/>
    <w:rsid w:val="000D1260"/>
    <w:rsid w:val="000D2A9F"/>
    <w:rsid w:val="000F1477"/>
    <w:rsid w:val="001006ED"/>
    <w:rsid w:val="00100B1F"/>
    <w:rsid w:val="00103840"/>
    <w:rsid w:val="001059B3"/>
    <w:rsid w:val="00106A6D"/>
    <w:rsid w:val="0010709B"/>
    <w:rsid w:val="00113D9A"/>
    <w:rsid w:val="001251EF"/>
    <w:rsid w:val="00126B34"/>
    <w:rsid w:val="00131488"/>
    <w:rsid w:val="00132F6E"/>
    <w:rsid w:val="0014618D"/>
    <w:rsid w:val="0015406B"/>
    <w:rsid w:val="0015732F"/>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E537C"/>
    <w:rsid w:val="001F1AF6"/>
    <w:rsid w:val="001F24C9"/>
    <w:rsid w:val="001F2706"/>
    <w:rsid w:val="001F52B0"/>
    <w:rsid w:val="001F53D6"/>
    <w:rsid w:val="0020596F"/>
    <w:rsid w:val="00210884"/>
    <w:rsid w:val="00217336"/>
    <w:rsid w:val="00217B50"/>
    <w:rsid w:val="00223528"/>
    <w:rsid w:val="00224C74"/>
    <w:rsid w:val="002270FD"/>
    <w:rsid w:val="00230871"/>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389B"/>
    <w:rsid w:val="002A58B6"/>
    <w:rsid w:val="002A798A"/>
    <w:rsid w:val="002B3146"/>
    <w:rsid w:val="002B4708"/>
    <w:rsid w:val="002B562E"/>
    <w:rsid w:val="002B693F"/>
    <w:rsid w:val="002C21D2"/>
    <w:rsid w:val="002C22E1"/>
    <w:rsid w:val="002C4574"/>
    <w:rsid w:val="002C52E6"/>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770"/>
    <w:rsid w:val="00327514"/>
    <w:rsid w:val="00327D64"/>
    <w:rsid w:val="00330C49"/>
    <w:rsid w:val="00335EC3"/>
    <w:rsid w:val="00345329"/>
    <w:rsid w:val="00345C83"/>
    <w:rsid w:val="003460B5"/>
    <w:rsid w:val="003461F1"/>
    <w:rsid w:val="003472AC"/>
    <w:rsid w:val="00354C43"/>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32749"/>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5E2B"/>
    <w:rsid w:val="005368F8"/>
    <w:rsid w:val="0055206D"/>
    <w:rsid w:val="005551A3"/>
    <w:rsid w:val="00561238"/>
    <w:rsid w:val="00566190"/>
    <w:rsid w:val="00567DBE"/>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D792B"/>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60FC"/>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4125"/>
    <w:rsid w:val="006A58B6"/>
    <w:rsid w:val="006A7E38"/>
    <w:rsid w:val="006C239C"/>
    <w:rsid w:val="006C2E78"/>
    <w:rsid w:val="006C3095"/>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1D92"/>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54FC"/>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2D5A"/>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DE0"/>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6660"/>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230F1"/>
    <w:rsid w:val="00A304FA"/>
    <w:rsid w:val="00A31015"/>
    <w:rsid w:val="00A31E98"/>
    <w:rsid w:val="00A333BD"/>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2AAA"/>
    <w:rsid w:val="00B23798"/>
    <w:rsid w:val="00B34E03"/>
    <w:rsid w:val="00B34E3F"/>
    <w:rsid w:val="00B43E05"/>
    <w:rsid w:val="00B459F0"/>
    <w:rsid w:val="00B51285"/>
    <w:rsid w:val="00B535AE"/>
    <w:rsid w:val="00B5360D"/>
    <w:rsid w:val="00B56AAB"/>
    <w:rsid w:val="00B67C48"/>
    <w:rsid w:val="00B739FD"/>
    <w:rsid w:val="00B76263"/>
    <w:rsid w:val="00B7669F"/>
    <w:rsid w:val="00B840BD"/>
    <w:rsid w:val="00B862FE"/>
    <w:rsid w:val="00B86729"/>
    <w:rsid w:val="00B92C56"/>
    <w:rsid w:val="00B94105"/>
    <w:rsid w:val="00BA1A8B"/>
    <w:rsid w:val="00BA5122"/>
    <w:rsid w:val="00BA51FB"/>
    <w:rsid w:val="00BA6366"/>
    <w:rsid w:val="00BA6A71"/>
    <w:rsid w:val="00BB016C"/>
    <w:rsid w:val="00BB2DAF"/>
    <w:rsid w:val="00BB4447"/>
    <w:rsid w:val="00BB4CC3"/>
    <w:rsid w:val="00BC3C71"/>
    <w:rsid w:val="00BD7651"/>
    <w:rsid w:val="00BE1E0D"/>
    <w:rsid w:val="00BE42F1"/>
    <w:rsid w:val="00BE6ACC"/>
    <w:rsid w:val="00BF4A4D"/>
    <w:rsid w:val="00BF5B97"/>
    <w:rsid w:val="00BF6646"/>
    <w:rsid w:val="00BF6D10"/>
    <w:rsid w:val="00BF7072"/>
    <w:rsid w:val="00C01BBA"/>
    <w:rsid w:val="00C05C03"/>
    <w:rsid w:val="00C071B2"/>
    <w:rsid w:val="00C12B6A"/>
    <w:rsid w:val="00C20688"/>
    <w:rsid w:val="00C2147C"/>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5DDB"/>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17AC"/>
    <w:rsid w:val="00D2260A"/>
    <w:rsid w:val="00D23CAD"/>
    <w:rsid w:val="00D25936"/>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0F39"/>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4201</Words>
  <Characters>24787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2022-11-16T11:13:00Z</dcterms:created>
  <dcterms:modified xsi:type="dcterms:W3CDTF">2022-11-16T11:13:00Z</dcterms:modified>
</cp:coreProperties>
</file>