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2D5E7A" w:rsidRDefault="00406509" w:rsidP="00B86BEB">
      <w:pPr>
        <w:pStyle w:val="Nzevsmlouvy"/>
        <w:spacing w:after="120" w:line="240" w:lineRule="auto"/>
        <w:jc w:val="both"/>
        <w:rPr>
          <w:rFonts w:asciiTheme="minorHAnsi" w:hAnsiTheme="minorHAnsi"/>
          <w:b w:val="0"/>
          <w:color w:val="000000" w:themeColor="text1"/>
          <w:sz w:val="22"/>
          <w:szCs w:val="22"/>
        </w:rPr>
      </w:pPr>
      <w:r w:rsidRPr="002D5E7A">
        <w:rPr>
          <w:rFonts w:asciiTheme="minorHAnsi" w:hAnsiTheme="minorHAnsi"/>
          <w:b w:val="0"/>
          <w:color w:val="000000" w:themeColor="text1"/>
          <w:sz w:val="22"/>
          <w:szCs w:val="22"/>
        </w:rPr>
        <w:t xml:space="preserve">uzavřená v souladu s </w:t>
      </w:r>
      <w:proofErr w:type="spellStart"/>
      <w:r w:rsidRPr="002D5E7A">
        <w:rPr>
          <w:rFonts w:asciiTheme="minorHAnsi" w:hAnsiTheme="minorHAnsi"/>
          <w:b w:val="0"/>
          <w:color w:val="000000" w:themeColor="text1"/>
          <w:sz w:val="22"/>
          <w:szCs w:val="22"/>
        </w:rPr>
        <w:t>ust</w:t>
      </w:r>
      <w:proofErr w:type="spellEnd"/>
      <w:r w:rsidRPr="002D5E7A">
        <w:rPr>
          <w:rFonts w:asciiTheme="minorHAnsi" w:hAnsiTheme="minorHAnsi"/>
          <w:b w:val="0"/>
          <w:color w:val="000000" w:themeColor="text1"/>
          <w:sz w:val="22"/>
          <w:szCs w:val="22"/>
        </w:rPr>
        <w:t xml:space="preserve">. § 2079 a </w:t>
      </w:r>
      <w:proofErr w:type="spellStart"/>
      <w:r w:rsidRPr="002D5E7A">
        <w:rPr>
          <w:rFonts w:asciiTheme="minorHAnsi" w:hAnsiTheme="minorHAnsi"/>
          <w:b w:val="0"/>
          <w:color w:val="000000" w:themeColor="text1"/>
          <w:sz w:val="22"/>
          <w:szCs w:val="22"/>
        </w:rPr>
        <w:t>souv</w:t>
      </w:r>
      <w:proofErr w:type="spellEnd"/>
      <w:r w:rsidRPr="002D5E7A">
        <w:rPr>
          <w:rFonts w:asciiTheme="minorHAnsi" w:hAnsiTheme="minorHAnsi"/>
          <w:b w:val="0"/>
          <w:color w:val="000000" w:themeColor="text1"/>
          <w:sz w:val="22"/>
          <w:szCs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sidRPr="002D5E7A">
        <w:rPr>
          <w:rFonts w:asciiTheme="minorHAnsi" w:hAnsiTheme="minorHAnsi"/>
          <w:b w:val="0"/>
          <w:color w:val="000000" w:themeColor="text1"/>
          <w:sz w:val="22"/>
          <w:szCs w:val="22"/>
        </w:rPr>
        <w:t xml:space="preserve">zadávání </w:t>
      </w:r>
      <w:r w:rsidRPr="002D5E7A">
        <w:rPr>
          <w:rFonts w:asciiTheme="minorHAnsi" w:hAnsiTheme="minorHAnsi"/>
          <w:b w:val="0"/>
          <w:color w:val="000000" w:themeColor="text1"/>
          <w:sz w:val="22"/>
          <w:szCs w:val="22"/>
        </w:rPr>
        <w:t>veřejných zakáz</w:t>
      </w:r>
      <w:r w:rsidR="009F0997" w:rsidRPr="002D5E7A">
        <w:rPr>
          <w:rFonts w:asciiTheme="minorHAnsi" w:hAnsiTheme="minorHAnsi"/>
          <w:b w:val="0"/>
          <w:color w:val="000000" w:themeColor="text1"/>
          <w:sz w:val="22"/>
          <w:szCs w:val="22"/>
        </w:rPr>
        <w:t>ek</w:t>
      </w:r>
      <w:r w:rsidRPr="002D5E7A">
        <w:rPr>
          <w:rFonts w:asciiTheme="minorHAnsi" w:hAnsiTheme="minorHAnsi"/>
          <w:b w:val="0"/>
          <w:color w:val="000000" w:themeColor="text1"/>
          <w:sz w:val="22"/>
          <w:szCs w:val="22"/>
        </w:rPr>
        <w:t>“)</w:t>
      </w:r>
    </w:p>
    <w:p w14:paraId="49C3E274" w14:textId="57D0E736" w:rsidR="00406509" w:rsidRPr="002D5E7A" w:rsidRDefault="00364BEA" w:rsidP="00B86BEB">
      <w:pPr>
        <w:spacing w:after="120"/>
        <w:jc w:val="center"/>
        <w:rPr>
          <w:bCs/>
          <w:color w:val="000000" w:themeColor="text1"/>
        </w:rPr>
      </w:pPr>
      <w:r w:rsidRPr="002D5E7A" w:rsidDel="00364BEA">
        <w:rPr>
          <w:color w:val="000000" w:themeColor="text1"/>
        </w:rPr>
        <w:t xml:space="preserve"> </w:t>
      </w:r>
      <w:r w:rsidR="00406509" w:rsidRPr="002D5E7A">
        <w:rPr>
          <w:bCs/>
          <w:color w:val="000000" w:themeColor="text1"/>
        </w:rPr>
        <w:t>(dále jen „smlouva”)</w:t>
      </w:r>
    </w:p>
    <w:p w14:paraId="23A4DEA8" w14:textId="140D7401" w:rsidR="001E5ED0" w:rsidRPr="002D5E7A" w:rsidRDefault="001E5ED0" w:rsidP="00B86BEB">
      <w:pPr>
        <w:spacing w:after="120"/>
        <w:rPr>
          <w:bCs/>
          <w:color w:val="000000" w:themeColor="text1"/>
        </w:rPr>
      </w:pPr>
    </w:p>
    <w:p w14:paraId="7E854749" w14:textId="0FA2BA9D" w:rsidR="00406509" w:rsidRPr="002D5E7A" w:rsidRDefault="00406509">
      <w:pPr>
        <w:pStyle w:val="SBSSmlouva"/>
        <w:numPr>
          <w:ilvl w:val="0"/>
          <w:numId w:val="0"/>
        </w:numPr>
        <w:spacing w:before="0" w:after="120"/>
        <w:rPr>
          <w:rFonts w:asciiTheme="minorHAnsi" w:hAnsiTheme="minorHAnsi"/>
          <w:b/>
          <w:caps/>
          <w:color w:val="000000" w:themeColor="text1"/>
          <w:szCs w:val="22"/>
          <w:lang w:eastAsia="en-US"/>
        </w:rPr>
      </w:pPr>
      <w:r w:rsidRPr="002D5E7A">
        <w:rPr>
          <w:rFonts w:asciiTheme="minorHAnsi" w:hAnsiTheme="minorHAnsi"/>
          <w:b/>
          <w:caps/>
          <w:color w:val="000000" w:themeColor="text1"/>
          <w:szCs w:val="22"/>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7"/>
        <w:gridCol w:w="6676"/>
      </w:tblGrid>
      <w:tr w:rsidR="00406509" w:rsidRPr="002D5E7A" w14:paraId="6F9C02B2" w14:textId="77777777" w:rsidTr="009E7D5E">
        <w:trPr>
          <w:trHeight w:val="379"/>
          <w:jc w:val="center"/>
        </w:trPr>
        <w:tc>
          <w:tcPr>
            <w:tcW w:w="1365" w:type="pct"/>
            <w:shd w:val="clear" w:color="auto" w:fill="2E74B5"/>
            <w:vAlign w:val="center"/>
          </w:tcPr>
          <w:p w14:paraId="5A0CA983" w14:textId="77777777" w:rsidR="00406509" w:rsidRPr="002D5E7A" w:rsidRDefault="00406509">
            <w:pPr>
              <w:spacing w:after="120"/>
              <w:rPr>
                <w:rFonts w:cs="Calibri"/>
                <w:b/>
                <w:color w:val="FFFFFF"/>
              </w:rPr>
            </w:pPr>
            <w:r w:rsidRPr="002D5E7A">
              <w:rPr>
                <w:rFonts w:cs="Calibri"/>
                <w:b/>
                <w:color w:val="FFFFFF"/>
              </w:rPr>
              <w:t>NÁZEV:</w:t>
            </w:r>
          </w:p>
        </w:tc>
        <w:tc>
          <w:tcPr>
            <w:tcW w:w="3635" w:type="pct"/>
            <w:shd w:val="clear" w:color="auto" w:fill="auto"/>
            <w:vAlign w:val="center"/>
          </w:tcPr>
          <w:p w14:paraId="3B8C2684" w14:textId="600C5B8A" w:rsidR="00406509" w:rsidRPr="002D5E7A" w:rsidRDefault="00406509">
            <w:pPr>
              <w:spacing w:after="120"/>
              <w:jc w:val="center"/>
              <w:rPr>
                <w:rFonts w:cs="Calibri"/>
                <w:b/>
                <w:bCs/>
                <w:color w:val="000000"/>
              </w:rPr>
            </w:pPr>
            <w:r w:rsidRPr="002D5E7A">
              <w:rPr>
                <w:rFonts w:cs="Calibri"/>
                <w:b/>
                <w:bCs/>
                <w:color w:val="000000"/>
              </w:rPr>
              <w:t>ČESKÉ VYSOKÉ UČENÍ TECHNICKÉ V PRAZE</w:t>
            </w:r>
          </w:p>
          <w:p w14:paraId="32CFF94E" w14:textId="5B738B3D" w:rsidR="00406509" w:rsidRPr="002D5E7A" w:rsidRDefault="00406509">
            <w:pPr>
              <w:spacing w:after="120"/>
              <w:jc w:val="center"/>
              <w:rPr>
                <w:rFonts w:cs="Calibri"/>
                <w:b/>
                <w:bCs/>
                <w:color w:val="000000"/>
              </w:rPr>
            </w:pPr>
            <w:r w:rsidRPr="002D5E7A">
              <w:rPr>
                <w:rFonts w:cs="Calibri"/>
                <w:b/>
                <w:bCs/>
                <w:color w:val="000000"/>
              </w:rPr>
              <w:t>Český institut informatiky, robotiky a kybernetiky</w:t>
            </w:r>
          </w:p>
        </w:tc>
      </w:tr>
      <w:tr w:rsidR="00406509" w:rsidRPr="002D5E7A" w14:paraId="6CB0F8E1" w14:textId="77777777" w:rsidTr="009E7D5E">
        <w:trPr>
          <w:trHeight w:val="379"/>
          <w:jc w:val="center"/>
        </w:trPr>
        <w:tc>
          <w:tcPr>
            <w:tcW w:w="1365" w:type="pct"/>
            <w:shd w:val="clear" w:color="auto" w:fill="2E74B5"/>
            <w:vAlign w:val="center"/>
          </w:tcPr>
          <w:p w14:paraId="4F204CF1" w14:textId="77777777" w:rsidR="00406509" w:rsidRPr="002D5E7A" w:rsidRDefault="00406509" w:rsidP="00B86BEB">
            <w:pPr>
              <w:spacing w:after="120"/>
              <w:rPr>
                <w:rFonts w:cs="Calibri"/>
                <w:b/>
                <w:color w:val="FFFFFF"/>
              </w:rPr>
            </w:pPr>
            <w:r w:rsidRPr="002D5E7A">
              <w:rPr>
                <w:rFonts w:cs="Calibri"/>
                <w:b/>
                <w:color w:val="FFFFFF"/>
              </w:rPr>
              <w:t>SÍDLO:</w:t>
            </w:r>
          </w:p>
        </w:tc>
        <w:tc>
          <w:tcPr>
            <w:tcW w:w="3635" w:type="pct"/>
            <w:shd w:val="clear" w:color="auto" w:fill="auto"/>
            <w:vAlign w:val="center"/>
          </w:tcPr>
          <w:p w14:paraId="25349125" w14:textId="595CDA9A" w:rsidR="00406509" w:rsidRPr="002D5E7A" w:rsidRDefault="00406509">
            <w:pPr>
              <w:spacing w:after="120"/>
              <w:jc w:val="center"/>
              <w:rPr>
                <w:rFonts w:cs="Calibri"/>
                <w:bCs/>
              </w:rPr>
            </w:pPr>
            <w:r w:rsidRPr="002D5E7A">
              <w:rPr>
                <w:rFonts w:eastAsia="Times New Roman" w:cs="Arial"/>
                <w:bCs/>
                <w:lang w:eastAsia="cs-CZ"/>
              </w:rPr>
              <w:t>Jugoslávských partyzánů 1580/3, 160 00, Praha 6</w:t>
            </w:r>
          </w:p>
        </w:tc>
      </w:tr>
      <w:tr w:rsidR="00406509" w:rsidRPr="002D5E7A" w14:paraId="5F378223" w14:textId="77777777" w:rsidTr="009E7D5E">
        <w:trPr>
          <w:trHeight w:val="379"/>
          <w:jc w:val="center"/>
        </w:trPr>
        <w:tc>
          <w:tcPr>
            <w:tcW w:w="1365" w:type="pct"/>
            <w:shd w:val="clear" w:color="auto" w:fill="2E74B5"/>
            <w:vAlign w:val="center"/>
          </w:tcPr>
          <w:p w14:paraId="5C48B1AB" w14:textId="1721849F" w:rsidR="00406509" w:rsidRPr="002D5E7A" w:rsidRDefault="008441B7" w:rsidP="00B86BEB">
            <w:pPr>
              <w:spacing w:after="120"/>
              <w:rPr>
                <w:rFonts w:cs="Calibri"/>
                <w:b/>
                <w:color w:val="FFFFFF"/>
              </w:rPr>
            </w:pPr>
            <w:r w:rsidRPr="002D5E7A">
              <w:rPr>
                <w:rFonts w:cs="Calibri"/>
                <w:b/>
                <w:color w:val="FFFFFF"/>
              </w:rPr>
              <w:t>JEHOŽ JMÉNEM JEDNÁ:</w:t>
            </w:r>
          </w:p>
        </w:tc>
        <w:tc>
          <w:tcPr>
            <w:tcW w:w="3635" w:type="pct"/>
            <w:shd w:val="clear" w:color="auto" w:fill="auto"/>
            <w:vAlign w:val="center"/>
          </w:tcPr>
          <w:p w14:paraId="6BD4D68B" w14:textId="384B585C" w:rsidR="00406509" w:rsidRPr="002D5E7A" w:rsidRDefault="00406509">
            <w:pPr>
              <w:spacing w:after="120"/>
              <w:jc w:val="center"/>
              <w:rPr>
                <w:rFonts w:cs="Calibri"/>
              </w:rPr>
            </w:pPr>
          </w:p>
        </w:tc>
      </w:tr>
      <w:tr w:rsidR="00406509" w:rsidRPr="002D5E7A" w14:paraId="6E138837" w14:textId="77777777" w:rsidTr="009E7D5E">
        <w:trPr>
          <w:trHeight w:val="379"/>
          <w:jc w:val="center"/>
        </w:trPr>
        <w:tc>
          <w:tcPr>
            <w:tcW w:w="1365" w:type="pct"/>
            <w:shd w:val="clear" w:color="auto" w:fill="2E74B5"/>
            <w:vAlign w:val="center"/>
          </w:tcPr>
          <w:p w14:paraId="6F886B6D" w14:textId="77777777" w:rsidR="00406509" w:rsidRPr="002D5E7A" w:rsidRDefault="00406509" w:rsidP="00B86BEB">
            <w:pPr>
              <w:spacing w:after="120"/>
              <w:rPr>
                <w:rFonts w:cs="Calibri"/>
                <w:b/>
                <w:color w:val="FFFFFF"/>
              </w:rPr>
            </w:pPr>
            <w:r w:rsidRPr="002D5E7A">
              <w:rPr>
                <w:rFonts w:cs="Calibri"/>
                <w:b/>
                <w:color w:val="FFFFFF"/>
              </w:rPr>
              <w:t>IČO:</w:t>
            </w:r>
          </w:p>
        </w:tc>
        <w:tc>
          <w:tcPr>
            <w:tcW w:w="3635" w:type="pct"/>
            <w:shd w:val="clear" w:color="auto" w:fill="auto"/>
            <w:vAlign w:val="center"/>
          </w:tcPr>
          <w:p w14:paraId="5F8E3852" w14:textId="77777777" w:rsidR="00406509" w:rsidRPr="002D5E7A" w:rsidRDefault="00406509">
            <w:pPr>
              <w:spacing w:after="120"/>
              <w:jc w:val="center"/>
              <w:rPr>
                <w:rFonts w:cs="Calibri"/>
              </w:rPr>
            </w:pPr>
            <w:r w:rsidRPr="002D5E7A">
              <w:rPr>
                <w:rFonts w:cs="Calibri"/>
              </w:rPr>
              <w:t>68407700</w:t>
            </w:r>
          </w:p>
        </w:tc>
      </w:tr>
    </w:tbl>
    <w:p w14:paraId="15148EF3" w14:textId="1881EEF9" w:rsidR="00406509" w:rsidRPr="002D5E7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sidRPr="002D5E7A">
        <w:rPr>
          <w:rFonts w:eastAsia="Times New Roman" w:cs="Arial"/>
          <w:bCs/>
          <w:color w:val="000000"/>
          <w:lang w:eastAsia="cs-CZ"/>
        </w:rPr>
        <w:t>d</w:t>
      </w:r>
      <w:r w:rsidR="00406509" w:rsidRPr="002D5E7A">
        <w:rPr>
          <w:rFonts w:eastAsia="Times New Roman" w:cs="Arial"/>
          <w:bCs/>
          <w:color w:val="000000"/>
          <w:lang w:eastAsia="cs-CZ"/>
        </w:rPr>
        <w:t>ále jen „kupující</w:t>
      </w:r>
      <w:r w:rsidR="00857285" w:rsidRPr="002D5E7A">
        <w:rPr>
          <w:rFonts w:eastAsia="Times New Roman" w:cs="Arial"/>
          <w:bCs/>
          <w:color w:val="000000"/>
          <w:lang w:eastAsia="cs-CZ"/>
        </w:rPr>
        <w:t>“</w:t>
      </w:r>
    </w:p>
    <w:p w14:paraId="50A8D50F" w14:textId="60E56F6B" w:rsidR="00406509" w:rsidRPr="002D5E7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2D5E7A">
        <w:rPr>
          <w:rFonts w:eastAsia="Times New Roman" w:cs="Arial"/>
          <w:b/>
          <w:bCs/>
          <w:color w:val="000000"/>
          <w:lang w:eastAsia="cs-CZ"/>
        </w:rPr>
        <w:t>a</w:t>
      </w:r>
    </w:p>
    <w:p w14:paraId="0F9F7DE7" w14:textId="13C5D56B" w:rsidR="00406509" w:rsidRPr="002D5E7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2D5E7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661"/>
      </w:tblGrid>
      <w:tr w:rsidR="00406509" w:rsidRPr="002D5E7A" w14:paraId="298CFBD5" w14:textId="77777777" w:rsidTr="009E7D5E">
        <w:trPr>
          <w:trHeight w:val="379"/>
          <w:jc w:val="center"/>
        </w:trPr>
        <w:tc>
          <w:tcPr>
            <w:tcW w:w="1365" w:type="pct"/>
            <w:shd w:val="clear" w:color="auto" w:fill="2E74B5"/>
            <w:vAlign w:val="center"/>
          </w:tcPr>
          <w:p w14:paraId="74ADB9F1" w14:textId="77777777" w:rsidR="00406509" w:rsidRPr="002D5E7A" w:rsidRDefault="00406509">
            <w:pPr>
              <w:spacing w:after="120"/>
              <w:rPr>
                <w:rFonts w:cs="Calibri"/>
                <w:b/>
                <w:color w:val="FFFFFF"/>
              </w:rPr>
            </w:pPr>
            <w:r w:rsidRPr="002D5E7A">
              <w:rPr>
                <w:rFonts w:cs="Calibri"/>
                <w:b/>
                <w:color w:val="FFFFFF"/>
              </w:rPr>
              <w:t>NÁZEV:</w:t>
            </w:r>
          </w:p>
        </w:tc>
        <w:tc>
          <w:tcPr>
            <w:tcW w:w="3635" w:type="pct"/>
            <w:shd w:val="clear" w:color="auto" w:fill="auto"/>
            <w:vAlign w:val="center"/>
          </w:tcPr>
          <w:p w14:paraId="47C34724" w14:textId="68A6F399" w:rsidR="00406509" w:rsidRPr="002D5E7A" w:rsidRDefault="00B45C38" w:rsidP="00BA1452">
            <w:pPr>
              <w:spacing w:after="120"/>
              <w:jc w:val="center"/>
              <w:rPr>
                <w:rFonts w:cs="Calibri"/>
                <w:b/>
                <w:bCs/>
                <w:color w:val="000000"/>
              </w:rPr>
            </w:pPr>
            <w:r w:rsidRPr="002D5E7A">
              <w:rPr>
                <w:rFonts w:cstheme="minorHAnsi"/>
                <w:b/>
                <w:bCs/>
                <w:color w:val="000000"/>
              </w:rPr>
              <w:t>Siemens</w:t>
            </w:r>
            <w:r w:rsidR="00444A99" w:rsidRPr="002D5E7A">
              <w:rPr>
                <w:rFonts w:cstheme="minorHAnsi"/>
                <w:b/>
                <w:bCs/>
                <w:color w:val="000000"/>
              </w:rPr>
              <w:t>,</w:t>
            </w:r>
            <w:r w:rsidRPr="002D5E7A">
              <w:rPr>
                <w:rFonts w:cstheme="minorHAnsi"/>
                <w:b/>
                <w:bCs/>
                <w:color w:val="000000"/>
              </w:rPr>
              <w:t xml:space="preserve"> s.r.o.</w:t>
            </w:r>
          </w:p>
        </w:tc>
      </w:tr>
      <w:tr w:rsidR="00406509" w:rsidRPr="002D5E7A" w14:paraId="1A541F13" w14:textId="77777777" w:rsidTr="009E7D5E">
        <w:trPr>
          <w:trHeight w:val="379"/>
          <w:jc w:val="center"/>
        </w:trPr>
        <w:tc>
          <w:tcPr>
            <w:tcW w:w="1365" w:type="pct"/>
            <w:shd w:val="clear" w:color="auto" w:fill="2E74B5"/>
            <w:vAlign w:val="center"/>
          </w:tcPr>
          <w:p w14:paraId="20A5E65C" w14:textId="77777777" w:rsidR="00406509" w:rsidRPr="002D5E7A" w:rsidRDefault="00406509" w:rsidP="00B86BEB">
            <w:pPr>
              <w:spacing w:after="120"/>
              <w:rPr>
                <w:rFonts w:cs="Calibri"/>
                <w:b/>
                <w:color w:val="FFFFFF"/>
              </w:rPr>
            </w:pPr>
            <w:r w:rsidRPr="002D5E7A">
              <w:rPr>
                <w:rFonts w:cs="Calibri"/>
                <w:b/>
                <w:color w:val="FFFFFF"/>
              </w:rPr>
              <w:t>SÍDLO:</w:t>
            </w:r>
          </w:p>
        </w:tc>
        <w:tc>
          <w:tcPr>
            <w:tcW w:w="3635" w:type="pct"/>
            <w:shd w:val="clear" w:color="auto" w:fill="auto"/>
            <w:vAlign w:val="center"/>
          </w:tcPr>
          <w:p w14:paraId="7B38809A" w14:textId="77777777" w:rsidR="00AF5F1B" w:rsidRPr="002D5E7A" w:rsidRDefault="00AF5F1B" w:rsidP="00AF5F1B">
            <w:pPr>
              <w:spacing w:after="120"/>
              <w:jc w:val="center"/>
              <w:rPr>
                <w:rFonts w:cstheme="minorHAnsi"/>
                <w:color w:val="000000"/>
              </w:rPr>
            </w:pPr>
            <w:proofErr w:type="spellStart"/>
            <w:r w:rsidRPr="002D5E7A">
              <w:rPr>
                <w:rFonts w:cstheme="minorHAnsi"/>
                <w:color w:val="000000"/>
              </w:rPr>
              <w:t>Siemensova</w:t>
            </w:r>
            <w:proofErr w:type="spellEnd"/>
            <w:r w:rsidRPr="002D5E7A">
              <w:rPr>
                <w:rFonts w:cstheme="minorHAnsi"/>
                <w:color w:val="000000"/>
              </w:rPr>
              <w:t xml:space="preserve"> 2715/1</w:t>
            </w:r>
          </w:p>
          <w:p w14:paraId="41AA7F51" w14:textId="77777777" w:rsidR="00AF5F1B" w:rsidRPr="002D5E7A" w:rsidRDefault="00AF5F1B" w:rsidP="00AF5F1B">
            <w:pPr>
              <w:spacing w:after="120"/>
              <w:jc w:val="center"/>
              <w:rPr>
                <w:rFonts w:cstheme="minorHAnsi"/>
                <w:color w:val="000000"/>
              </w:rPr>
            </w:pPr>
            <w:r w:rsidRPr="002D5E7A">
              <w:rPr>
                <w:rFonts w:cstheme="minorHAnsi"/>
                <w:color w:val="000000"/>
              </w:rPr>
              <w:t>15500 Praha</w:t>
            </w:r>
          </w:p>
          <w:p w14:paraId="178311F2" w14:textId="44E32B81" w:rsidR="00406509" w:rsidRPr="002D5E7A" w:rsidRDefault="00AF5F1B" w:rsidP="00AF5F1B">
            <w:pPr>
              <w:spacing w:after="120"/>
              <w:jc w:val="center"/>
              <w:rPr>
                <w:rFonts w:cs="Calibri"/>
              </w:rPr>
            </w:pPr>
            <w:r w:rsidRPr="002D5E7A">
              <w:rPr>
                <w:rFonts w:cstheme="minorHAnsi"/>
                <w:color w:val="000000"/>
              </w:rPr>
              <w:t>Česká republika</w:t>
            </w:r>
          </w:p>
        </w:tc>
      </w:tr>
      <w:tr w:rsidR="00406509" w:rsidRPr="002D5E7A" w14:paraId="5A81D328" w14:textId="77777777" w:rsidTr="009E7D5E">
        <w:trPr>
          <w:trHeight w:val="379"/>
          <w:jc w:val="center"/>
        </w:trPr>
        <w:tc>
          <w:tcPr>
            <w:tcW w:w="1365" w:type="pct"/>
            <w:shd w:val="clear" w:color="auto" w:fill="2E74B5"/>
            <w:vAlign w:val="center"/>
          </w:tcPr>
          <w:p w14:paraId="2838CB2F" w14:textId="05F16719" w:rsidR="00406509" w:rsidRPr="002D5E7A" w:rsidRDefault="00406509" w:rsidP="00B86BEB">
            <w:pPr>
              <w:spacing w:after="120"/>
              <w:rPr>
                <w:rFonts w:cs="Calibri"/>
                <w:b/>
                <w:color w:val="FFFFFF"/>
              </w:rPr>
            </w:pPr>
            <w:r w:rsidRPr="002D5E7A">
              <w:rPr>
                <w:rFonts w:cs="Calibri"/>
                <w:b/>
                <w:color w:val="FFFFFF"/>
              </w:rPr>
              <w:t>ZASTOUPENÁ</w:t>
            </w:r>
            <w:r w:rsidR="00364BEA" w:rsidRPr="002D5E7A">
              <w:rPr>
                <w:rFonts w:cs="Calibri"/>
                <w:b/>
                <w:color w:val="FFFFFF"/>
              </w:rPr>
              <w:t>/JEDNAJÍCÍ</w:t>
            </w:r>
            <w:r w:rsidRPr="002D5E7A">
              <w:rPr>
                <w:rFonts w:cs="Calibri"/>
                <w:b/>
                <w:color w:val="FFFFFF"/>
              </w:rPr>
              <w:t>:</w:t>
            </w:r>
          </w:p>
        </w:tc>
        <w:tc>
          <w:tcPr>
            <w:tcW w:w="3635" w:type="pct"/>
            <w:shd w:val="clear" w:color="auto" w:fill="auto"/>
            <w:vAlign w:val="center"/>
          </w:tcPr>
          <w:p w14:paraId="25D79527" w14:textId="3D899E2F" w:rsidR="007D3CBA" w:rsidRPr="002D5E7A" w:rsidRDefault="00E535C8" w:rsidP="00E535C8">
            <w:pPr>
              <w:spacing w:after="120"/>
              <w:jc w:val="center"/>
              <w:rPr>
                <w:rFonts w:cs="Calibri"/>
                <w:lang w:val="en-GB"/>
              </w:rPr>
            </w:pPr>
            <w:r w:rsidRPr="002D5E7A">
              <w:rPr>
                <w:rFonts w:cs="Calibri"/>
                <w:lang w:val="en-GB"/>
              </w:rPr>
              <w:t xml:space="preserve"> </w:t>
            </w:r>
          </w:p>
        </w:tc>
      </w:tr>
      <w:tr w:rsidR="00406509" w:rsidRPr="002D5E7A" w14:paraId="10CE8B0C" w14:textId="77777777" w:rsidTr="009E7D5E">
        <w:trPr>
          <w:trHeight w:val="379"/>
          <w:jc w:val="center"/>
        </w:trPr>
        <w:tc>
          <w:tcPr>
            <w:tcW w:w="1365" w:type="pct"/>
            <w:shd w:val="clear" w:color="auto" w:fill="2E74B5"/>
            <w:vAlign w:val="center"/>
          </w:tcPr>
          <w:p w14:paraId="418E8524" w14:textId="77777777" w:rsidR="00406509" w:rsidRPr="002D5E7A" w:rsidRDefault="00406509" w:rsidP="00B86BEB">
            <w:pPr>
              <w:spacing w:after="120"/>
              <w:rPr>
                <w:rFonts w:cs="Calibri"/>
                <w:b/>
                <w:color w:val="FFFFFF"/>
              </w:rPr>
            </w:pPr>
            <w:r w:rsidRPr="002D5E7A">
              <w:rPr>
                <w:rFonts w:cs="Calibri"/>
                <w:b/>
                <w:color w:val="FFFFFF"/>
              </w:rPr>
              <w:t>IČO:</w:t>
            </w:r>
          </w:p>
        </w:tc>
        <w:tc>
          <w:tcPr>
            <w:tcW w:w="3635" w:type="pct"/>
            <w:shd w:val="clear" w:color="auto" w:fill="auto"/>
            <w:vAlign w:val="center"/>
          </w:tcPr>
          <w:p w14:paraId="1396873A" w14:textId="57F4369F" w:rsidR="00406509" w:rsidRPr="002D5E7A" w:rsidRDefault="00AF5F1B">
            <w:pPr>
              <w:spacing w:after="120"/>
              <w:jc w:val="center"/>
              <w:rPr>
                <w:rFonts w:cs="Calibri"/>
              </w:rPr>
            </w:pPr>
            <w:r w:rsidRPr="002D5E7A">
              <w:rPr>
                <w:rFonts w:cstheme="minorHAnsi"/>
                <w:color w:val="000000"/>
              </w:rPr>
              <w:t>00268577</w:t>
            </w:r>
          </w:p>
        </w:tc>
      </w:tr>
      <w:tr w:rsidR="00406509" w:rsidRPr="002D5E7A" w14:paraId="2C25C3C0" w14:textId="77777777" w:rsidTr="009E7D5E">
        <w:trPr>
          <w:trHeight w:val="379"/>
          <w:jc w:val="center"/>
        </w:trPr>
        <w:tc>
          <w:tcPr>
            <w:tcW w:w="1365" w:type="pct"/>
            <w:shd w:val="clear" w:color="auto" w:fill="2E74B5"/>
            <w:vAlign w:val="center"/>
          </w:tcPr>
          <w:p w14:paraId="5EB91011" w14:textId="77777777" w:rsidR="00406509" w:rsidRPr="002D5E7A" w:rsidRDefault="00406509" w:rsidP="00B86BEB">
            <w:pPr>
              <w:spacing w:after="120"/>
              <w:rPr>
                <w:rFonts w:cs="Calibri"/>
                <w:b/>
                <w:color w:val="FFFFFF"/>
              </w:rPr>
            </w:pPr>
            <w:r w:rsidRPr="002D5E7A">
              <w:rPr>
                <w:rFonts w:cs="Calibri"/>
                <w:b/>
                <w:color w:val="FFFFFF"/>
              </w:rPr>
              <w:t>ČÍSLO BANKOVNÍHO ÚČTU:</w:t>
            </w:r>
          </w:p>
        </w:tc>
        <w:tc>
          <w:tcPr>
            <w:tcW w:w="3635" w:type="pct"/>
            <w:shd w:val="clear" w:color="auto" w:fill="auto"/>
            <w:vAlign w:val="center"/>
          </w:tcPr>
          <w:p w14:paraId="7CAA4BAA" w14:textId="2261DC1E" w:rsidR="00406509" w:rsidRPr="002D5E7A" w:rsidRDefault="003C4E74">
            <w:pPr>
              <w:spacing w:after="120"/>
              <w:jc w:val="center"/>
              <w:rPr>
                <w:rFonts w:cs="Calibri"/>
              </w:rPr>
            </w:pPr>
            <w:r w:rsidRPr="002D5E7A">
              <w:rPr>
                <w:rFonts w:cstheme="minorHAnsi"/>
                <w:color w:val="000000"/>
              </w:rPr>
              <w:t>1013384001/2700</w:t>
            </w:r>
          </w:p>
        </w:tc>
      </w:tr>
      <w:tr w:rsidR="00406509" w:rsidRPr="002D5E7A" w14:paraId="6F5F8F7E" w14:textId="77777777" w:rsidTr="009E7D5E">
        <w:trPr>
          <w:trHeight w:val="379"/>
          <w:jc w:val="center"/>
        </w:trPr>
        <w:tc>
          <w:tcPr>
            <w:tcW w:w="1365" w:type="pct"/>
            <w:shd w:val="clear" w:color="auto" w:fill="2E74B5"/>
            <w:vAlign w:val="center"/>
          </w:tcPr>
          <w:p w14:paraId="3FD3747E" w14:textId="77777777" w:rsidR="00406509" w:rsidRPr="002D5E7A" w:rsidRDefault="00406509" w:rsidP="00B86BEB">
            <w:pPr>
              <w:spacing w:after="120"/>
              <w:rPr>
                <w:rFonts w:cs="Calibri"/>
                <w:b/>
                <w:color w:val="FFFFFF"/>
              </w:rPr>
            </w:pPr>
            <w:r w:rsidRPr="002D5E7A">
              <w:rPr>
                <w:rFonts w:cs="Calibri"/>
                <w:b/>
                <w:color w:val="FFFFFF"/>
              </w:rPr>
              <w:t>ZAPSANÁ V OR:</w:t>
            </w:r>
          </w:p>
        </w:tc>
        <w:tc>
          <w:tcPr>
            <w:tcW w:w="3635" w:type="pct"/>
            <w:shd w:val="clear" w:color="auto" w:fill="auto"/>
            <w:vAlign w:val="center"/>
          </w:tcPr>
          <w:p w14:paraId="2E28D426" w14:textId="544079D9" w:rsidR="00406509" w:rsidRPr="002D5E7A" w:rsidRDefault="00D52C72">
            <w:pPr>
              <w:spacing w:after="120"/>
              <w:jc w:val="center"/>
              <w:rPr>
                <w:rFonts w:cs="Calibri"/>
              </w:rPr>
            </w:pPr>
            <w:r w:rsidRPr="002D5E7A">
              <w:rPr>
                <w:rFonts w:cstheme="minorHAnsi"/>
                <w:color w:val="000000"/>
              </w:rPr>
              <w:t>vedeném Městským soudem v Praze, oddíl C, vložka 625</w:t>
            </w:r>
          </w:p>
        </w:tc>
      </w:tr>
    </w:tbl>
    <w:p w14:paraId="08296019" w14:textId="00B94DF3" w:rsidR="00406509" w:rsidRPr="002D5E7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2D5E7A">
        <w:rPr>
          <w:rFonts w:eastAsia="Times New Roman" w:cs="Arial"/>
          <w:bCs/>
          <w:color w:val="000000"/>
          <w:lang w:eastAsia="cs-CZ"/>
        </w:rPr>
        <w:t>d</w:t>
      </w:r>
      <w:r w:rsidR="00406509" w:rsidRPr="002D5E7A">
        <w:rPr>
          <w:rFonts w:eastAsia="Times New Roman" w:cs="Arial"/>
          <w:bCs/>
          <w:color w:val="000000"/>
          <w:lang w:eastAsia="cs-CZ"/>
        </w:rPr>
        <w:t>ále</w:t>
      </w:r>
      <w:r w:rsidR="00406509" w:rsidRPr="002D5E7A">
        <w:rPr>
          <w:rFonts w:eastAsia="Times New Roman" w:cs="Arial"/>
          <w:color w:val="000000"/>
          <w:lang w:eastAsia="cs-CZ"/>
        </w:rPr>
        <w:t xml:space="preserve"> jen „prodávající“</w:t>
      </w:r>
      <w:r w:rsidR="00364BEA" w:rsidRPr="002D5E7A">
        <w:rPr>
          <w:rFonts w:eastAsia="Times New Roman" w:cs="Arial"/>
          <w:color w:val="000000"/>
          <w:lang w:eastAsia="cs-CZ"/>
        </w:rPr>
        <w:t>,</w:t>
      </w:r>
    </w:p>
    <w:p w14:paraId="77DC6D2B" w14:textId="7E5E1EE0" w:rsidR="00406509" w:rsidRPr="002D5E7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sidRPr="002D5E7A">
        <w:rPr>
          <w:rFonts w:eastAsia="Times New Roman" w:cs="Arial"/>
          <w:color w:val="000000"/>
          <w:lang w:eastAsia="cs-CZ"/>
        </w:rPr>
        <w:t>společně</w:t>
      </w:r>
      <w:r w:rsidR="00406509" w:rsidRPr="002D5E7A">
        <w:rPr>
          <w:rFonts w:eastAsia="Times New Roman" w:cs="Arial"/>
          <w:color w:val="000000"/>
          <w:lang w:eastAsia="cs-CZ"/>
        </w:rPr>
        <w:t xml:space="preserve"> též jako „smluvní strany“ nebo jednotlivě jako „smluvní strana“</w:t>
      </w:r>
    </w:p>
    <w:p w14:paraId="3620B2C5" w14:textId="7BBD49E9" w:rsidR="00406509" w:rsidRPr="002D5E7A" w:rsidRDefault="00406509">
      <w:pPr>
        <w:spacing w:after="120"/>
        <w:rPr>
          <w:rFonts w:eastAsia="Times New Roman" w:cs="Arial"/>
          <w:color w:val="000000"/>
          <w:lang w:eastAsia="cs-CZ"/>
        </w:rPr>
      </w:pPr>
    </w:p>
    <w:p w14:paraId="5C03EF19" w14:textId="124EEF8F" w:rsidR="00CB2E61" w:rsidRPr="002D5E7A"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2D5E7A">
        <w:rPr>
          <w:rFonts w:eastAsia="Times New Roman" w:cs="Arial"/>
          <w:b/>
          <w:bCs/>
          <w:color w:val="000000"/>
          <w:sz w:val="24"/>
          <w:lang w:eastAsia="cs-CZ"/>
        </w:rPr>
        <w:t>Preambule</w:t>
      </w:r>
    </w:p>
    <w:p w14:paraId="22ECE4EB" w14:textId="2A6AE037" w:rsidR="007C5FC1" w:rsidRPr="002D5E7A"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2D5E7A">
        <w:rPr>
          <w:rFonts w:cs="Arial"/>
          <w:color w:val="000000" w:themeColor="text1"/>
        </w:rPr>
        <w:t xml:space="preserve">Smluvní strany uzavírají tuto smlouvu na veřejnou zakázku </w:t>
      </w:r>
      <w:r w:rsidR="00C92D58" w:rsidRPr="002D5E7A">
        <w:rPr>
          <w:rFonts w:cs="Arial"/>
          <w:color w:val="000000" w:themeColor="text1"/>
        </w:rPr>
        <w:t xml:space="preserve">na dodávky </w:t>
      </w:r>
      <w:r w:rsidRPr="002D5E7A">
        <w:rPr>
          <w:rFonts w:cs="Arial"/>
          <w:color w:val="000000" w:themeColor="text1"/>
        </w:rPr>
        <w:t xml:space="preserve">s názvem </w:t>
      </w:r>
      <w:r w:rsidR="00CB2E61" w:rsidRPr="002D5E7A">
        <w:rPr>
          <w:rFonts w:cs="Arial"/>
          <w:b/>
          <w:color w:val="000000" w:themeColor="text1"/>
        </w:rPr>
        <w:t>„</w:t>
      </w:r>
      <w:r w:rsidR="00E125EE" w:rsidRPr="002D5E7A">
        <w:rPr>
          <w:rFonts w:cstheme="minorHAnsi"/>
          <w:b/>
        </w:rPr>
        <w:t>ČVUT-CIIRC: Automatizační komponenty</w:t>
      </w:r>
      <w:r w:rsidR="00515BEE" w:rsidRPr="002D5E7A">
        <w:rPr>
          <w:rFonts w:cstheme="minorHAnsi"/>
          <w:b/>
        </w:rPr>
        <w:t>“,</w:t>
      </w:r>
      <w:r w:rsidR="00E125EE" w:rsidRPr="002D5E7A">
        <w:rPr>
          <w:rFonts w:cstheme="minorHAnsi"/>
          <w:b/>
        </w:rPr>
        <w:t xml:space="preserve"> část 1: Automatizační komponenty pro výrobní stroje</w:t>
      </w:r>
      <w:r w:rsidR="00E125EE" w:rsidRPr="002D5E7A">
        <w:rPr>
          <w:rFonts w:cs="Arial"/>
          <w:color w:val="000000" w:themeColor="text1"/>
        </w:rPr>
        <w:t>, zadávanou ve zjednodušeném podlimitním řízení dle § 53 zákona č. 134/2016 Sb., o zadávání veřejných zakázek, ve znění pozdějších předpisů</w:t>
      </w:r>
      <w:r w:rsidR="00A3772B" w:rsidRPr="002D5E7A">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 xml:space="preserve">RICAIP </w:t>
      </w:r>
      <w:r w:rsidR="00253D5B" w:rsidRPr="004C0F80">
        <w:rPr>
          <w:rFonts w:cs="Arial"/>
          <w:color w:val="000000" w:themeColor="text1"/>
        </w:rPr>
        <w:lastRenderedPageBreak/>
        <w:t>(Výzkumné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363F65CB"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P</w:t>
      </w:r>
      <w:r w:rsidR="002D2C1A" w:rsidRPr="004C0F80">
        <w:rPr>
          <w:rFonts w:cs="Arial"/>
          <w:color w:val="000000" w:themeColor="text1"/>
        </w:rPr>
        <w:t xml:space="preserve">ředmětem této smlouvy je dodávka </w:t>
      </w:r>
      <w:r w:rsidR="00C77095">
        <w:t>automatizačních komponentů</w:t>
      </w:r>
      <w:r w:rsidR="00C4284F" w:rsidRPr="004C0F80">
        <w:rPr>
          <w:rFonts w:cs="Arial"/>
          <w:color w:val="000000" w:themeColor="text1"/>
        </w:rPr>
        <w:t xml:space="preserve">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w:t>
      </w:r>
      <w:r w:rsidR="006B13DE">
        <w:rPr>
          <w:rFonts w:cs="Arial"/>
          <w:color w:val="000000" w:themeColor="text1"/>
        </w:rPr>
        <w:t>T</w:t>
      </w:r>
      <w:r w:rsidR="001F2330" w:rsidRPr="004C0F80">
        <w:rPr>
          <w:rFonts w:cs="Arial"/>
          <w:color w:val="000000" w:themeColor="text1"/>
        </w:rPr>
        <w:t>echnická specifikace“)</w:t>
      </w:r>
      <w:r w:rsidR="006B13DE">
        <w:rPr>
          <w:rFonts w:cs="Arial"/>
          <w:color w:val="000000" w:themeColor="text1"/>
        </w:rPr>
        <w:t xml:space="preserve"> a v příloze B této smlouvy – cenovém rozpadu (dále v textu také „Cenový rozpad“)</w:t>
      </w:r>
      <w:r w:rsidR="00005ABD">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r w:rsidR="00C57033">
        <w:rPr>
          <w:rFonts w:cs="Arial"/>
          <w:color w:val="000000" w:themeColor="text1"/>
        </w:rPr>
        <w:t xml:space="preserve"> </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0"/>
    </w:p>
    <w:p w14:paraId="2D66E17B" w14:textId="03C379AD" w:rsidR="002D3247" w:rsidRPr="008A7A42"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7D1F8BE1" w14:textId="7B4AC626" w:rsidR="008A7A42" w:rsidRPr="008A7A42" w:rsidRDefault="008A7A42" w:rsidP="008A7A42">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theme="minorHAnsi"/>
          <w:color w:val="000000"/>
          <w:lang w:eastAsia="cs-CZ"/>
        </w:rPr>
      </w:pPr>
      <w:r w:rsidRPr="00B40A90">
        <w:rPr>
          <w:rFonts w:eastAsia="Times New Roman" w:cstheme="minorHAnsi"/>
          <w:color w:val="000000"/>
          <w:lang w:eastAsia="cs-CZ"/>
        </w:rPr>
        <w:t xml:space="preserve">dodání </w:t>
      </w:r>
      <w:r w:rsidR="00C57033">
        <w:rPr>
          <w:rFonts w:eastAsia="Times New Roman" w:cstheme="minorHAnsi"/>
          <w:color w:val="000000"/>
          <w:lang w:eastAsia="cs-CZ"/>
        </w:rPr>
        <w:t>software (SW) vymezeného v Technické specifikaci</w:t>
      </w:r>
      <w:r w:rsidR="006B13DE">
        <w:rPr>
          <w:rFonts w:eastAsia="Times New Roman" w:cstheme="minorHAnsi"/>
          <w:color w:val="000000"/>
          <w:lang w:eastAsia="cs-CZ"/>
        </w:rPr>
        <w:t>,</w:t>
      </w:r>
      <w:r w:rsidR="00C57033">
        <w:rPr>
          <w:rFonts w:eastAsia="Times New Roman" w:cstheme="minorHAnsi"/>
          <w:color w:val="000000"/>
          <w:lang w:eastAsia="cs-CZ"/>
        </w:rPr>
        <w:t xml:space="preserve"> jakož i SW souvisejícího s dodávaným zbožím</w:t>
      </w:r>
      <w:r w:rsidRPr="00B40A90">
        <w:rPr>
          <w:rFonts w:eastAsia="Times New Roman" w:cstheme="minorHAnsi"/>
          <w:color w:val="000000"/>
          <w:lang w:eastAsia="cs-CZ"/>
        </w:rPr>
        <w:t xml:space="preserve">, </w:t>
      </w:r>
      <w:r w:rsidR="00F538AB">
        <w:rPr>
          <w:rFonts w:eastAsia="Times New Roman" w:cstheme="minorHAnsi"/>
          <w:color w:val="000000"/>
          <w:lang w:eastAsia="cs-CZ"/>
        </w:rPr>
        <w:t>a to</w:t>
      </w:r>
      <w:r w:rsidRPr="00B40A90">
        <w:rPr>
          <w:rFonts w:eastAsia="Times New Roman" w:cstheme="minorHAnsi"/>
          <w:color w:val="000000"/>
          <w:lang w:eastAsia="cs-CZ"/>
        </w:rPr>
        <w:t xml:space="preserve"> i poskytnutí licencí k </w:t>
      </w:r>
      <w:r w:rsidR="00C57033">
        <w:rPr>
          <w:rFonts w:eastAsia="Times New Roman" w:cstheme="minorHAnsi"/>
          <w:color w:val="000000"/>
          <w:lang w:eastAsia="cs-CZ"/>
        </w:rPr>
        <w:t>SW,</w:t>
      </w:r>
      <w:r w:rsidRPr="00B40A90">
        <w:rPr>
          <w:rFonts w:eastAsia="Times New Roman" w:cstheme="minorHAnsi"/>
          <w:color w:val="000000"/>
          <w:lang w:eastAsia="cs-CZ"/>
        </w:rPr>
        <w:t xml:space="preserve"> přitom odměna za licenci je zahrnuta v ceně zboží dle této smlouvy, aniž by kupující musel v budoucnu přistupovat na nové licenční podmínky prodávajícího nebo třetí strany, které by navyšovaly cenu v této smlouvě nebo ji měnily v neprospěch kupujícího</w:t>
      </w:r>
      <w:r w:rsidR="00C57033">
        <w:rPr>
          <w:rFonts w:eastAsia="Times New Roman" w:cstheme="minorHAnsi"/>
          <w:color w:val="000000"/>
          <w:lang w:eastAsia="cs-CZ"/>
        </w:rPr>
        <w:t>.</w:t>
      </w:r>
      <w:r w:rsidR="00C57033" w:rsidRPr="00C57033">
        <w:rPr>
          <w:rFonts w:cs="Calibri"/>
          <w:szCs w:val="24"/>
        </w:rPr>
        <w:t xml:space="preserve"> </w:t>
      </w:r>
      <w:r w:rsidR="008E00F9">
        <w:rPr>
          <w:rFonts w:cs="Calibri"/>
          <w:szCs w:val="24"/>
        </w:rPr>
        <w:t>Prodávající</w:t>
      </w:r>
      <w:r w:rsidR="00C57033" w:rsidRPr="00362D83">
        <w:rPr>
          <w:rFonts w:cs="Calibri"/>
          <w:szCs w:val="24"/>
        </w:rPr>
        <w:t xml:space="preserve"> je povinen k softwaru předat </w:t>
      </w:r>
      <w:r w:rsidR="008E00F9">
        <w:rPr>
          <w:rFonts w:cs="Calibri"/>
          <w:szCs w:val="24"/>
        </w:rPr>
        <w:t>kupujícímu</w:t>
      </w:r>
      <w:r w:rsidR="00C57033" w:rsidRPr="00362D83">
        <w:rPr>
          <w:rFonts w:cs="Calibri"/>
          <w:szCs w:val="24"/>
        </w:rPr>
        <w:t xml:space="preserve"> i veškerou dokumentaci, jež je standardně součástí dodávky softwaru</w:t>
      </w:r>
      <w:r>
        <w:rPr>
          <w:rFonts w:eastAsia="Times New Roman" w:cstheme="minorHAnsi"/>
          <w:color w:val="000000"/>
          <w:lang w:eastAsia="cs-CZ"/>
        </w:rPr>
        <w:t>;</w:t>
      </w:r>
    </w:p>
    <w:p w14:paraId="27713805" w14:textId="433EBA4D" w:rsidR="00C22EA4" w:rsidRPr="00205F36" w:rsidRDefault="00C026FC" w:rsidP="00CE2FE2">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r w:rsidR="00EC2366">
        <w:rPr>
          <w:lang w:eastAsia="cs-CZ"/>
        </w:rPr>
        <w:t>;</w:t>
      </w:r>
    </w:p>
    <w:p w14:paraId="6ED5524A" w14:textId="00ABC4CE" w:rsidR="001D6972" w:rsidRPr="005B596A" w:rsidRDefault="00AF5EBE" w:rsidP="0039056A">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1D6972" w:rsidRPr="00DC3FF0">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45B62F85" w14:textId="77777777" w:rsidR="00C57033" w:rsidRDefault="00502350" w:rsidP="00C5703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bookmarkStart w:id="1" w:name="_Ref519431250"/>
    </w:p>
    <w:p w14:paraId="3F3D7DBD" w14:textId="7653C30B" w:rsidR="00C57033" w:rsidRPr="00C57033" w:rsidRDefault="00502350" w:rsidP="00C5703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C57033">
        <w:rPr>
          <w:rFonts w:cs="Arial"/>
          <w:color w:val="000000" w:themeColor="text1"/>
        </w:rPr>
        <w:t xml:space="preserve">Lhůta pro dodání </w:t>
      </w:r>
      <w:r w:rsidR="00384371" w:rsidRPr="00C57033">
        <w:rPr>
          <w:rFonts w:cs="Arial"/>
          <w:color w:val="000000" w:themeColor="text1"/>
        </w:rPr>
        <w:t>zboží</w:t>
      </w:r>
      <w:r w:rsidRPr="00C57033">
        <w:rPr>
          <w:rFonts w:cs="Arial"/>
          <w:color w:val="000000" w:themeColor="text1"/>
        </w:rPr>
        <w:t xml:space="preserve">, totiž pro jeho fyzickou přepravu do místa plnění, </w:t>
      </w:r>
      <w:r w:rsidR="00CE2FE2" w:rsidRPr="00C57033">
        <w:rPr>
          <w:rFonts w:cs="Arial"/>
          <w:color w:val="000000" w:themeColor="text1"/>
        </w:rPr>
        <w:t>se počítá</w:t>
      </w:r>
      <w:r w:rsidRPr="00C57033">
        <w:rPr>
          <w:rFonts w:cs="Arial"/>
          <w:color w:val="000000" w:themeColor="text1"/>
        </w:rPr>
        <w:t xml:space="preserve"> od</w:t>
      </w:r>
      <w:r w:rsidR="00C262E7" w:rsidRPr="00C57033">
        <w:rPr>
          <w:rFonts w:cs="Arial"/>
          <w:color w:val="000000" w:themeColor="text1"/>
        </w:rPr>
        <w:t>e dne nabytí účinnosti této smlouvy</w:t>
      </w:r>
      <w:r w:rsidR="00CE2FE2" w:rsidRPr="00C57033">
        <w:rPr>
          <w:rFonts w:cs="Arial"/>
          <w:color w:val="000000" w:themeColor="text1"/>
        </w:rPr>
        <w:t xml:space="preserve"> a je blíže specifikována u každé </w:t>
      </w:r>
      <w:r w:rsidR="00B60614" w:rsidRPr="00C57033">
        <w:rPr>
          <w:rFonts w:cs="Arial"/>
          <w:color w:val="000000" w:themeColor="text1"/>
        </w:rPr>
        <w:t>položky</w:t>
      </w:r>
      <w:r w:rsidR="00363BC5" w:rsidRPr="00C57033">
        <w:rPr>
          <w:rFonts w:cs="Arial"/>
          <w:color w:val="000000" w:themeColor="text1"/>
        </w:rPr>
        <w:t xml:space="preserve"> </w:t>
      </w:r>
      <w:r w:rsidR="006B13DE">
        <w:rPr>
          <w:rFonts w:cs="Arial"/>
          <w:color w:val="000000" w:themeColor="text1"/>
        </w:rPr>
        <w:t xml:space="preserve">v Cenovém rozpadu. </w:t>
      </w:r>
      <w:r w:rsidRPr="00C57033">
        <w:rPr>
          <w:rFonts w:cs="Arial"/>
          <w:color w:val="000000" w:themeColor="text1"/>
        </w:rPr>
        <w:t xml:space="preserve">Přesný termín dodání </w:t>
      </w:r>
      <w:r w:rsidR="00384371" w:rsidRPr="00C57033">
        <w:rPr>
          <w:rFonts w:cs="Arial"/>
          <w:color w:val="000000" w:themeColor="text1"/>
        </w:rPr>
        <w:t xml:space="preserve">na místo plnění </w:t>
      </w:r>
      <w:r w:rsidRPr="00C57033">
        <w:rPr>
          <w:rFonts w:cs="Arial"/>
          <w:color w:val="000000" w:themeColor="text1"/>
        </w:rPr>
        <w:t xml:space="preserve">bude </w:t>
      </w:r>
      <w:r w:rsidR="00384371" w:rsidRPr="00C57033">
        <w:rPr>
          <w:rFonts w:cs="Arial"/>
          <w:color w:val="000000" w:themeColor="text1"/>
        </w:rPr>
        <w:t>oznáme</w:t>
      </w:r>
      <w:r w:rsidR="00A534AA" w:rsidRPr="00C57033">
        <w:rPr>
          <w:rFonts w:cs="Arial"/>
          <w:color w:val="000000" w:themeColor="text1"/>
        </w:rPr>
        <w:t>n prodávajícím kupujícímu a</w:t>
      </w:r>
      <w:r w:rsidR="00384371" w:rsidRPr="00C57033">
        <w:rPr>
          <w:rFonts w:cs="Arial"/>
          <w:color w:val="000000" w:themeColor="text1"/>
        </w:rPr>
        <w:t xml:space="preserve"> blíže zkoordinován smluvními stranami</w:t>
      </w:r>
      <w:r w:rsidRPr="00C57033">
        <w:rPr>
          <w:rFonts w:cs="Arial"/>
          <w:color w:val="000000" w:themeColor="text1"/>
        </w:rPr>
        <w:t xml:space="preserve"> s předstihem alespoň 5</w:t>
      </w:r>
      <w:r w:rsidR="001D6972" w:rsidRPr="00C57033">
        <w:rPr>
          <w:rFonts w:cs="Arial"/>
          <w:color w:val="000000" w:themeColor="text1"/>
        </w:rPr>
        <w:t> </w:t>
      </w:r>
      <w:r w:rsidRPr="00C57033">
        <w:rPr>
          <w:rFonts w:cs="Arial"/>
          <w:color w:val="000000" w:themeColor="text1"/>
        </w:rPr>
        <w:t xml:space="preserve">pracovních dní </w:t>
      </w:r>
      <w:r w:rsidR="000450AB" w:rsidRPr="00C57033">
        <w:rPr>
          <w:rFonts w:cs="Arial"/>
          <w:color w:val="000000" w:themeColor="text1"/>
        </w:rPr>
        <w:t>před</w:t>
      </w:r>
      <w:r w:rsidRPr="00C57033">
        <w:rPr>
          <w:rFonts w:cs="Arial"/>
          <w:color w:val="000000" w:themeColor="text1"/>
        </w:rPr>
        <w:t xml:space="preserve"> dodání</w:t>
      </w:r>
      <w:bookmarkEnd w:id="1"/>
      <w:r w:rsidR="000450AB" w:rsidRPr="00C57033">
        <w:rPr>
          <w:rFonts w:cs="Arial"/>
          <w:color w:val="000000" w:themeColor="text1"/>
        </w:rPr>
        <w:t>m</w:t>
      </w:r>
      <w:r w:rsidRPr="00C57033">
        <w:rPr>
          <w:rFonts w:cs="Arial"/>
          <w:color w:val="000000" w:themeColor="text1"/>
        </w:rPr>
        <w:t xml:space="preserve"> – uvedené nic nemění na termínech dodání plnění ze smlouvy uvedených </w:t>
      </w:r>
      <w:r w:rsidR="00384371" w:rsidRPr="00C57033">
        <w:rPr>
          <w:rFonts w:cs="Arial"/>
          <w:color w:val="000000" w:themeColor="text1"/>
        </w:rPr>
        <w:t xml:space="preserve">v </w:t>
      </w:r>
      <w:r w:rsidR="000450AB" w:rsidRPr="00C57033">
        <w:rPr>
          <w:rFonts w:cs="Arial"/>
          <w:color w:val="000000" w:themeColor="text1"/>
        </w:rPr>
        <w:t>tomto</w:t>
      </w:r>
      <w:r w:rsidR="00384371" w:rsidRPr="00C57033">
        <w:rPr>
          <w:rFonts w:cs="Arial"/>
          <w:color w:val="000000" w:themeColor="text1"/>
        </w:rPr>
        <w:t xml:space="preserve"> odstavci</w:t>
      </w:r>
      <w:r w:rsidRPr="00C57033">
        <w:rPr>
          <w:rFonts w:cs="Arial"/>
          <w:color w:val="000000" w:themeColor="text1"/>
        </w:rPr>
        <w:t>.</w:t>
      </w:r>
      <w:r w:rsidR="00C57033" w:rsidRPr="00C57033">
        <w:rPr>
          <w:rFonts w:cs="Arial"/>
          <w:color w:val="000000" w:themeColor="text1"/>
        </w:rPr>
        <w:t xml:space="preserve"> Dodávka SW bude</w:t>
      </w:r>
      <w:r w:rsidR="00C57033">
        <w:rPr>
          <w:rFonts w:cs="Arial"/>
          <w:color w:val="000000" w:themeColor="text1"/>
        </w:rPr>
        <w:t xml:space="preserve"> dále</w:t>
      </w:r>
      <w:r w:rsidR="00C57033" w:rsidRPr="00C57033">
        <w:rPr>
          <w:rFonts w:cs="Arial"/>
          <w:color w:val="000000" w:themeColor="text1"/>
        </w:rPr>
        <w:t xml:space="preserve"> považována za splněnou v okamžiku předání licenčního klíče k SW </w:t>
      </w:r>
      <w:r w:rsidR="00E4574D">
        <w:rPr>
          <w:rFonts w:cs="Arial"/>
          <w:color w:val="000000" w:themeColor="text1"/>
        </w:rPr>
        <w:t>kupujícímu</w:t>
      </w:r>
      <w:r w:rsidR="00C57033" w:rsidRPr="00C57033">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3C2B8B2" w14:textId="77777777" w:rsidR="001A0C02"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3E6DEBDC" w14:textId="77777777" w:rsidR="00C22EA4"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4538213B" w:rsidR="0019419A" w:rsidRPr="001A0C02"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rPr>
      </w:pPr>
      <w:r w:rsidRPr="001A0C02">
        <w:rPr>
          <w:rFonts w:cs="Arial"/>
        </w:rPr>
        <w:t xml:space="preserve">za stranu </w:t>
      </w:r>
      <w:r w:rsidR="00484F6E" w:rsidRPr="001A0C02">
        <w:rPr>
          <w:rFonts w:cs="Arial"/>
        </w:rPr>
        <w:t>prodávajícího</w:t>
      </w:r>
      <w:r w:rsidRPr="001A0C02">
        <w:rPr>
          <w:rFonts w:cs="Arial"/>
        </w:rPr>
        <w:t xml:space="preserve">: </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2A41324A"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lastRenderedPageBreak/>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budova B</w:t>
      </w:r>
      <w:r w:rsidR="00BD1294">
        <w:rPr>
          <w:rFonts w:cs="Arial"/>
          <w:color w:val="000000" w:themeColor="text1"/>
        </w:rPr>
        <w:t xml:space="preserve"> a</w:t>
      </w:r>
      <w:r w:rsidR="0028563F" w:rsidRPr="004C0F80">
        <w:rPr>
          <w:rFonts w:cs="Arial"/>
          <w:color w:val="000000" w:themeColor="text1"/>
        </w:rPr>
        <w:t xml:space="preserve">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BD1294">
        <w:rPr>
          <w:rFonts w:cs="Arial"/>
          <w:color w:val="000000" w:themeColor="text1"/>
        </w:rPr>
        <w:t xml:space="preserve">blíže specifikována u každé </w:t>
      </w:r>
      <w:r w:rsidR="0066368F">
        <w:rPr>
          <w:rFonts w:cs="Arial"/>
          <w:color w:val="000000" w:themeColor="text1"/>
        </w:rPr>
        <w:t>položky</w:t>
      </w:r>
      <w:r w:rsidR="00BD1294">
        <w:rPr>
          <w:rFonts w:cs="Arial"/>
          <w:color w:val="000000" w:themeColor="text1"/>
        </w:rPr>
        <w:t xml:space="preserve"> v Technické specifikaci</w:t>
      </w:r>
      <w:r w:rsidRPr="000450AB">
        <w:rPr>
          <w:rFonts w:cs="Arial"/>
          <w:color w:val="000000" w:themeColor="text1"/>
        </w:rPr>
        <w:t xml:space="preserve"> </w:t>
      </w:r>
      <w:r w:rsidR="00737433">
        <w:rPr>
          <w:rFonts w:cs="Arial"/>
          <w:color w:val="000000" w:themeColor="text1"/>
        </w:rPr>
        <w:t xml:space="preserve">jako „Umístění technologie“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161F44BF"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EC2366">
        <w:rPr>
          <w:rFonts w:cs="Arial"/>
          <w:color w:val="000000" w:themeColor="text1"/>
        </w:rPr>
        <w:t xml:space="preserve"> a provedení </w:t>
      </w:r>
      <w:r w:rsidR="00EC2366" w:rsidRPr="009E40CA">
        <w:rPr>
          <w:rFonts w:cs="Arial"/>
          <w:color w:val="000000" w:themeColor="text1"/>
        </w:rPr>
        <w:t>plnění dle čl. 2 ods</w:t>
      </w:r>
      <w:r w:rsidR="002305D5" w:rsidRPr="009E40CA">
        <w:rPr>
          <w:rFonts w:cs="Arial"/>
          <w:color w:val="000000" w:themeColor="text1"/>
        </w:rPr>
        <w:t>t</w:t>
      </w:r>
      <w:r w:rsidR="00EC2366" w:rsidRPr="009E40CA">
        <w:rPr>
          <w:rFonts w:cs="Arial"/>
          <w:color w:val="000000" w:themeColor="text1"/>
        </w:rPr>
        <w:t xml:space="preserve">. 3 písm. a) a </w:t>
      </w:r>
      <w:r w:rsidR="00BD1294">
        <w:rPr>
          <w:rFonts w:cs="Arial"/>
          <w:color w:val="000000" w:themeColor="text1"/>
        </w:rPr>
        <w:t>b</w:t>
      </w:r>
      <w:r w:rsidR="00EC2366" w:rsidRPr="009E40CA">
        <w:rPr>
          <w:rFonts w:cs="Arial"/>
          <w:color w:val="000000" w:themeColor="text1"/>
        </w:rPr>
        <w:t>)</w:t>
      </w:r>
      <w:r w:rsidR="008D462A" w:rsidRPr="009E40CA">
        <w:rPr>
          <w:rFonts w:cs="Arial"/>
          <w:color w:val="000000" w:themeColor="text1"/>
        </w:rPr>
        <w:t>.</w:t>
      </w:r>
    </w:p>
    <w:p w14:paraId="5B8C8849" w14:textId="0785034D"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w:t>
      </w:r>
      <w:r w:rsidR="00F538AB">
        <w:rPr>
          <w:rFonts w:cs="Arial"/>
          <w:color w:val="000000" w:themeColor="text1"/>
        </w:rPr>
        <w:t xml:space="preserve">vždy </w:t>
      </w:r>
      <w:r w:rsidRPr="005B596A">
        <w:rPr>
          <w:rFonts w:cs="Arial"/>
          <w:color w:val="000000" w:themeColor="text1"/>
        </w:rPr>
        <w:t>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F538AB">
        <w:rPr>
          <w:rFonts w:cs="Arial"/>
          <w:color w:val="000000" w:themeColor="text1"/>
        </w:rPr>
        <w:t>, resp. jednotlivých položek dle Cenového rozpadu</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133747D7"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1520F14F"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Smluvní strany se výslovně dohodly, že v jednotlivostech specificky neupravených touto smlouvou se pro prodávajícího,</w:t>
      </w:r>
      <w:r w:rsidR="006B1929">
        <w:rPr>
          <w:rFonts w:cs="Arial"/>
          <w:color w:val="000000" w:themeColor="text1"/>
        </w:rPr>
        <w:t xml:space="preserve"> </w:t>
      </w:r>
      <w:r w:rsidRPr="009E7D5E">
        <w:rPr>
          <w:rFonts w:cs="Arial"/>
          <w:color w:val="000000" w:themeColor="text1"/>
        </w:rPr>
        <w:t>je</w:t>
      </w:r>
      <w:r w:rsidR="00033C22">
        <w:rPr>
          <w:rFonts w:cs="Arial"/>
          <w:color w:val="000000" w:themeColor="text1"/>
        </w:rPr>
        <w:t>n</w:t>
      </w:r>
      <w:r w:rsidRPr="009E7D5E">
        <w:rPr>
          <w:rFonts w:cs="Arial"/>
          <w:color w:val="000000" w:themeColor="text1"/>
        </w:rPr>
        <w:t>ž je</w:t>
      </w:r>
      <w:r w:rsidR="00D820AF" w:rsidRPr="009E7D5E">
        <w:rPr>
          <w:rFonts w:cs="Arial"/>
          <w:color w:val="000000" w:themeColor="text1"/>
        </w:rPr>
        <w:t xml:space="preserve"> právnickou osobou se sídlem v jiném členské</w:t>
      </w:r>
      <w:r w:rsidR="0019419A" w:rsidRPr="009E7D5E">
        <w:rPr>
          <w:rFonts w:cs="Arial"/>
          <w:color w:val="000000" w:themeColor="text1"/>
        </w:rPr>
        <w:t>m</w:t>
      </w:r>
      <w:r w:rsidR="00D820AF" w:rsidRPr="009E7D5E">
        <w:rPr>
          <w:rFonts w:cs="Arial"/>
          <w:color w:val="000000" w:themeColor="text1"/>
        </w:rPr>
        <w:t xml:space="preserve"> </w:t>
      </w:r>
      <w:r w:rsidR="00070352">
        <w:rPr>
          <w:rFonts w:cs="Arial"/>
          <w:color w:val="000000" w:themeColor="text1"/>
        </w:rPr>
        <w:t xml:space="preserve">státě Evropské unie, uplatní </w:t>
      </w:r>
      <w:r w:rsidR="00D820AF" w:rsidRPr="009E7D5E">
        <w:rPr>
          <w:rFonts w:cs="Arial"/>
          <w:color w:val="000000" w:themeColor="text1"/>
        </w:rPr>
        <w:t>podmínka INCOTERMS 20</w:t>
      </w:r>
      <w:r w:rsidR="00C4284F">
        <w:rPr>
          <w:rFonts w:cs="Arial"/>
          <w:color w:val="000000" w:themeColor="text1"/>
        </w:rPr>
        <w:t>2</w:t>
      </w:r>
      <w:r w:rsidR="00D820AF" w:rsidRPr="009E7D5E">
        <w:rPr>
          <w:rFonts w:cs="Arial"/>
          <w:color w:val="000000" w:themeColor="text1"/>
        </w:rPr>
        <w:t>0 DAP</w:t>
      </w:r>
      <w:r w:rsidRPr="009E7D5E">
        <w:rPr>
          <w:rFonts w:cs="Arial"/>
          <w:color w:val="000000" w:themeColor="text1"/>
        </w:rPr>
        <w:t xml:space="preserve">, a pro </w:t>
      </w:r>
      <w:r w:rsidR="00D820AF" w:rsidRPr="009E7D5E">
        <w:rPr>
          <w:rFonts w:cs="Arial"/>
          <w:color w:val="000000" w:themeColor="text1"/>
        </w:rPr>
        <w:t>právnickou osobu se sídlem mimo Evropskou unii</w:t>
      </w:r>
      <w:r w:rsidRPr="009E7D5E">
        <w:rPr>
          <w:rFonts w:cs="Arial"/>
          <w:color w:val="000000" w:themeColor="text1"/>
        </w:rPr>
        <w:t xml:space="preserve"> se</w:t>
      </w:r>
      <w:r w:rsidR="00D820AF" w:rsidRPr="009E7D5E">
        <w:rPr>
          <w:rFonts w:cs="Arial"/>
          <w:color w:val="000000" w:themeColor="text1"/>
        </w:rPr>
        <w:t xml:space="preserve"> uplatní se podmínka 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3020"/>
        <w:gridCol w:w="1992"/>
        <w:gridCol w:w="3543"/>
      </w:tblGrid>
      <w:tr w:rsidR="00484F6E" w:rsidRPr="004946B0" w14:paraId="45BC2E7D" w14:textId="77777777" w:rsidTr="00C17D49">
        <w:trPr>
          <w:trHeight w:val="20"/>
        </w:trPr>
        <w:tc>
          <w:tcPr>
            <w:tcW w:w="302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1992"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3543"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C17D49">
        <w:trPr>
          <w:trHeight w:val="20"/>
        </w:trPr>
        <w:tc>
          <w:tcPr>
            <w:tcW w:w="3020" w:type="dxa"/>
          </w:tcPr>
          <w:p w14:paraId="5F50492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1992" w:type="dxa"/>
          </w:tcPr>
          <w:p w14:paraId="26132B8B" w14:textId="4967BFDC" w:rsidR="00484F6E" w:rsidRPr="005378B4" w:rsidRDefault="005378B4" w:rsidP="005378B4">
            <w:pPr>
              <w:jc w:val="both"/>
              <w:rPr>
                <w:rFonts w:ascii="Arial" w:hAnsi="Arial" w:cs="Arial"/>
                <w:b/>
                <w:bCs/>
              </w:rPr>
            </w:pPr>
            <w:r>
              <w:rPr>
                <w:rFonts w:ascii="Arial" w:hAnsi="Arial" w:cs="Arial"/>
                <w:b/>
                <w:bCs/>
              </w:rPr>
              <w:t>940 068,6</w:t>
            </w:r>
            <w:r w:rsidR="000D5165">
              <w:rPr>
                <w:rFonts w:ascii="Arial" w:hAnsi="Arial" w:cs="Arial"/>
                <w:b/>
                <w:bCs/>
              </w:rPr>
              <w:t>0</w:t>
            </w:r>
          </w:p>
        </w:tc>
        <w:tc>
          <w:tcPr>
            <w:tcW w:w="3543" w:type="dxa"/>
          </w:tcPr>
          <w:p w14:paraId="487A4D2F" w14:textId="20BB5C2C" w:rsidR="00484F6E" w:rsidRPr="00203BF2" w:rsidRDefault="003A07BD"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Devět set čtyřicet tisíc šedesát osm korun a šedesát haléřů</w:t>
            </w:r>
          </w:p>
        </w:tc>
      </w:tr>
      <w:tr w:rsidR="00484F6E" w:rsidRPr="004946B0" w14:paraId="1D082FD0" w14:textId="77777777" w:rsidTr="00C17D49">
        <w:trPr>
          <w:trHeight w:val="20"/>
        </w:trPr>
        <w:tc>
          <w:tcPr>
            <w:tcW w:w="3020" w:type="dxa"/>
          </w:tcPr>
          <w:p w14:paraId="0D90EF9F"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1992" w:type="dxa"/>
          </w:tcPr>
          <w:p w14:paraId="0C454DE1" w14:textId="7024360F" w:rsidR="00484F6E" w:rsidRPr="003A07BD" w:rsidRDefault="008570BD"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bCs/>
                <w:color w:val="000000"/>
                <w:sz w:val="22"/>
                <w:szCs w:val="22"/>
              </w:rPr>
            </w:pPr>
            <w:r w:rsidRPr="003A07BD">
              <w:rPr>
                <w:rFonts w:asciiTheme="minorHAnsi" w:hAnsiTheme="minorHAnsi" w:cstheme="minorHAnsi"/>
                <w:b/>
                <w:bCs/>
                <w:color w:val="000000"/>
                <w:sz w:val="22"/>
                <w:szCs w:val="22"/>
              </w:rPr>
              <w:t>1</w:t>
            </w:r>
            <w:r w:rsidR="009E4761" w:rsidRPr="003A07BD">
              <w:rPr>
                <w:rFonts w:asciiTheme="minorHAnsi" w:hAnsiTheme="minorHAnsi" w:cstheme="minorHAnsi"/>
                <w:b/>
                <w:bCs/>
                <w:color w:val="000000"/>
                <w:sz w:val="22"/>
                <w:szCs w:val="22"/>
              </w:rPr>
              <w:t> </w:t>
            </w:r>
            <w:r w:rsidRPr="003A07BD">
              <w:rPr>
                <w:rFonts w:asciiTheme="minorHAnsi" w:hAnsiTheme="minorHAnsi" w:cstheme="minorHAnsi"/>
                <w:b/>
                <w:bCs/>
                <w:color w:val="000000"/>
                <w:sz w:val="22"/>
                <w:szCs w:val="22"/>
              </w:rPr>
              <w:t>137</w:t>
            </w:r>
            <w:r w:rsidR="009E4761" w:rsidRPr="003A07BD">
              <w:rPr>
                <w:rFonts w:asciiTheme="minorHAnsi" w:hAnsiTheme="minorHAnsi" w:cstheme="minorHAnsi"/>
                <w:b/>
                <w:bCs/>
                <w:color w:val="000000"/>
                <w:sz w:val="22"/>
                <w:szCs w:val="22"/>
              </w:rPr>
              <w:t xml:space="preserve"> 483</w:t>
            </w:r>
          </w:p>
        </w:tc>
        <w:tc>
          <w:tcPr>
            <w:tcW w:w="3543" w:type="dxa"/>
          </w:tcPr>
          <w:p w14:paraId="59C95D2B" w14:textId="63C64F58" w:rsidR="00484F6E" w:rsidRPr="00203BF2" w:rsidRDefault="003A07BD"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Jeden milion sto třicet sedm tisíc </w:t>
            </w:r>
            <w:r w:rsidR="00746A44">
              <w:rPr>
                <w:rFonts w:asciiTheme="minorHAnsi" w:hAnsiTheme="minorHAnsi" w:cstheme="minorHAnsi"/>
                <w:color w:val="000000"/>
                <w:sz w:val="22"/>
                <w:szCs w:val="22"/>
              </w:rPr>
              <w:t>čtyři sta osmdesát tři korun</w:t>
            </w:r>
          </w:p>
        </w:tc>
      </w:tr>
      <w:tr w:rsidR="00484F6E" w:rsidRPr="004946B0" w14:paraId="613B8EB7" w14:textId="77777777" w:rsidTr="00C17D49">
        <w:trPr>
          <w:trHeight w:val="20"/>
        </w:trPr>
        <w:tc>
          <w:tcPr>
            <w:tcW w:w="3020" w:type="dxa"/>
          </w:tcPr>
          <w:p w14:paraId="5E1EF55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1992" w:type="dxa"/>
          </w:tcPr>
          <w:p w14:paraId="64B6B59D" w14:textId="72E40066" w:rsidR="00484F6E" w:rsidRPr="003A07BD" w:rsidRDefault="009E4761"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bCs/>
                <w:color w:val="000000"/>
                <w:sz w:val="22"/>
                <w:szCs w:val="22"/>
              </w:rPr>
            </w:pPr>
            <w:r w:rsidRPr="003A07BD">
              <w:rPr>
                <w:rFonts w:asciiTheme="minorHAnsi" w:hAnsiTheme="minorHAnsi" w:cstheme="minorHAnsi"/>
                <w:b/>
                <w:bCs/>
                <w:color w:val="000000"/>
                <w:sz w:val="22"/>
                <w:szCs w:val="22"/>
              </w:rPr>
              <w:t>197 414,</w:t>
            </w:r>
            <w:r w:rsidR="003A07BD" w:rsidRPr="003A07BD">
              <w:rPr>
                <w:rFonts w:asciiTheme="minorHAnsi" w:hAnsiTheme="minorHAnsi" w:cstheme="minorHAnsi"/>
                <w:b/>
                <w:bCs/>
                <w:color w:val="000000"/>
                <w:sz w:val="22"/>
                <w:szCs w:val="22"/>
              </w:rPr>
              <w:t>40</w:t>
            </w:r>
          </w:p>
        </w:tc>
        <w:tc>
          <w:tcPr>
            <w:tcW w:w="3543" w:type="dxa"/>
          </w:tcPr>
          <w:p w14:paraId="50622BEA" w14:textId="00FBAEF8" w:rsidR="00484F6E" w:rsidRPr="00203BF2" w:rsidRDefault="00746A44" w:rsidP="00DC3FF0">
            <w:pPr>
              <w:widowControl w:val="0"/>
              <w:tabs>
                <w:tab w:val="left" w:pos="0"/>
                <w:tab w:val="left" w:pos="117"/>
              </w:tabs>
              <w:autoSpaceDE w:val="0"/>
              <w:autoSpaceDN w:val="0"/>
              <w:adjustRightInd w:val="0"/>
              <w:spacing w:after="120"/>
              <w:ind w:left="-25"/>
              <w:jc w:val="both"/>
              <w:rPr>
                <w:rFonts w:asciiTheme="minorHAnsi" w:hAnsiTheme="minorHAnsi" w:cstheme="minorHAnsi"/>
                <w:color w:val="000000"/>
                <w:sz w:val="22"/>
                <w:szCs w:val="22"/>
              </w:rPr>
            </w:pPr>
            <w:r>
              <w:rPr>
                <w:rFonts w:asciiTheme="minorHAnsi" w:hAnsiTheme="minorHAnsi" w:cstheme="minorHAnsi"/>
                <w:color w:val="000000"/>
                <w:sz w:val="22"/>
                <w:szCs w:val="22"/>
              </w:rPr>
              <w:t>Sto devadesát sedm tisíc čtyři sta</w:t>
            </w:r>
            <w:r w:rsidR="000F7BCE">
              <w:rPr>
                <w:rFonts w:asciiTheme="minorHAnsi" w:hAnsiTheme="minorHAnsi" w:cstheme="minorHAnsi"/>
                <w:color w:val="000000"/>
                <w:sz w:val="22"/>
                <w:szCs w:val="22"/>
              </w:rPr>
              <w:t xml:space="preserve"> čtrnáct koruna čtyřicet haléřů</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4C970386" w14:textId="7B94EE85" w:rsidR="00C77095" w:rsidRDefault="00C77095"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Pr>
          <w:rFonts w:cs="Arial"/>
          <w:color w:val="000000" w:themeColor="text1"/>
        </w:rPr>
        <w:t xml:space="preserve">Cena jednotlivých pořizovaných položek </w:t>
      </w:r>
      <w:r w:rsidR="006B13DE">
        <w:rPr>
          <w:rFonts w:cs="Arial"/>
          <w:color w:val="000000" w:themeColor="text1"/>
        </w:rPr>
        <w:t>je</w:t>
      </w:r>
      <w:r>
        <w:rPr>
          <w:rFonts w:cs="Arial"/>
          <w:color w:val="000000" w:themeColor="text1"/>
        </w:rPr>
        <w:t xml:space="preserve"> uvedena v</w:t>
      </w:r>
      <w:r w:rsidR="006B13DE">
        <w:rPr>
          <w:rFonts w:cs="Arial"/>
          <w:color w:val="000000" w:themeColor="text1"/>
        </w:rPr>
        <w:t> Cenovém rozpadu</w:t>
      </w:r>
      <w:r>
        <w:rPr>
          <w:rFonts w:cs="Arial"/>
          <w:color w:val="000000" w:themeColor="text1"/>
        </w:rPr>
        <w:t>.</w:t>
      </w:r>
    </w:p>
    <w:p w14:paraId="0116E773" w14:textId="755803CF" w:rsidR="007C5FC1" w:rsidRPr="004C0F80" w:rsidRDefault="00D574F4"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2" w:name="_Hlk105746602"/>
      <w:r w:rsidRPr="00D574F4">
        <w:rPr>
          <w:rFonts w:cs="Arial"/>
          <w:color w:val="000000" w:themeColor="text1"/>
        </w:rPr>
        <w:t>Celková cena může být měněna pouze a výhradně v souladu s relevantním a aktuálním zněním zákona o zadávání veřejných zakázek.</w:t>
      </w:r>
    </w:p>
    <w:p w14:paraId="101555F6" w14:textId="63904917"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w:t>
      </w:r>
      <w:r w:rsidR="00484F6E" w:rsidRPr="004946B0">
        <w:rPr>
          <w:color w:val="000000" w:themeColor="text1"/>
        </w:rPr>
        <w:t xml:space="preserve">ena za </w:t>
      </w:r>
      <w:r w:rsidRPr="004946B0">
        <w:rPr>
          <w:color w:val="000000" w:themeColor="text1"/>
        </w:rPr>
        <w:t xml:space="preserve">dodání </w:t>
      </w:r>
      <w:r w:rsidR="00CC4F3D">
        <w:rPr>
          <w:color w:val="000000" w:themeColor="text1"/>
        </w:rPr>
        <w:t>zboží a jeho příslušenství</w:t>
      </w:r>
      <w:r w:rsidR="00363BC5">
        <w:rPr>
          <w:color w:val="000000" w:themeColor="text1"/>
        </w:rPr>
        <w:t xml:space="preserve"> </w:t>
      </w:r>
      <w:r w:rsidR="00484F6E" w:rsidRPr="0019419A">
        <w:rPr>
          <w:rFonts w:cs="Arial"/>
          <w:color w:val="000000" w:themeColor="text1"/>
        </w:rPr>
        <w:t>bude</w:t>
      </w:r>
      <w:r w:rsidR="00363BC5">
        <w:rPr>
          <w:rFonts w:cs="Arial"/>
          <w:color w:val="000000" w:themeColor="text1"/>
        </w:rPr>
        <w:t xml:space="preserve"> vždy</w:t>
      </w:r>
      <w:r w:rsidR="00484F6E" w:rsidRPr="0019419A">
        <w:rPr>
          <w:rFonts w:cs="Arial"/>
          <w:color w:val="000000" w:themeColor="text1"/>
        </w:rPr>
        <w:t xml:space="preserve"> uhrazena oproti faktuře. Taková faktura může být vystavena teprve po podepsání předávacího, resp. akceptačního protokolu, ve kterém bude uvedeno, že dodání je bez vad a nedodělků</w:t>
      </w:r>
      <w:r w:rsidR="00363BC5">
        <w:rPr>
          <w:rFonts w:cs="Arial"/>
          <w:color w:val="000000" w:themeColor="text1"/>
        </w:rPr>
        <w:t>,</w:t>
      </w:r>
      <w:r w:rsidR="00363BC5" w:rsidRPr="00363BC5">
        <w:rPr>
          <w:color w:val="000000" w:themeColor="text1"/>
        </w:rPr>
        <w:t xml:space="preserve"> </w:t>
      </w:r>
      <w:r w:rsidR="00363BC5">
        <w:rPr>
          <w:color w:val="000000" w:themeColor="text1"/>
        </w:rPr>
        <w:t xml:space="preserve">a to u dodání jednotlivých pořizovaných položek dle </w:t>
      </w:r>
      <w:r w:rsidR="006B13DE">
        <w:rPr>
          <w:color w:val="000000" w:themeColor="text1"/>
        </w:rPr>
        <w:t>Cenového rozpadu</w:t>
      </w:r>
      <w:r w:rsidR="00484F6E" w:rsidRPr="0019419A">
        <w:rPr>
          <w:rFonts w:cs="Arial"/>
          <w:color w:val="000000" w:themeColor="text1"/>
        </w:rPr>
        <w:t>.</w:t>
      </w:r>
      <w:r w:rsidR="00556564">
        <w:rPr>
          <w:rFonts w:cs="Arial"/>
          <w:color w:val="000000" w:themeColor="text1"/>
        </w:rPr>
        <w:t xml:space="preserve"> </w:t>
      </w:r>
      <w:r w:rsidR="00363BC5">
        <w:rPr>
          <w:rFonts w:cs="Arial"/>
          <w:color w:val="000000" w:themeColor="text1"/>
        </w:rPr>
        <w:t xml:space="preserve">S ohledem na rozdílené </w:t>
      </w:r>
      <w:r w:rsidR="00F538AB">
        <w:rPr>
          <w:rFonts w:cs="Arial"/>
          <w:color w:val="000000" w:themeColor="text1"/>
        </w:rPr>
        <w:t>lhůty pro dodání</w:t>
      </w:r>
      <w:r w:rsidR="00363BC5">
        <w:rPr>
          <w:rFonts w:cs="Arial"/>
          <w:color w:val="000000" w:themeColor="text1"/>
        </w:rPr>
        <w:t xml:space="preserve"> mohou být j</w:t>
      </w:r>
      <w:r w:rsidR="00556564">
        <w:rPr>
          <w:rFonts w:cs="Arial"/>
          <w:color w:val="000000" w:themeColor="text1"/>
        </w:rPr>
        <w:t xml:space="preserve">ednotlivé </w:t>
      </w:r>
      <w:r w:rsidR="0066368F">
        <w:rPr>
          <w:rFonts w:cs="Arial"/>
          <w:color w:val="000000" w:themeColor="text1"/>
        </w:rPr>
        <w:t>položky</w:t>
      </w:r>
      <w:r w:rsidR="00363BC5">
        <w:rPr>
          <w:rFonts w:cs="Arial"/>
          <w:color w:val="000000" w:themeColor="text1"/>
        </w:rPr>
        <w:t xml:space="preserve"> </w:t>
      </w:r>
      <w:r w:rsidR="00556564">
        <w:rPr>
          <w:rFonts w:cs="Arial"/>
          <w:color w:val="000000" w:themeColor="text1"/>
        </w:rPr>
        <w:t xml:space="preserve">dle </w:t>
      </w:r>
      <w:r w:rsidR="006B13DE">
        <w:rPr>
          <w:rFonts w:cs="Arial"/>
          <w:color w:val="000000" w:themeColor="text1"/>
        </w:rPr>
        <w:t>Cenového rozpadu</w:t>
      </w:r>
      <w:r w:rsidR="00556564">
        <w:rPr>
          <w:rFonts w:cs="Arial"/>
          <w:color w:val="000000" w:themeColor="text1"/>
        </w:rPr>
        <w:t xml:space="preserve"> fakturovány samostatně</w:t>
      </w:r>
      <w:r w:rsidR="006B13DE">
        <w:rPr>
          <w:rFonts w:cs="Arial"/>
          <w:color w:val="000000" w:themeColor="text1"/>
        </w:rPr>
        <w:t xml:space="preserve"> po uskutečnění jejich dodání</w:t>
      </w:r>
      <w:r w:rsidR="00556564">
        <w:rPr>
          <w:rFonts w:cs="Arial"/>
          <w:color w:val="000000" w:themeColor="text1"/>
        </w:rPr>
        <w:t>.</w:t>
      </w:r>
      <w:r w:rsidR="00C57033">
        <w:rPr>
          <w:rFonts w:cs="Arial"/>
          <w:color w:val="000000" w:themeColor="text1"/>
        </w:rPr>
        <w:t xml:space="preserve"> </w:t>
      </w:r>
    </w:p>
    <w:p w14:paraId="48FB3A70" w14:textId="1C36A3DA" w:rsidR="002217F8" w:rsidRPr="009E7D5E" w:rsidRDefault="00380C01"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dílčí faktury, </w:t>
      </w:r>
      <w:r w:rsidR="00556564">
        <w:rPr>
          <w:rFonts w:cstheme="minorHAnsi"/>
        </w:rPr>
        <w:t>rozdělené</w:t>
      </w:r>
      <w:r w:rsidRPr="009E7D5E">
        <w:rPr>
          <w:rFonts w:cstheme="minorHAnsi"/>
        </w:rPr>
        <w:t xml:space="preserve"> na položky předmětu plnění investičního charakteru a</w:t>
      </w:r>
      <w:r w:rsidR="00556564">
        <w:rPr>
          <w:rFonts w:cstheme="minorHAnsi"/>
        </w:rPr>
        <w:t xml:space="preserve"> </w:t>
      </w:r>
      <w:r w:rsidRPr="009E7D5E">
        <w:rPr>
          <w:rFonts w:cstheme="minorHAnsi"/>
        </w:rPr>
        <w:t xml:space="preserve">na položky předmětu plnění neinvestičního </w:t>
      </w:r>
      <w:r w:rsidRPr="009E7D5E">
        <w:rPr>
          <w:rFonts w:cstheme="minorHAnsi"/>
        </w:rPr>
        <w:lastRenderedPageBreak/>
        <w:t>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7CAAAFD6" w14:textId="77777777" w:rsidR="00D574F4" w:rsidRPr="00D574F4" w:rsidRDefault="00D574F4" w:rsidP="006B13D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01DB11A4" w14:textId="4EEA3C2B" w:rsidR="00D574F4" w:rsidRDefault="00D574F4" w:rsidP="006B13D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č. CZ.02.1.01/0.0/0.0/17_043/0010085.</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29B9872A"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w:t>
      </w:r>
      <w:r w:rsidR="00363BC5">
        <w:rPr>
          <w:rFonts w:cs="Arial"/>
          <w:color w:val="000000" w:themeColor="text1"/>
        </w:rPr>
        <w:t xml:space="preserve">každého </w:t>
      </w:r>
      <w:r w:rsidRPr="0019419A">
        <w:rPr>
          <w:rFonts w:cs="Arial"/>
          <w:color w:val="000000" w:themeColor="text1"/>
        </w:rPr>
        <w:t xml:space="preserve">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w:t>
      </w:r>
      <w:r w:rsidR="00363BC5">
        <w:rPr>
          <w:rFonts w:cs="Arial"/>
          <w:color w:val="000000" w:themeColor="text1"/>
        </w:rPr>
        <w:t xml:space="preserve">vždy </w:t>
      </w:r>
      <w:r w:rsidRPr="0019419A">
        <w:rPr>
          <w:rFonts w:cs="Arial"/>
          <w:color w:val="000000" w:themeColor="text1"/>
        </w:rPr>
        <w:t xml:space="preserve">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bookmarkEnd w:id="2"/>
      <w:r w:rsidR="00484F6E" w:rsidRPr="00AD334A">
        <w:t>.</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0DD5EA6D"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rodávající záruku za jakost v</w:t>
      </w:r>
      <w:r w:rsidR="00363BC5">
        <w:rPr>
          <w:rFonts w:cs="Arial"/>
          <w:color w:val="000000" w:themeColor="text1"/>
        </w:rPr>
        <w:t xml:space="preserve"> délce 12 měsíců vždy ode dne dodání zboží (jednotlivých </w:t>
      </w:r>
      <w:r w:rsidR="001D7BF0">
        <w:rPr>
          <w:rFonts w:cs="Arial"/>
          <w:color w:val="000000" w:themeColor="text1"/>
        </w:rPr>
        <w:t>položek</w:t>
      </w:r>
      <w:r w:rsidR="00363BC5">
        <w:rPr>
          <w:rFonts w:cs="Arial"/>
          <w:color w:val="000000" w:themeColor="text1"/>
        </w:rPr>
        <w:t>)</w:t>
      </w:r>
      <w:r w:rsidR="00556564">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4BB0FF3B"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dávající se zavazuje na písemné</w:t>
      </w:r>
      <w:r w:rsidR="007F28E3" w:rsidRPr="0019419A">
        <w:rPr>
          <w:rFonts w:eastAsia="Times New Roman" w:cs="Arial"/>
          <w:color w:val="000000"/>
          <w:lang w:eastAsia="cs-CZ"/>
        </w:rPr>
        <w:t>,</w:t>
      </w:r>
      <w:r w:rsidRPr="0019419A">
        <w:rPr>
          <w:rFonts w:eastAsia="Times New Roman" w:cs="Arial"/>
          <w:color w:val="000000"/>
          <w:lang w:eastAsia="cs-CZ"/>
        </w:rPr>
        <w:t xml:space="preserve"> resp. e-</w:t>
      </w:r>
      <w:r w:rsidR="00935D15">
        <w:rPr>
          <w:rFonts w:eastAsia="Times New Roman" w:cs="Arial"/>
          <w:color w:val="000000"/>
          <w:lang w:eastAsia="cs-CZ"/>
        </w:rPr>
        <w:t>mailové 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w:t>
      </w:r>
      <w:r w:rsidR="00DA0452">
        <w:rPr>
          <w:rFonts w:eastAsia="Times New Roman" w:cs="Arial"/>
          <w:color w:val="000000"/>
          <w:lang w:eastAsia="cs-CZ"/>
        </w:rPr>
        <w:t> </w:t>
      </w:r>
      <w:r w:rsidRPr="0028563F">
        <w:rPr>
          <w:rFonts w:eastAsia="Times New Roman" w:cs="Arial"/>
          <w:color w:val="000000"/>
          <w:lang w:eastAsia="cs-CZ"/>
        </w:rPr>
        <w:t>češtině</w:t>
      </w:r>
      <w:r w:rsidR="00DA0452">
        <w:rPr>
          <w:rFonts w:eastAsia="Times New Roman" w:cs="Arial"/>
          <w:color w:val="000000"/>
          <w:lang w:eastAsia="cs-CZ"/>
        </w:rPr>
        <w:t xml:space="preserve"> či angličtině</w:t>
      </w:r>
      <w:r w:rsidRPr="006F5FBB">
        <w:rPr>
          <w:rFonts w:eastAsia="Times New Roman" w:cs="Arial"/>
          <w:color w:val="000000"/>
          <w:lang w:eastAsia="cs-CZ"/>
        </w:rPr>
        <w:t>.</w:t>
      </w:r>
      <w:r w:rsidR="00363BC5">
        <w:rPr>
          <w:rFonts w:eastAsia="Times New Roman" w:cs="Arial"/>
          <w:color w:val="000000"/>
          <w:lang w:eastAsia="cs-CZ"/>
        </w:rPr>
        <w:t xml:space="preserve"> </w:t>
      </w:r>
      <w:r w:rsidR="00363BC5" w:rsidRPr="00B40A90">
        <w:rPr>
          <w:rFonts w:eastAsia="Times New Roman" w:cstheme="minorHAnsi"/>
          <w:color w:val="000000"/>
          <w:lang w:eastAsia="cs-CZ"/>
        </w:rPr>
        <w:t>Prodávající je dále povinen, pokud není možno odstranit vady vzdáleně, odstranit vadu po nahlášení vady do 30 dnů</w:t>
      </w:r>
      <w:r w:rsidR="00363BC5">
        <w:rPr>
          <w:rFonts w:eastAsia="Times New Roman" w:cstheme="minorHAnsi"/>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 xml:space="preserve">Neumožňuje-li to povaha opravy, a je nutné zboží transportovat z místa dodání k záruční opravě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12735EE6" w14:textId="77777777" w:rsidR="00E4574D" w:rsidRPr="00E4574D" w:rsidRDefault="00EA4926" w:rsidP="00E4574D">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58D57B86" w14:textId="4EA3C4D1" w:rsidR="00E4574D" w:rsidRPr="00E4574D" w:rsidRDefault="008E00F9" w:rsidP="00E4574D">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Calibri"/>
          <w:szCs w:val="24"/>
        </w:rPr>
        <w:t>Prodávající</w:t>
      </w:r>
      <w:r w:rsidR="00E4574D" w:rsidRPr="00E4574D">
        <w:rPr>
          <w:rFonts w:cs="Calibri"/>
          <w:szCs w:val="24"/>
        </w:rPr>
        <w:t xml:space="preserve"> se zavazuje poskytovat technickou podpor</w:t>
      </w:r>
      <w:r w:rsidR="0006432B">
        <w:rPr>
          <w:rFonts w:cs="Calibri"/>
          <w:szCs w:val="24"/>
        </w:rPr>
        <w:t xml:space="preserve">u, </w:t>
      </w:r>
      <w:r w:rsidR="00E4574D" w:rsidRPr="00E4574D">
        <w:rPr>
          <w:rFonts w:cs="Calibri"/>
          <w:szCs w:val="24"/>
        </w:rPr>
        <w:t>údržbu</w:t>
      </w:r>
      <w:r w:rsidR="0006432B">
        <w:rPr>
          <w:rFonts w:cs="Calibri"/>
          <w:szCs w:val="24"/>
        </w:rPr>
        <w:t xml:space="preserve"> a aktualizace</w:t>
      </w:r>
      <w:r w:rsidR="00E4574D" w:rsidRPr="00E4574D">
        <w:rPr>
          <w:rFonts w:cs="Calibri"/>
          <w:szCs w:val="24"/>
        </w:rPr>
        <w:t xml:space="preserve"> </w:t>
      </w:r>
      <w:r w:rsidR="0006432B">
        <w:rPr>
          <w:rFonts w:cs="Calibri"/>
          <w:szCs w:val="24"/>
        </w:rPr>
        <w:t xml:space="preserve">dodávaného SW </w:t>
      </w:r>
      <w:r w:rsidR="00E4574D" w:rsidRPr="00E4574D">
        <w:rPr>
          <w:rFonts w:cs="Calibri"/>
          <w:szCs w:val="24"/>
        </w:rPr>
        <w:t>v délce 1</w:t>
      </w:r>
      <w:r w:rsidR="0006432B">
        <w:rPr>
          <w:rFonts w:cs="Calibri"/>
          <w:szCs w:val="24"/>
        </w:rPr>
        <w:t>2</w:t>
      </w:r>
      <w:r>
        <w:rPr>
          <w:rFonts w:cs="Calibri"/>
          <w:szCs w:val="24"/>
        </w:rPr>
        <w:t xml:space="preserve"> měsíců</w:t>
      </w:r>
      <w:r w:rsidR="00E4574D" w:rsidRPr="00E4574D">
        <w:rPr>
          <w:rFonts w:cs="Calibri"/>
          <w:szCs w:val="24"/>
        </w:rPr>
        <w:t xml:space="preserve"> </w:t>
      </w:r>
      <w:r w:rsidR="0006432B">
        <w:rPr>
          <w:rFonts w:cs="Calibri"/>
          <w:szCs w:val="24"/>
        </w:rPr>
        <w:t>od dodání příslušného SW</w:t>
      </w:r>
      <w:r w:rsidR="00E4574D" w:rsidRPr="00E4574D">
        <w:rPr>
          <w:rFonts w:cs="Calibri"/>
          <w:szCs w:val="24"/>
        </w:rPr>
        <w:t>, přičemž:</w:t>
      </w:r>
    </w:p>
    <w:p w14:paraId="10F0BB1E" w14:textId="77777777" w:rsidR="00E4574D" w:rsidRDefault="00E4574D" w:rsidP="00E4574D">
      <w:pPr>
        <w:pStyle w:val="Normal1"/>
        <w:numPr>
          <w:ilvl w:val="0"/>
          <w:numId w:val="61"/>
        </w:numPr>
        <w:spacing w:before="60" w:after="60" w:line="240" w:lineRule="auto"/>
        <w:rPr>
          <w:rFonts w:asciiTheme="minorHAnsi" w:hAnsiTheme="minorHAnsi" w:cs="Calibri"/>
          <w:szCs w:val="24"/>
        </w:rPr>
      </w:pPr>
      <w:r>
        <w:rPr>
          <w:rFonts w:asciiTheme="minorHAnsi" w:hAnsiTheme="minorHAnsi" w:cs="Calibri"/>
          <w:szCs w:val="24"/>
        </w:rPr>
        <w:t>t</w:t>
      </w:r>
      <w:r w:rsidRPr="009002D2">
        <w:rPr>
          <w:rFonts w:asciiTheme="minorHAnsi" w:hAnsiTheme="minorHAnsi" w:cs="Calibri"/>
          <w:szCs w:val="24"/>
        </w:rPr>
        <w:t xml:space="preserve">echnická podpora spočívá zejména v poskytování opravných softwarových kódů (hot-fix a patch) anebo jiných softwarových komponent k aplikačnímu programovému vybavení a </w:t>
      </w:r>
      <w:r w:rsidRPr="009002D2">
        <w:rPr>
          <w:rFonts w:asciiTheme="minorHAnsi" w:hAnsiTheme="minorHAnsi" w:cs="Calibri"/>
          <w:szCs w:val="24"/>
        </w:rPr>
        <w:lastRenderedPageBreak/>
        <w:t>veškerému základnímu programovému vybavení nutných pro odstranění chybových stavů a zajištění dostupnosti poskytovaných služeb</w:t>
      </w:r>
      <w:r>
        <w:rPr>
          <w:rFonts w:asciiTheme="minorHAnsi" w:hAnsiTheme="minorHAnsi" w:cs="Calibri"/>
          <w:szCs w:val="24"/>
        </w:rPr>
        <w:t>;</w:t>
      </w:r>
    </w:p>
    <w:p w14:paraId="7E4735E7" w14:textId="77777777" w:rsidR="00E4574D" w:rsidRPr="00BF01A1" w:rsidRDefault="00E4574D" w:rsidP="00E4574D">
      <w:pPr>
        <w:pStyle w:val="Normal1"/>
        <w:numPr>
          <w:ilvl w:val="0"/>
          <w:numId w:val="61"/>
        </w:numPr>
        <w:spacing w:before="60" w:after="60" w:line="240" w:lineRule="auto"/>
        <w:rPr>
          <w:rFonts w:asciiTheme="minorHAnsi" w:hAnsiTheme="minorHAnsi" w:cs="Calibri"/>
          <w:szCs w:val="24"/>
        </w:rPr>
      </w:pPr>
      <w:r>
        <w:rPr>
          <w:rFonts w:asciiTheme="minorHAnsi" w:hAnsiTheme="minorHAnsi" w:cs="Calibri"/>
          <w:szCs w:val="24"/>
        </w:rPr>
        <w:t xml:space="preserve">údržbou se zejména myslí údržba SW </w:t>
      </w:r>
      <w:r w:rsidRPr="009002D2">
        <w:rPr>
          <w:rFonts w:asciiTheme="minorHAnsi" w:hAnsiTheme="minorHAnsi" w:cs="Calibri"/>
          <w:szCs w:val="24"/>
        </w:rPr>
        <w:t>dle licenčních zvyklostí dodavatele, které standardně poskytuje v rámci své licenční politiky k uvedenému SW</w:t>
      </w:r>
      <w:r>
        <w:rPr>
          <w:rFonts w:asciiTheme="minorHAnsi" w:hAnsiTheme="minorHAnsi" w:cs="Calibri"/>
          <w:szCs w:val="24"/>
        </w:rPr>
        <w:t>;</w:t>
      </w:r>
    </w:p>
    <w:p w14:paraId="0CEBCE1D" w14:textId="77777777" w:rsidR="00E4574D" w:rsidRDefault="00E4574D" w:rsidP="00E4574D">
      <w:pPr>
        <w:pStyle w:val="Normal1"/>
        <w:numPr>
          <w:ilvl w:val="0"/>
          <w:numId w:val="61"/>
        </w:numPr>
        <w:spacing w:before="60" w:after="60" w:line="240" w:lineRule="auto"/>
        <w:rPr>
          <w:rFonts w:asciiTheme="minorHAnsi" w:hAnsiTheme="minorHAnsi" w:cs="Calibri"/>
          <w:szCs w:val="24"/>
        </w:rPr>
      </w:pPr>
      <w:r>
        <w:rPr>
          <w:rFonts w:asciiTheme="minorHAnsi" w:hAnsiTheme="minorHAnsi" w:cs="Calibri"/>
          <w:szCs w:val="24"/>
        </w:rPr>
        <w:t>a</w:t>
      </w:r>
      <w:r w:rsidRPr="009002D2">
        <w:rPr>
          <w:rFonts w:asciiTheme="minorHAnsi" w:hAnsiTheme="minorHAnsi" w:cs="Calibri"/>
          <w:szCs w:val="24"/>
        </w:rPr>
        <w:t xml:space="preserve">ktualizace spočívá </w:t>
      </w:r>
      <w:r>
        <w:rPr>
          <w:rFonts w:asciiTheme="minorHAnsi" w:hAnsiTheme="minorHAnsi" w:cs="Calibri"/>
          <w:szCs w:val="24"/>
        </w:rPr>
        <w:t xml:space="preserve">zejména </w:t>
      </w:r>
      <w:r w:rsidRPr="009002D2">
        <w:rPr>
          <w:rFonts w:asciiTheme="minorHAnsi" w:hAnsiTheme="minorHAnsi" w:cs="Calibri"/>
          <w:szCs w:val="24"/>
        </w:rPr>
        <w:t>v zajištění poskytování všech výrobcem uvolněných updatů a upgradů nebo nových verzí poskytovaného plnění</w:t>
      </w:r>
      <w:r>
        <w:rPr>
          <w:rFonts w:asciiTheme="minorHAnsi" w:hAnsiTheme="minorHAnsi" w:cs="Calibri"/>
          <w:szCs w:val="24"/>
        </w:rPr>
        <w:t xml:space="preserve">. </w:t>
      </w:r>
    </w:p>
    <w:p w14:paraId="4D4EF74A" w14:textId="20E536F2" w:rsidR="00E4574D" w:rsidRPr="004E445C" w:rsidRDefault="00E4574D" w:rsidP="0006432B">
      <w:pPr>
        <w:pStyle w:val="Normal1"/>
        <w:numPr>
          <w:ilvl w:val="0"/>
          <w:numId w:val="57"/>
        </w:numPr>
        <w:spacing w:before="60" w:after="60" w:line="240" w:lineRule="auto"/>
        <w:ind w:left="567" w:hanging="567"/>
        <w:rPr>
          <w:rFonts w:asciiTheme="minorHAnsi" w:hAnsiTheme="minorHAnsi" w:cs="Calibri"/>
          <w:szCs w:val="24"/>
        </w:rPr>
      </w:pPr>
      <w:r>
        <w:rPr>
          <w:rFonts w:asciiTheme="minorHAnsi" w:hAnsiTheme="minorHAnsi" w:cs="Calibri"/>
          <w:szCs w:val="24"/>
        </w:rPr>
        <w:t xml:space="preserve">Nahlášení chybového stavu </w:t>
      </w:r>
      <w:r w:rsidR="008E00F9">
        <w:rPr>
          <w:rFonts w:asciiTheme="minorHAnsi" w:hAnsiTheme="minorHAnsi" w:cs="Calibri"/>
          <w:szCs w:val="24"/>
        </w:rPr>
        <w:t>kupující</w:t>
      </w:r>
      <w:r w:rsidRPr="004E445C">
        <w:rPr>
          <w:rFonts w:asciiTheme="minorHAnsi" w:hAnsiTheme="minorHAnsi" w:cs="Calibri"/>
          <w:szCs w:val="24"/>
        </w:rPr>
        <w:t xml:space="preserve"> zašle </w:t>
      </w:r>
      <w:r w:rsidR="008E00F9">
        <w:rPr>
          <w:rFonts w:asciiTheme="minorHAnsi" w:hAnsiTheme="minorHAnsi" w:cs="Calibri"/>
          <w:szCs w:val="24"/>
        </w:rPr>
        <w:t xml:space="preserve">prodávajícímu dle odst. 2 </w:t>
      </w:r>
      <w:r>
        <w:rPr>
          <w:rFonts w:asciiTheme="minorHAnsi" w:hAnsiTheme="minorHAnsi" w:cs="Calibri"/>
          <w:szCs w:val="24"/>
        </w:rPr>
        <w:t>s popisem chybového stavu</w:t>
      </w:r>
      <w:r w:rsidR="008E00F9">
        <w:rPr>
          <w:rFonts w:asciiTheme="minorHAnsi" w:hAnsiTheme="minorHAnsi" w:cs="Calibri"/>
          <w:szCs w:val="24"/>
        </w:rPr>
        <w:t>. Prodávající</w:t>
      </w:r>
      <w:r>
        <w:rPr>
          <w:rFonts w:asciiTheme="minorHAnsi" w:hAnsiTheme="minorHAnsi" w:cs="Calibri"/>
          <w:szCs w:val="24"/>
        </w:rPr>
        <w:t xml:space="preserve"> se zavazuje odstranit chybový stav do 30 dnů od jeho nahlášení.</w:t>
      </w:r>
    </w:p>
    <w:p w14:paraId="68E3C8E4" w14:textId="66F825F8"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E4574D">
        <w:rPr>
          <w:rFonts w:cs="Arial"/>
          <w:color w:val="000000" w:themeColor="text1"/>
        </w:rPr>
        <w:t xml:space="preserve"> či v souvislosti s technickou podporou, údržbou a aktualizací SW</w:t>
      </w:r>
      <w:r w:rsidR="00CD5FEE">
        <w:rPr>
          <w:rFonts w:cs="Arial"/>
          <w:color w:val="000000" w:themeColor="text1"/>
        </w:rPr>
        <w:t>, nese v plné výši p</w:t>
      </w:r>
      <w:r w:rsidRPr="0019419A">
        <w:rPr>
          <w:rFonts w:cs="Arial"/>
          <w:color w:val="000000" w:themeColor="text1"/>
        </w:rPr>
        <w:t>rodávající.</w:t>
      </w:r>
    </w:p>
    <w:p w14:paraId="3B8307B2" w14:textId="3C2BECA1"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79BA9FAB" w:rsidR="002217F8" w:rsidRPr="0039056A" w:rsidRDefault="000C3F20" w:rsidP="004C0F80">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8C3175">
        <w:rPr>
          <w:rFonts w:cs="Arial"/>
          <w:color w:val="000000" w:themeColor="text1"/>
        </w:rPr>
        <w:t xml:space="preserve">Prodávající se zavazuje poskytovat pozáruční servis </w:t>
      </w:r>
      <w:r w:rsidR="00797295" w:rsidRPr="008C3175">
        <w:rPr>
          <w:rFonts w:cs="Arial"/>
          <w:color w:val="000000" w:themeColor="text1"/>
        </w:rPr>
        <w:t>dodaného zboží</w:t>
      </w:r>
      <w:r w:rsidR="000C3499">
        <w:rPr>
          <w:rFonts w:cs="Arial"/>
          <w:color w:val="000000" w:themeColor="text1"/>
        </w:rPr>
        <w:t xml:space="preserve"> </w:t>
      </w:r>
      <w:r w:rsidR="00556564">
        <w:rPr>
          <w:rFonts w:cs="Arial"/>
          <w:color w:val="000000" w:themeColor="text1"/>
        </w:rPr>
        <w:t xml:space="preserve">dle </w:t>
      </w:r>
      <w:r w:rsidR="00C57033">
        <w:rPr>
          <w:rFonts w:cs="Arial"/>
          <w:color w:val="000000" w:themeColor="text1"/>
        </w:rPr>
        <w:t>po dobu alespoň 3 let vždy ode dne skončení záruky za jakost (u jednotlivých položek technologie)</w:t>
      </w:r>
      <w:r w:rsidR="00556564">
        <w:rPr>
          <w:rFonts w:cs="Arial"/>
          <w:color w:val="000000" w:themeColor="text1"/>
        </w:rPr>
        <w:t>.</w:t>
      </w:r>
    </w:p>
    <w:p w14:paraId="1FF18588" w14:textId="53A350B9" w:rsidR="00502350" w:rsidRPr="0019419A" w:rsidRDefault="00502350" w:rsidP="00C57033">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C230631"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77523FE1"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z ceny zboží</w:t>
      </w:r>
      <w:r w:rsidR="00E84D8C">
        <w:rPr>
          <w:rFonts w:eastAsia="Times New Roman" w:cs="Arial"/>
          <w:color w:val="000000"/>
          <w:lang w:eastAsia="cs-CZ"/>
        </w:rPr>
        <w:t xml:space="preserve"> dle Cenového rozpadu, se kterým je prodávající v prodlení,</w:t>
      </w:r>
      <w:r w:rsidR="00E84D8C" w:rsidRPr="003107A2">
        <w:rPr>
          <w:rFonts w:eastAsia="Times New Roman" w:cs="Arial"/>
          <w:color w:val="000000"/>
          <w:lang w:eastAsia="cs-CZ"/>
        </w:rPr>
        <w:t xml:space="preserve"> </w:t>
      </w:r>
      <w:r w:rsidR="007F28E3" w:rsidRPr="003107A2">
        <w:rPr>
          <w:rFonts w:eastAsia="Times New Roman" w:cs="Arial"/>
          <w:color w:val="000000"/>
          <w:lang w:eastAsia="cs-CZ"/>
        </w:rPr>
        <w:t xml:space="preserve">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37CAF4FD" w14:textId="3997B36B"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w:t>
      </w:r>
      <w:r w:rsidR="0006432B">
        <w:rPr>
          <w:rFonts w:eastAsia="Times New Roman" w:cs="Arial"/>
          <w:color w:val="000000"/>
          <w:lang w:eastAsia="cs-CZ"/>
        </w:rPr>
        <w:t xml:space="preserve"> či poskytnutí technické podpory, údržby či aktualizace SW</w:t>
      </w:r>
      <w:r w:rsidRPr="003107A2">
        <w:rPr>
          <w:rFonts w:eastAsia="Times New Roman" w:cs="Arial"/>
          <w:color w:val="000000"/>
          <w:lang w:eastAsia="cs-CZ"/>
        </w:rPr>
        <w:t xml:space="preserve"> dle čl. V je prodávající povinen uhradit kupujícímu smluvní pokutu ve výši </w:t>
      </w:r>
      <w:r w:rsidR="00556564">
        <w:rPr>
          <w:rFonts w:eastAsia="Times New Roman" w:cs="Arial"/>
          <w:color w:val="000000"/>
          <w:lang w:eastAsia="cs-CZ"/>
        </w:rPr>
        <w:t>1</w:t>
      </w:r>
      <w:r w:rsidR="00C57033">
        <w:rPr>
          <w:rFonts w:eastAsia="Times New Roman" w:cs="Arial"/>
          <w:color w:val="000000"/>
          <w:lang w:eastAsia="cs-CZ"/>
        </w:rPr>
        <w:t>.</w:t>
      </w:r>
      <w:r w:rsidR="00556564">
        <w:rPr>
          <w:rFonts w:eastAsia="Times New Roman" w:cs="Arial"/>
          <w:color w:val="000000"/>
          <w:lang w:eastAsia="cs-CZ"/>
        </w:rPr>
        <w:t>0</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B104DF">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3D5B5639" w:rsidR="00AD334A" w:rsidRDefault="000C3499">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Pr>
          <w:rFonts w:eastAsia="Times New Roman" w:cs="Arial"/>
          <w:color w:val="000000"/>
          <w:lang w:eastAsia="cs-CZ"/>
        </w:rPr>
        <w:t>40 d</w:t>
      </w:r>
      <w:r w:rsidRPr="00AD334A">
        <w:rPr>
          <w:rFonts w:eastAsia="Times New Roman" w:cs="Arial"/>
          <w:color w:val="000000"/>
          <w:lang w:eastAsia="cs-CZ"/>
        </w:rPr>
        <w:t xml:space="preserve">nů </w:t>
      </w:r>
      <w:r>
        <w:rPr>
          <w:rFonts w:eastAsia="Times New Roman" w:cs="Arial"/>
          <w:color w:val="000000"/>
          <w:lang w:eastAsia="cs-CZ"/>
        </w:rPr>
        <w:t>dle</w:t>
      </w:r>
      <w:r w:rsidRPr="00AD334A">
        <w:rPr>
          <w:rFonts w:eastAsia="Times New Roman" w:cs="Arial"/>
          <w:color w:val="000000"/>
          <w:lang w:eastAsia="cs-CZ"/>
        </w:rPr>
        <w:t xml:space="preserve"> čl. III odst. </w:t>
      </w:r>
      <w:r>
        <w:rPr>
          <w:rFonts w:eastAsia="Times New Roman" w:cs="Arial"/>
          <w:color w:val="000000"/>
          <w:lang w:eastAsia="cs-CZ"/>
        </w:rPr>
        <w:t>4 této smlouvy</w:t>
      </w:r>
      <w:r w:rsidRPr="00AD334A">
        <w:rPr>
          <w:rFonts w:eastAsia="Times New Roman" w:cs="Arial"/>
          <w:color w:val="000000"/>
          <w:lang w:eastAsia="cs-CZ"/>
        </w:rPr>
        <w:t>, nebo na prodávajícího byl vyhlášen konkurz či zahájeno nucené vyrovnání</w:t>
      </w:r>
      <w:r w:rsidR="007F28E3" w:rsidRPr="00AD334A">
        <w:rPr>
          <w:rFonts w:eastAsia="Times New Roman" w:cs="Arial"/>
          <w:color w:val="000000"/>
          <w:lang w:eastAsia="cs-CZ"/>
        </w:rPr>
        <w:t>.</w:t>
      </w:r>
    </w:p>
    <w:p w14:paraId="6DE4A9F5" w14:textId="3CB56650" w:rsidR="00142E1A" w:rsidRDefault="000C3499" w:rsidP="002217F8">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než 40 dnů v návaznosti na čl. IV </w:t>
      </w:r>
      <w:r w:rsidRPr="00DC3FF0">
        <w:t xml:space="preserve">této </w:t>
      </w:r>
      <w:r w:rsidRPr="00DC3FF0">
        <w:lastRenderedPageBreak/>
        <w:t>smlouvy</w:t>
      </w:r>
      <w:r w:rsidR="00142E1A">
        <w:rPr>
          <w:rFonts w:eastAsia="Times New Roman" w:cs="Arial"/>
          <w:color w:val="000000"/>
          <w:lang w:eastAsia="cs-CZ"/>
        </w:rPr>
        <w:t>.</w:t>
      </w:r>
    </w:p>
    <w:p w14:paraId="0C76B0F0" w14:textId="030B5598" w:rsidR="00545B5C" w:rsidRPr="00C57033" w:rsidRDefault="00545B5C" w:rsidP="0006432B">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 w:val="24"/>
          <w:szCs w:val="20"/>
          <w:lang w:eastAsia="cs-CZ"/>
        </w:rPr>
      </w:pPr>
      <w:bookmarkStart w:id="3" w:name="_Toc522775762"/>
      <w:r w:rsidRPr="00C57033">
        <w:rPr>
          <w:rFonts w:eastAsia="Times New Roman" w:cs="Arial"/>
          <w:b/>
          <w:color w:val="000000"/>
          <w:sz w:val="24"/>
          <w:szCs w:val="20"/>
          <w:lang w:eastAsia="cs-CZ"/>
        </w:rPr>
        <w:t>Vyšší moc</w:t>
      </w:r>
      <w:bookmarkEnd w:id="3"/>
    </w:p>
    <w:p w14:paraId="157E7930" w14:textId="77777777" w:rsidR="00C57033" w:rsidRPr="00DB6E63" w:rsidRDefault="00C57033" w:rsidP="00C57033">
      <w:pPr>
        <w:widowControl w:val="0"/>
        <w:numPr>
          <w:ilvl w:val="0"/>
          <w:numId w:val="59"/>
        </w:numPr>
        <w:tabs>
          <w:tab w:val="left" w:pos="720"/>
          <w:tab w:val="left" w:pos="851"/>
          <w:tab w:val="left" w:pos="1200"/>
          <w:tab w:val="left" w:pos="1470"/>
          <w:tab w:val="left" w:pos="1755"/>
          <w:tab w:val="left" w:pos="2055"/>
          <w:tab w:val="left" w:pos="2340"/>
          <w:tab w:val="left" w:pos="2610"/>
          <w:tab w:val="left" w:pos="2835"/>
          <w:tab w:val="left" w:pos="2895"/>
          <w:tab w:val="left" w:pos="3192"/>
        </w:tabs>
        <w:suppressAutoHyphens/>
        <w:autoSpaceDE w:val="0"/>
        <w:autoSpaceDN w:val="0"/>
        <w:spacing w:after="120" w:line="240" w:lineRule="auto"/>
        <w:ind w:left="567" w:hanging="567"/>
        <w:jc w:val="both"/>
        <w:textAlignment w:val="baseline"/>
        <w:rPr>
          <w:rFonts w:eastAsia="Times New Roman" w:cs="Arial"/>
          <w:color w:val="000000"/>
          <w:lang w:eastAsia="cs-CZ"/>
        </w:rPr>
      </w:pPr>
      <w:r w:rsidRPr="00DC3FF0">
        <w:t>Je</w:t>
      </w:r>
      <w:r w:rsidRPr="00A3772B">
        <w:noBreakHyphen/>
        <w:t>li neplnění některého závazku prodávajícího způsobeno</w:t>
      </w:r>
      <w:r>
        <w:t xml:space="preserve"> </w:t>
      </w:r>
      <w:r w:rsidRPr="00056D63">
        <w:t>mimořádn</w:t>
      </w:r>
      <w:r>
        <w:t>ými</w:t>
      </w:r>
      <w:r w:rsidRPr="00056D63">
        <w:t>, nepředvídateln</w:t>
      </w:r>
      <w:r>
        <w:t>ými</w:t>
      </w:r>
      <w:r w:rsidRPr="00056D63">
        <w:t>, neodvratiteln</w:t>
      </w:r>
      <w:r>
        <w:t>ými</w:t>
      </w:r>
      <w:r w:rsidRPr="00A3772B">
        <w:t xml:space="preserve"> překážkami nebo okolnostmi, na které prodávající nemá </w:t>
      </w:r>
      <w:r>
        <w:t xml:space="preserve">a nemůže mít </w:t>
      </w:r>
      <w:r w:rsidRPr="00A3772B">
        <w:t>vliv („</w:t>
      </w:r>
      <w:r>
        <w:t>v</w:t>
      </w:r>
      <w:r w:rsidRPr="00A3772B">
        <w:t>yšší moc“) a které mají</w:t>
      </w:r>
      <w:r>
        <w:t xml:space="preserve"> přímý</w:t>
      </w:r>
      <w:r w:rsidRPr="00A3772B">
        <w:t xml:space="preserve"> negativní dopad na prodávajícího nebo některé jeho poddodavatele, kteří se účastní plnění smlouvy, je neplnění Smlouvy ze strany prodávajícího prominuto a prodávající za ně nenese odpovědnost</w:t>
      </w:r>
      <w:r>
        <w:t>, pokud jsou splněny podmínky odst. 3.</w:t>
      </w:r>
    </w:p>
    <w:p w14:paraId="2FFBEB39" w14:textId="77777777" w:rsidR="00C57033" w:rsidRDefault="00C57033" w:rsidP="00C57033">
      <w:pPr>
        <w:widowControl w:val="0"/>
        <w:numPr>
          <w:ilvl w:val="0"/>
          <w:numId w:val="59"/>
        </w:numPr>
        <w:tabs>
          <w:tab w:val="left" w:pos="720"/>
          <w:tab w:val="left" w:pos="851"/>
          <w:tab w:val="left" w:pos="1200"/>
          <w:tab w:val="left" w:pos="1470"/>
          <w:tab w:val="left" w:pos="1755"/>
          <w:tab w:val="left" w:pos="2055"/>
          <w:tab w:val="left" w:pos="2340"/>
          <w:tab w:val="left" w:pos="2610"/>
          <w:tab w:val="left" w:pos="2835"/>
          <w:tab w:val="left" w:pos="2895"/>
          <w:tab w:val="left" w:pos="3192"/>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6E7BB9CE" w14:textId="77777777" w:rsidR="00C57033" w:rsidRPr="00B53CFA" w:rsidRDefault="00C57033" w:rsidP="00C57033">
      <w:pPr>
        <w:widowControl w:val="0"/>
        <w:numPr>
          <w:ilvl w:val="0"/>
          <w:numId w:val="59"/>
        </w:numPr>
        <w:tabs>
          <w:tab w:val="left" w:pos="720"/>
          <w:tab w:val="left" w:pos="851"/>
          <w:tab w:val="left" w:pos="1200"/>
          <w:tab w:val="left" w:pos="1470"/>
          <w:tab w:val="left" w:pos="1755"/>
          <w:tab w:val="left" w:pos="2055"/>
          <w:tab w:val="left" w:pos="2340"/>
          <w:tab w:val="left" w:pos="2610"/>
          <w:tab w:val="left" w:pos="2835"/>
          <w:tab w:val="left" w:pos="2895"/>
          <w:tab w:val="left" w:pos="3192"/>
        </w:tabs>
        <w:suppressAutoHyphens/>
        <w:autoSpaceDE w:val="0"/>
        <w:autoSpaceDN w:val="0"/>
        <w:spacing w:after="120" w:line="240" w:lineRule="auto"/>
        <w:ind w:left="567" w:hanging="567"/>
        <w:jc w:val="both"/>
        <w:textAlignment w:val="baseline"/>
      </w:pPr>
      <w:r>
        <w:rPr>
          <w:rFonts w:eastAsia="Times New Roman" w:cs="Arial"/>
          <w:color w:val="000000"/>
          <w:lang w:eastAsia="cs-CZ"/>
        </w:rPr>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 zejména na prodloužení lhůty pro dodání zboží o dobu působení vyšší moci a jejích následků. Smluvní strany jsou oprávněny odstoupit od této smlouvy, působila</w:t>
      </w:r>
      <w:r>
        <w:rPr>
          <w:rFonts w:eastAsia="Times New Roman" w:cs="Arial"/>
          <w:color w:val="000000"/>
          <w:lang w:eastAsia="cs-CZ"/>
        </w:rPr>
        <w:noBreakHyphen/>
        <w:t xml:space="preserve">li vyšší moc v úhrnu po dobu delší 30 dnů. </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44A8125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9DECB0F"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lastRenderedPageBreak/>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11063E0D"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65972">
        <w:rPr>
          <w:rFonts w:eastAsia="Times New Roman" w:cs="Arial"/>
          <w:noProof/>
          <w:lang w:eastAsia="cs-CZ"/>
        </w:rPr>
        <w:t>počátku účinnosti této smlouvy.</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59788857" w:rsidR="00D02DB5" w:rsidRPr="00005ABD" w:rsidRDefault="00496855" w:rsidP="00005ABD">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766466">
        <w:rPr>
          <w:rFonts w:eastAsia="Times New Roman" w:cs="Arial"/>
          <w:noProof/>
          <w:lang w:eastAsia="cs-CZ"/>
        </w:rPr>
        <w:t xml:space="preserve">Nedílnou součástí této smlouvy </w:t>
      </w:r>
      <w:r w:rsidR="00D751A6" w:rsidRPr="00766466">
        <w:rPr>
          <w:rFonts w:eastAsia="Times New Roman" w:cs="Arial"/>
          <w:noProof/>
          <w:lang w:eastAsia="cs-CZ"/>
        </w:rPr>
        <w:t xml:space="preserve">je její </w:t>
      </w:r>
      <w:r w:rsidR="001E5ED0" w:rsidRPr="00766466">
        <w:rPr>
          <w:rFonts w:eastAsia="Times New Roman" w:cs="Arial"/>
          <w:noProof/>
          <w:lang w:eastAsia="cs-CZ"/>
        </w:rPr>
        <w:t xml:space="preserve">Příloha A – </w:t>
      </w:r>
      <w:r w:rsidR="00C77095">
        <w:rPr>
          <w:rFonts w:eastAsia="Times New Roman" w:cs="Arial"/>
          <w:noProof/>
          <w:lang w:eastAsia="cs-CZ"/>
        </w:rPr>
        <w:t>T</w:t>
      </w:r>
      <w:r w:rsidR="001E5ED0" w:rsidRPr="00766466">
        <w:rPr>
          <w:rFonts w:eastAsia="Times New Roman" w:cs="Arial"/>
          <w:noProof/>
          <w:lang w:eastAsia="cs-CZ"/>
        </w:rPr>
        <w:t>echnická specifikace</w:t>
      </w:r>
      <w:r w:rsidR="00005ABD">
        <w:rPr>
          <w:rFonts w:eastAsia="Times New Roman" w:cs="Arial"/>
          <w:noProof/>
          <w:lang w:eastAsia="cs-CZ"/>
        </w:rPr>
        <w:t xml:space="preserve"> a </w:t>
      </w:r>
      <w:r w:rsidR="00BA5566">
        <w:rPr>
          <w:rFonts w:eastAsia="Times New Roman" w:cs="Arial"/>
          <w:noProof/>
          <w:lang w:eastAsia="cs-CZ"/>
        </w:rPr>
        <w:t>P</w:t>
      </w:r>
      <w:r w:rsidR="00005ABD">
        <w:rPr>
          <w:rFonts w:eastAsia="Times New Roman" w:cs="Arial"/>
          <w:noProof/>
          <w:lang w:eastAsia="cs-CZ"/>
        </w:rPr>
        <w:t xml:space="preserve">říloha B – </w:t>
      </w:r>
      <w:r w:rsidR="00C77095">
        <w:rPr>
          <w:rFonts w:eastAsia="Times New Roman" w:cs="Arial"/>
          <w:noProof/>
          <w:lang w:eastAsia="cs-CZ"/>
        </w:rPr>
        <w:t>C</w:t>
      </w:r>
      <w:r w:rsidR="00005ABD">
        <w:rPr>
          <w:rFonts w:eastAsia="Times New Roman" w:cs="Arial"/>
          <w:noProof/>
          <w:lang w:eastAsia="cs-CZ"/>
        </w:rPr>
        <w:t>enový rozpad.</w:t>
      </w:r>
    </w:p>
    <w:p w14:paraId="562225B5" w14:textId="77777777" w:rsidR="00766466" w:rsidRPr="00766466" w:rsidRDefault="00766466" w:rsidP="00766466">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780D6FDB"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5DA4E4E9" w:rsidR="001E5ED0"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2B04F3E5"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2DFD8A09" w14:textId="31370D37" w:rsidR="001B4B63" w:rsidRP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lang w:eastAsia="cs-CZ"/>
        </w:rPr>
      </w:pP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r w:rsidRPr="001B4B63">
        <w:rPr>
          <w:rFonts w:eastAsia="Times New Roman" w:cstheme="minorHAnsi"/>
          <w:color w:val="000000"/>
          <w:lang w:eastAsia="cs-CZ"/>
        </w:rPr>
        <w:tab/>
      </w:r>
    </w:p>
    <w:p w14:paraId="3FEA9625" w14:textId="258ECD41"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7264F8D9" w14:textId="476AFD67"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6E883660" w14:textId="7A9AF888"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263D7CC2" w14:textId="1FE7E1FD"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DD573A4" w14:textId="77777777"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E3BD078" w14:textId="77B95DDD"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D52D20F" w14:textId="36891254" w:rsidR="001B4B63" w:rsidRDefault="001B4B63" w:rsidP="001B4B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Pr>
          <w:rFonts w:cstheme="minorHAnsi"/>
          <w:color w:val="000000"/>
          <w:lang w:eastAsia="cs-CZ"/>
        </w:rPr>
        <w:tab/>
      </w:r>
      <w:r w:rsidRPr="00667CDF">
        <w:rPr>
          <w:rFonts w:cstheme="minorHAnsi"/>
          <w:color w:val="000000"/>
          <w:lang w:eastAsia="cs-CZ"/>
        </w:rPr>
        <w:t>___________________________</w:t>
      </w:r>
    </w:p>
    <w:p w14:paraId="18F3810C" w14:textId="0F84D4CB" w:rsidR="001B4B63" w:rsidRDefault="001B4B63" w:rsidP="000D70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rPr>
          <w:rFonts w:cstheme="minorHAnsi"/>
          <w:color w:val="000000"/>
          <w:szCs w:val="20"/>
          <w:lang w:eastAsia="cs-CZ"/>
        </w:rPr>
      </w:pP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r>
        <w:rPr>
          <w:rFonts w:cstheme="minorHAnsi"/>
          <w:color w:val="000000"/>
          <w:sz w:val="20"/>
          <w:szCs w:val="20"/>
          <w:lang w:eastAsia="cs-CZ"/>
        </w:rPr>
        <w:tab/>
      </w:r>
    </w:p>
    <w:p w14:paraId="75E41761" w14:textId="4A61E7D0" w:rsidR="000D70D2" w:rsidRDefault="000D70D2" w:rsidP="000D70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rPr>
          <w:rFonts w:cstheme="minorHAnsi"/>
          <w:color w:val="000000"/>
          <w:sz w:val="24"/>
          <w:lang w:eastAsia="cs-CZ"/>
        </w:rPr>
      </w:pPr>
    </w:p>
    <w:p w14:paraId="2906EEE8" w14:textId="0A07F3AE" w:rsidR="000D70D2" w:rsidRDefault="000D70D2" w:rsidP="000D70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rPr>
          <w:rFonts w:cstheme="minorHAnsi"/>
          <w:color w:val="000000"/>
          <w:sz w:val="24"/>
          <w:lang w:eastAsia="cs-CZ"/>
        </w:rPr>
      </w:pPr>
    </w:p>
    <w:p w14:paraId="6E1C12EE" w14:textId="460F218E" w:rsidR="000D70D2" w:rsidRDefault="000D70D2" w:rsidP="000D70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rPr>
          <w:rFonts w:cstheme="minorHAnsi"/>
          <w:color w:val="000000"/>
          <w:sz w:val="24"/>
          <w:lang w:eastAsia="cs-CZ"/>
        </w:rPr>
      </w:pPr>
    </w:p>
    <w:p w14:paraId="4D873068" w14:textId="77777777" w:rsidR="000D70D2" w:rsidRPr="00DF38C6" w:rsidRDefault="000D70D2" w:rsidP="000D70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rPr>
          <w:rFonts w:cstheme="minorHAnsi"/>
          <w:color w:val="000000"/>
          <w:sz w:val="24"/>
          <w:lang w:eastAsia="cs-CZ"/>
        </w:rPr>
      </w:pPr>
      <w:bookmarkStart w:id="4" w:name="_GoBack"/>
      <w:bookmarkEnd w:id="4"/>
    </w:p>
    <w:p w14:paraId="59B94FC6" w14:textId="564EC0A0" w:rsidR="00D622DF" w:rsidRDefault="00D622DF">
      <w:pPr>
        <w:rPr>
          <w:rFonts w:eastAsia="Times New Roman" w:cs="Arial"/>
          <w:color w:val="000000"/>
          <w:lang w:eastAsia="cs-CZ"/>
        </w:rPr>
      </w:pPr>
    </w:p>
    <w:p w14:paraId="2640AE0A" w14:textId="1A618F66" w:rsidR="009161D4" w:rsidRDefault="009161D4">
      <w:pPr>
        <w:rPr>
          <w:rFonts w:eastAsia="Times New Roman" w:cs="Arial"/>
          <w:color w:val="000000"/>
          <w:lang w:eastAsia="cs-CZ"/>
        </w:rPr>
      </w:pPr>
    </w:p>
    <w:p w14:paraId="2BC706C2" w14:textId="0D5B1DFE" w:rsidR="009161D4" w:rsidRDefault="009161D4">
      <w:pPr>
        <w:rPr>
          <w:rFonts w:eastAsia="Times New Roman" w:cs="Arial"/>
          <w:color w:val="000000"/>
          <w:lang w:eastAsia="cs-CZ"/>
        </w:rPr>
      </w:pPr>
    </w:p>
    <w:p w14:paraId="592F071D" w14:textId="1A7EB170" w:rsidR="009161D4" w:rsidRPr="009161D4" w:rsidRDefault="009161D4" w:rsidP="009161D4">
      <w:pPr>
        <w:jc w:val="center"/>
        <w:rPr>
          <w:rFonts w:eastAsia="Times New Roman" w:cs="Arial"/>
          <w:b/>
          <w:color w:val="000000"/>
          <w:sz w:val="28"/>
          <w:szCs w:val="28"/>
          <w:lang w:eastAsia="cs-CZ"/>
        </w:rPr>
      </w:pPr>
      <w:r w:rsidRPr="009161D4">
        <w:rPr>
          <w:rFonts w:eastAsia="Times New Roman" w:cs="Arial"/>
          <w:b/>
          <w:color w:val="000000"/>
          <w:sz w:val="28"/>
          <w:szCs w:val="28"/>
          <w:lang w:eastAsia="cs-CZ"/>
        </w:rPr>
        <w:lastRenderedPageBreak/>
        <w:t>Příloha A – Technická specifikace</w:t>
      </w:r>
    </w:p>
    <w:p w14:paraId="43271985" w14:textId="77777777" w:rsidR="009161D4" w:rsidRDefault="009161D4" w:rsidP="009161D4">
      <w:pPr>
        <w:keepNext/>
        <w:spacing w:after="120"/>
        <w:rPr>
          <w:rFonts w:cstheme="minorHAnsi"/>
          <w:b/>
          <w:szCs w:val="20"/>
        </w:rPr>
      </w:pPr>
      <w:r w:rsidRPr="00490B5E">
        <w:rPr>
          <w:rFonts w:cstheme="minorHAnsi"/>
          <w:b/>
          <w:szCs w:val="20"/>
        </w:rPr>
        <w:t>Název veřejné zakázky: ČVUT-CIIRC: Automatizační komponenty</w:t>
      </w:r>
    </w:p>
    <w:p w14:paraId="4E0AE4DF" w14:textId="77777777" w:rsidR="009161D4" w:rsidRPr="00490B5E" w:rsidRDefault="009161D4" w:rsidP="009161D4">
      <w:pPr>
        <w:keepNext/>
        <w:spacing w:after="120"/>
        <w:rPr>
          <w:rFonts w:cstheme="minorHAnsi"/>
          <w:b/>
          <w:szCs w:val="20"/>
        </w:rPr>
      </w:pPr>
      <w:r w:rsidRPr="00490B5E">
        <w:rPr>
          <w:rFonts w:cstheme="minorHAnsi"/>
          <w:b/>
          <w:szCs w:val="20"/>
        </w:rPr>
        <w:t>část 1: Automatizační komponenty pro výrobní stroje</w:t>
      </w:r>
    </w:p>
    <w:tbl>
      <w:tblPr>
        <w:tblStyle w:val="Mkatabulky"/>
        <w:tblW w:w="9615" w:type="dxa"/>
        <w:tblLook w:val="04A0" w:firstRow="1" w:lastRow="0" w:firstColumn="1" w:lastColumn="0" w:noHBand="0" w:noVBand="1"/>
      </w:tblPr>
      <w:tblGrid>
        <w:gridCol w:w="3878"/>
        <w:gridCol w:w="652"/>
        <w:gridCol w:w="1922"/>
        <w:gridCol w:w="3163"/>
      </w:tblGrid>
      <w:tr w:rsidR="008C138A" w:rsidRPr="00CC61B7" w14:paraId="432CC843" w14:textId="77777777" w:rsidTr="008C138A">
        <w:trPr>
          <w:trHeight w:val="576"/>
        </w:trPr>
        <w:tc>
          <w:tcPr>
            <w:tcW w:w="3878" w:type="dxa"/>
            <w:shd w:val="clear" w:color="auto" w:fill="E7E6E6" w:themeFill="background2"/>
          </w:tcPr>
          <w:p w14:paraId="334870B8" w14:textId="77777777" w:rsidR="008C138A" w:rsidRPr="008C138A" w:rsidRDefault="008C138A" w:rsidP="00003999">
            <w:pPr>
              <w:pStyle w:val="Standard"/>
              <w:spacing w:after="120"/>
              <w:rPr>
                <w:rFonts w:asciiTheme="minorHAnsi" w:hAnsiTheme="minorHAnsi" w:cstheme="minorHAnsi"/>
                <w:b/>
                <w:color w:val="auto"/>
                <w:sz w:val="22"/>
                <w:szCs w:val="20"/>
              </w:rPr>
            </w:pPr>
            <w:r w:rsidRPr="008C138A">
              <w:rPr>
                <w:rFonts w:asciiTheme="minorHAnsi" w:hAnsiTheme="minorHAnsi" w:cstheme="minorHAnsi"/>
                <w:b/>
                <w:sz w:val="22"/>
              </w:rPr>
              <w:t>Umístění technologie:</w:t>
            </w:r>
          </w:p>
        </w:tc>
        <w:tc>
          <w:tcPr>
            <w:tcW w:w="5737" w:type="dxa"/>
            <w:gridSpan w:val="3"/>
          </w:tcPr>
          <w:p w14:paraId="7D190048" w14:textId="77777777" w:rsidR="008C138A" w:rsidRPr="003005CA" w:rsidRDefault="008C138A" w:rsidP="00003999">
            <w:pPr>
              <w:pStyle w:val="Standard"/>
              <w:spacing w:after="120"/>
              <w:rPr>
                <w:rFonts w:asciiTheme="minorHAnsi" w:hAnsiTheme="minorHAnsi" w:cstheme="minorHAnsi"/>
                <w:b/>
                <w:sz w:val="22"/>
                <w:szCs w:val="20"/>
              </w:rPr>
            </w:pPr>
            <w:r w:rsidRPr="003005CA">
              <w:rPr>
                <w:rFonts w:asciiTheme="minorHAnsi" w:hAnsiTheme="minorHAnsi" w:cstheme="minorHAnsi"/>
                <w:b/>
                <w:sz w:val="22"/>
              </w:rPr>
              <w:t>místnost B S-101</w:t>
            </w:r>
          </w:p>
        </w:tc>
      </w:tr>
      <w:tr w:rsidR="009161D4" w:rsidRPr="009161D4" w14:paraId="2BE789F9" w14:textId="77777777" w:rsidTr="00003999">
        <w:tblPrEx>
          <w:jc w:val="center"/>
          <w:tblCellMar>
            <w:bottom w:w="57" w:type="dxa"/>
          </w:tblCellMar>
        </w:tblPrEx>
        <w:trPr>
          <w:trHeight w:val="940"/>
          <w:jc w:val="center"/>
        </w:trPr>
        <w:tc>
          <w:tcPr>
            <w:tcW w:w="3878" w:type="dxa"/>
            <w:tcBorders>
              <w:bottom w:val="single" w:sz="4" w:space="0" w:color="auto"/>
            </w:tcBorders>
            <w:shd w:val="clear" w:color="auto" w:fill="E7E6E6" w:themeFill="background2"/>
            <w:vAlign w:val="center"/>
          </w:tcPr>
          <w:p w14:paraId="33328C39" w14:textId="77777777" w:rsidR="009161D4" w:rsidRPr="009161D4" w:rsidRDefault="009161D4" w:rsidP="00003999">
            <w:pPr>
              <w:pStyle w:val="Standard"/>
              <w:spacing w:after="120"/>
              <w:contextualSpacing/>
              <w:rPr>
                <w:rFonts w:asciiTheme="minorHAnsi" w:hAnsiTheme="minorHAnsi" w:cstheme="minorHAnsi"/>
                <w:sz w:val="22"/>
                <w:szCs w:val="22"/>
              </w:rPr>
            </w:pPr>
            <w:r w:rsidRPr="009161D4">
              <w:rPr>
                <w:rFonts w:asciiTheme="minorHAnsi" w:hAnsiTheme="minorHAnsi" w:cstheme="minorHAnsi"/>
                <w:b/>
                <w:sz w:val="22"/>
                <w:szCs w:val="22"/>
              </w:rPr>
              <w:t>Odborná charakteristika požadované technologie:</w:t>
            </w:r>
          </w:p>
        </w:tc>
        <w:tc>
          <w:tcPr>
            <w:tcW w:w="5737" w:type="dxa"/>
            <w:gridSpan w:val="3"/>
            <w:tcBorders>
              <w:bottom w:val="single" w:sz="4" w:space="0" w:color="auto"/>
            </w:tcBorders>
            <w:vAlign w:val="center"/>
          </w:tcPr>
          <w:p w14:paraId="353A47F7" w14:textId="77777777" w:rsidR="009161D4" w:rsidRPr="009161D4" w:rsidRDefault="009161D4" w:rsidP="00003999">
            <w:pPr>
              <w:autoSpaceDE w:val="0"/>
              <w:autoSpaceDN w:val="0"/>
              <w:adjustRightInd w:val="0"/>
              <w:jc w:val="both"/>
              <w:rPr>
                <w:rFonts w:ascii="Calibri" w:eastAsiaTheme="minorHAnsi" w:hAnsi="Calibri" w:cs="Arial"/>
                <w:bCs/>
                <w:sz w:val="22"/>
                <w:szCs w:val="22"/>
                <w:lang w:eastAsia="en-US"/>
              </w:rPr>
            </w:pPr>
            <w:r w:rsidRPr="009161D4">
              <w:rPr>
                <w:rFonts w:ascii="Calibri" w:eastAsiaTheme="minorHAnsi" w:hAnsi="Calibri" w:cs="Arial"/>
                <w:bCs/>
                <w:sz w:val="22"/>
                <w:szCs w:val="22"/>
                <w:lang w:eastAsia="en-US"/>
              </w:rPr>
              <w:t>Jedná se o snímače elektrické spotřeby pro potřeby monitorování aktuálně odebíraného výkonu obráběcím strojem. Měřiče umožňují měřit všechny tři složky výkonu a dále analyzovat spotřebovanou energii připojeného zařízení.</w:t>
            </w:r>
          </w:p>
          <w:p w14:paraId="17E79FBB" w14:textId="77777777" w:rsidR="009161D4" w:rsidRPr="009161D4" w:rsidRDefault="009161D4" w:rsidP="00003999">
            <w:pPr>
              <w:autoSpaceDE w:val="0"/>
              <w:autoSpaceDN w:val="0"/>
              <w:adjustRightInd w:val="0"/>
              <w:jc w:val="both"/>
              <w:rPr>
                <w:rFonts w:ascii="Calibri" w:eastAsiaTheme="minorHAnsi" w:hAnsi="Calibri" w:cs="Arial"/>
                <w:bCs/>
                <w:sz w:val="22"/>
                <w:szCs w:val="22"/>
                <w:lang w:eastAsia="en-US"/>
              </w:rPr>
            </w:pPr>
            <w:r w:rsidRPr="009161D4">
              <w:rPr>
                <w:rFonts w:ascii="Calibri" w:eastAsiaTheme="minorHAnsi" w:hAnsi="Calibri" w:cs="Arial"/>
                <w:bCs/>
                <w:sz w:val="22"/>
                <w:szCs w:val="22"/>
                <w:lang w:eastAsia="en-US"/>
              </w:rPr>
              <w:t xml:space="preserve">Zpracované informace jsou získány pomocí připojení zařízení přímo na větev zásobující elektrickou energií konkrétního robota či obráběcí stroj. Získané informace je jednak možné zobrazovat přímo na obrazovce měřícího zařízení a zároveň je odesílat do nadřazeného řídicího systému díky integrované průmyslové sběrnici </w:t>
            </w:r>
            <w:proofErr w:type="spellStart"/>
            <w:r w:rsidRPr="009161D4">
              <w:rPr>
                <w:rFonts w:ascii="Calibri" w:eastAsiaTheme="minorHAnsi" w:hAnsi="Calibri" w:cs="Arial"/>
                <w:bCs/>
                <w:sz w:val="22"/>
                <w:szCs w:val="22"/>
                <w:lang w:eastAsia="en-US"/>
              </w:rPr>
              <w:t>Profinet</w:t>
            </w:r>
            <w:proofErr w:type="spellEnd"/>
            <w:r w:rsidRPr="009161D4">
              <w:rPr>
                <w:rFonts w:ascii="Calibri" w:eastAsiaTheme="minorHAnsi" w:hAnsi="Calibri" w:cs="Arial"/>
                <w:bCs/>
                <w:sz w:val="22"/>
                <w:szCs w:val="22"/>
                <w:lang w:eastAsia="en-US"/>
              </w:rPr>
              <w:t>. Na základě těchto informací je možné analyzovat průběh příkonu jednotlivých zařízení a stanovovat tak jejich náročnost na dodavatelskou síť elektrické energie a na základě těchto informací optimalizovat chování stroje pro minimalizaci spotřeby.</w:t>
            </w:r>
          </w:p>
        </w:tc>
      </w:tr>
      <w:tr w:rsidR="009161D4" w:rsidRPr="009161D4" w14:paraId="56646680" w14:textId="77777777" w:rsidTr="00003999">
        <w:tblPrEx>
          <w:jc w:val="center"/>
          <w:tblCellMar>
            <w:bottom w:w="57" w:type="dxa"/>
          </w:tblCellMar>
        </w:tblPrEx>
        <w:trPr>
          <w:trHeight w:val="1788"/>
          <w:jc w:val="center"/>
        </w:trPr>
        <w:tc>
          <w:tcPr>
            <w:tcW w:w="3878" w:type="dxa"/>
            <w:shd w:val="clear" w:color="auto" w:fill="E7E6E6" w:themeFill="background2"/>
            <w:vAlign w:val="center"/>
          </w:tcPr>
          <w:p w14:paraId="6CA4E268" w14:textId="77777777" w:rsidR="009161D4" w:rsidRPr="009161D4" w:rsidRDefault="009161D4" w:rsidP="00003999">
            <w:pPr>
              <w:pStyle w:val="Standard"/>
              <w:spacing w:after="120"/>
              <w:contextualSpacing/>
              <w:rPr>
                <w:rFonts w:asciiTheme="minorHAnsi" w:hAnsiTheme="minorHAnsi" w:cstheme="minorHAnsi"/>
                <w:sz w:val="22"/>
                <w:szCs w:val="22"/>
              </w:rPr>
            </w:pPr>
            <w:r w:rsidRPr="009161D4">
              <w:rPr>
                <w:rFonts w:asciiTheme="minorHAnsi" w:hAnsiTheme="minorHAnsi" w:cstheme="minorHAnsi"/>
                <w:b/>
                <w:sz w:val="22"/>
                <w:szCs w:val="22"/>
              </w:rPr>
              <w:t>Účel požadované technologie:</w:t>
            </w:r>
          </w:p>
        </w:tc>
        <w:tc>
          <w:tcPr>
            <w:tcW w:w="5737" w:type="dxa"/>
            <w:gridSpan w:val="3"/>
            <w:vAlign w:val="center"/>
          </w:tcPr>
          <w:p w14:paraId="0C8E9E87" w14:textId="77777777" w:rsidR="009161D4" w:rsidRPr="00AC4C83" w:rsidRDefault="009161D4" w:rsidP="00003999">
            <w:pPr>
              <w:spacing w:after="120"/>
              <w:jc w:val="both"/>
              <w:rPr>
                <w:rFonts w:asciiTheme="minorHAnsi" w:hAnsiTheme="minorHAnsi" w:cstheme="minorHAnsi"/>
                <w:sz w:val="22"/>
                <w:szCs w:val="22"/>
              </w:rPr>
            </w:pPr>
            <w:r w:rsidRPr="00AC4C83">
              <w:rPr>
                <w:rFonts w:asciiTheme="minorHAnsi" w:hAnsiTheme="minorHAnsi" w:cstheme="minorHAnsi"/>
                <w:kern w:val="3"/>
                <w:sz w:val="22"/>
                <w:szCs w:val="22"/>
              </w:rPr>
              <w:t xml:space="preserve">Účelem pořízení je rozšíření možností monitoringu parametrů výrobních strojů v rámci </w:t>
            </w:r>
            <w:proofErr w:type="spellStart"/>
            <w:r w:rsidRPr="00AC4C83">
              <w:rPr>
                <w:rFonts w:asciiTheme="minorHAnsi" w:hAnsiTheme="minorHAnsi" w:cstheme="minorHAnsi"/>
                <w:kern w:val="3"/>
                <w:sz w:val="22"/>
                <w:szCs w:val="22"/>
              </w:rPr>
              <w:t>testbedu</w:t>
            </w:r>
            <w:proofErr w:type="spellEnd"/>
            <w:r w:rsidRPr="00AC4C83">
              <w:rPr>
                <w:rFonts w:asciiTheme="minorHAnsi" w:hAnsiTheme="minorHAnsi" w:cstheme="minorHAnsi"/>
                <w:kern w:val="3"/>
                <w:sz w:val="22"/>
                <w:szCs w:val="22"/>
              </w:rPr>
              <w:t xml:space="preserve">. Jedním z hlavních parametrů stroje, s ohledem na požadavky na snižování energetické náročnosti strojů, je aktuální a historická spotřeba energické energie. Měřící snímače je potřeba obsluhovat nadřazeným kontrolorem, popř. napojit přímo na systém pro logování dat v podobě průmyslového logického programovatelného automatu (PLC). Na základě měření elektrické spotřeby strojů bude možné nejen sledovat jejich vytížení, ale také provádět optimalizaci v rámci hospodárného využití energie v rámci infrastruktury </w:t>
            </w:r>
            <w:proofErr w:type="spellStart"/>
            <w:r w:rsidRPr="00AC4C83">
              <w:rPr>
                <w:rFonts w:asciiTheme="minorHAnsi" w:hAnsiTheme="minorHAnsi" w:cstheme="minorHAnsi"/>
                <w:kern w:val="3"/>
                <w:sz w:val="22"/>
                <w:szCs w:val="22"/>
              </w:rPr>
              <w:t>testbedu</w:t>
            </w:r>
            <w:proofErr w:type="spellEnd"/>
            <w:r w:rsidRPr="00AC4C83">
              <w:rPr>
                <w:rFonts w:asciiTheme="minorHAnsi" w:hAnsiTheme="minorHAnsi" w:cstheme="minorHAnsi"/>
                <w:kern w:val="3"/>
                <w:sz w:val="22"/>
                <w:szCs w:val="22"/>
              </w:rPr>
              <w:t>. Zároveň je možné tyto informace využít k tvorbě konceptu preventivní a prediktivní údržby strojů.</w:t>
            </w:r>
          </w:p>
        </w:tc>
      </w:tr>
      <w:tr w:rsidR="009161D4" w:rsidRPr="009161D4" w14:paraId="0828BAD8" w14:textId="77777777" w:rsidTr="00003999">
        <w:tblPrEx>
          <w:jc w:val="center"/>
          <w:tblCellMar>
            <w:bottom w:w="57" w:type="dxa"/>
          </w:tblCellMar>
        </w:tblPrEx>
        <w:trPr>
          <w:trHeight w:val="584"/>
          <w:jc w:val="center"/>
        </w:trPr>
        <w:tc>
          <w:tcPr>
            <w:tcW w:w="4530" w:type="dxa"/>
            <w:gridSpan w:val="2"/>
            <w:shd w:val="clear" w:color="auto" w:fill="E7E6E6" w:themeFill="background2"/>
          </w:tcPr>
          <w:p w14:paraId="64BD24F3" w14:textId="77777777" w:rsidR="009161D4" w:rsidRPr="009161D4" w:rsidRDefault="009161D4" w:rsidP="00003999">
            <w:pPr>
              <w:pStyle w:val="Standard"/>
              <w:contextualSpacing/>
              <w:jc w:val="center"/>
              <w:rPr>
                <w:rFonts w:asciiTheme="minorHAnsi" w:hAnsiTheme="minorHAnsi" w:cstheme="minorHAnsi"/>
                <w:b/>
                <w:sz w:val="22"/>
                <w:szCs w:val="22"/>
              </w:rPr>
            </w:pPr>
            <w:r w:rsidRPr="009161D4">
              <w:rPr>
                <w:rFonts w:asciiTheme="minorHAnsi" w:hAnsiTheme="minorHAnsi" w:cstheme="minorHAnsi"/>
                <w:b/>
                <w:sz w:val="22"/>
                <w:szCs w:val="22"/>
              </w:rPr>
              <w:t>Popis parametru:</w:t>
            </w:r>
          </w:p>
        </w:tc>
        <w:tc>
          <w:tcPr>
            <w:tcW w:w="1922" w:type="dxa"/>
            <w:shd w:val="clear" w:color="auto" w:fill="E7E6E6" w:themeFill="background2"/>
          </w:tcPr>
          <w:p w14:paraId="473F600F" w14:textId="77777777" w:rsidR="009161D4" w:rsidRPr="009161D4" w:rsidRDefault="009161D4" w:rsidP="00003999">
            <w:pPr>
              <w:pStyle w:val="Standard"/>
              <w:contextualSpacing/>
              <w:jc w:val="center"/>
              <w:rPr>
                <w:rFonts w:asciiTheme="minorHAnsi" w:hAnsiTheme="minorHAnsi" w:cstheme="minorHAnsi"/>
                <w:b/>
                <w:sz w:val="22"/>
                <w:szCs w:val="22"/>
              </w:rPr>
            </w:pPr>
            <w:r w:rsidRPr="009161D4">
              <w:rPr>
                <w:rFonts w:asciiTheme="minorHAnsi" w:hAnsiTheme="minorHAnsi" w:cstheme="minorHAnsi"/>
                <w:b/>
                <w:sz w:val="22"/>
                <w:szCs w:val="22"/>
              </w:rPr>
              <w:t>Požadovaná hodnota:</w:t>
            </w:r>
          </w:p>
        </w:tc>
        <w:tc>
          <w:tcPr>
            <w:tcW w:w="3163" w:type="dxa"/>
            <w:shd w:val="clear" w:color="auto" w:fill="E7E6E6" w:themeFill="background2"/>
          </w:tcPr>
          <w:p w14:paraId="6554FADC" w14:textId="77777777" w:rsidR="009161D4" w:rsidRPr="009161D4" w:rsidRDefault="009161D4" w:rsidP="00003999">
            <w:pPr>
              <w:pStyle w:val="Standard"/>
              <w:contextualSpacing/>
              <w:jc w:val="center"/>
              <w:rPr>
                <w:rFonts w:asciiTheme="minorHAnsi" w:hAnsiTheme="minorHAnsi" w:cstheme="minorHAnsi"/>
                <w:b/>
                <w:sz w:val="22"/>
                <w:szCs w:val="22"/>
              </w:rPr>
            </w:pPr>
            <w:r w:rsidRPr="009161D4">
              <w:rPr>
                <w:rFonts w:asciiTheme="minorHAnsi" w:hAnsiTheme="minorHAnsi" w:cstheme="minorHAnsi"/>
                <w:b/>
                <w:sz w:val="22"/>
                <w:szCs w:val="22"/>
              </w:rPr>
              <w:t>Účastníkem nabízená hodnota</w:t>
            </w:r>
          </w:p>
        </w:tc>
      </w:tr>
      <w:tr w:rsidR="009161D4" w:rsidRPr="009161D4" w14:paraId="3EC8938C" w14:textId="77777777" w:rsidTr="008C138A">
        <w:tblPrEx>
          <w:jc w:val="center"/>
          <w:tblCellMar>
            <w:bottom w:w="57" w:type="dxa"/>
          </w:tblCellMar>
        </w:tblPrEx>
        <w:trPr>
          <w:trHeight w:val="389"/>
          <w:jc w:val="center"/>
        </w:trPr>
        <w:tc>
          <w:tcPr>
            <w:tcW w:w="4530" w:type="dxa"/>
            <w:gridSpan w:val="2"/>
          </w:tcPr>
          <w:p w14:paraId="1D9499AF" w14:textId="77777777" w:rsidR="009161D4" w:rsidRPr="009161D4" w:rsidRDefault="009161D4" w:rsidP="00003999">
            <w:pPr>
              <w:pStyle w:val="Standard"/>
              <w:spacing w:before="60" w:after="60"/>
              <w:contextualSpacing/>
              <w:jc w:val="both"/>
              <w:rPr>
                <w:rFonts w:asciiTheme="minorHAnsi" w:hAnsiTheme="minorHAnsi" w:cstheme="minorHAnsi"/>
                <w:bCs/>
                <w:sz w:val="22"/>
                <w:szCs w:val="22"/>
              </w:rPr>
            </w:pPr>
            <w:r w:rsidRPr="009161D4">
              <w:rPr>
                <w:rFonts w:asciiTheme="minorHAnsi" w:hAnsiTheme="minorHAnsi" w:cstheme="minorHAnsi"/>
                <w:bCs/>
                <w:sz w:val="22"/>
                <w:szCs w:val="22"/>
              </w:rPr>
              <w:t>Sběrnice</w:t>
            </w:r>
          </w:p>
        </w:tc>
        <w:tc>
          <w:tcPr>
            <w:tcW w:w="1922" w:type="dxa"/>
          </w:tcPr>
          <w:p w14:paraId="68D87E4D"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proofErr w:type="spellStart"/>
            <w:r w:rsidRPr="009161D4">
              <w:rPr>
                <w:rFonts w:asciiTheme="minorHAnsi" w:hAnsiTheme="minorHAnsi" w:cstheme="minorHAnsi"/>
                <w:sz w:val="22"/>
                <w:szCs w:val="22"/>
              </w:rPr>
              <w:t>Profinet</w:t>
            </w:r>
            <w:proofErr w:type="spellEnd"/>
            <w:r w:rsidRPr="009161D4">
              <w:rPr>
                <w:rFonts w:asciiTheme="minorHAnsi" w:hAnsiTheme="minorHAnsi" w:cstheme="minorHAnsi"/>
                <w:sz w:val="22"/>
                <w:szCs w:val="22"/>
              </w:rPr>
              <w:t>/OPC-UA</w:t>
            </w:r>
          </w:p>
        </w:tc>
        <w:tc>
          <w:tcPr>
            <w:tcW w:w="3163" w:type="dxa"/>
            <w:shd w:val="clear" w:color="auto" w:fill="auto"/>
          </w:tcPr>
          <w:p w14:paraId="547244DC"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proofErr w:type="spellStart"/>
            <w:r w:rsidRPr="009161D4">
              <w:rPr>
                <w:rFonts w:asciiTheme="minorHAnsi" w:hAnsiTheme="minorHAnsi" w:cstheme="minorHAnsi"/>
                <w:sz w:val="22"/>
                <w:szCs w:val="22"/>
              </w:rPr>
              <w:t>Profinet</w:t>
            </w:r>
            <w:proofErr w:type="spellEnd"/>
            <w:r w:rsidRPr="009161D4">
              <w:rPr>
                <w:rFonts w:asciiTheme="minorHAnsi" w:hAnsiTheme="minorHAnsi" w:cstheme="minorHAnsi"/>
                <w:sz w:val="22"/>
                <w:szCs w:val="22"/>
              </w:rPr>
              <w:t>/OPC-UA</w:t>
            </w:r>
          </w:p>
        </w:tc>
      </w:tr>
      <w:tr w:rsidR="009161D4" w:rsidRPr="009161D4" w14:paraId="3555C3CB" w14:textId="77777777" w:rsidTr="00B73BE5">
        <w:tblPrEx>
          <w:jc w:val="center"/>
          <w:tblCellMar>
            <w:bottom w:w="57" w:type="dxa"/>
          </w:tblCellMar>
        </w:tblPrEx>
        <w:trPr>
          <w:trHeight w:val="545"/>
          <w:jc w:val="center"/>
        </w:trPr>
        <w:tc>
          <w:tcPr>
            <w:tcW w:w="4530" w:type="dxa"/>
            <w:gridSpan w:val="2"/>
          </w:tcPr>
          <w:p w14:paraId="2FD143B8" w14:textId="77777777" w:rsidR="009161D4" w:rsidRPr="009161D4" w:rsidRDefault="009161D4" w:rsidP="00003999">
            <w:pPr>
              <w:pStyle w:val="Standard"/>
              <w:spacing w:before="60" w:after="60"/>
              <w:contextualSpacing/>
              <w:jc w:val="both"/>
              <w:rPr>
                <w:rFonts w:asciiTheme="minorHAnsi" w:hAnsiTheme="minorHAnsi" w:cstheme="minorHAnsi"/>
                <w:bCs/>
                <w:sz w:val="22"/>
                <w:szCs w:val="22"/>
              </w:rPr>
            </w:pPr>
            <w:r w:rsidRPr="009161D4">
              <w:rPr>
                <w:rFonts w:asciiTheme="minorHAnsi" w:hAnsiTheme="minorHAnsi" w:cstheme="minorHAnsi"/>
                <w:bCs/>
                <w:sz w:val="22"/>
                <w:szCs w:val="22"/>
              </w:rPr>
              <w:t>Měření napětí</w:t>
            </w:r>
          </w:p>
        </w:tc>
        <w:tc>
          <w:tcPr>
            <w:tcW w:w="1922" w:type="dxa"/>
          </w:tcPr>
          <w:p w14:paraId="0A1FA5DD"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 xml:space="preserve">Do </w:t>
            </w:r>
            <w:proofErr w:type="gramStart"/>
            <w:r w:rsidRPr="009161D4">
              <w:rPr>
                <w:rFonts w:asciiTheme="minorHAnsi" w:hAnsiTheme="minorHAnsi" w:cstheme="minorHAnsi"/>
                <w:sz w:val="22"/>
                <w:szCs w:val="22"/>
              </w:rPr>
              <w:t>600V</w:t>
            </w:r>
            <w:proofErr w:type="gramEnd"/>
            <w:r w:rsidRPr="009161D4">
              <w:rPr>
                <w:rFonts w:asciiTheme="minorHAnsi" w:hAnsiTheme="minorHAnsi" w:cstheme="minorHAnsi"/>
                <w:sz w:val="22"/>
                <w:szCs w:val="22"/>
              </w:rPr>
              <w:t xml:space="preserve"> AC</w:t>
            </w:r>
          </w:p>
        </w:tc>
        <w:tc>
          <w:tcPr>
            <w:tcW w:w="3163" w:type="dxa"/>
            <w:shd w:val="clear" w:color="auto" w:fill="auto"/>
          </w:tcPr>
          <w:p w14:paraId="7B2AD5B7"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 xml:space="preserve">Do </w:t>
            </w:r>
            <w:proofErr w:type="gramStart"/>
            <w:r w:rsidRPr="009161D4">
              <w:rPr>
                <w:rFonts w:asciiTheme="minorHAnsi" w:hAnsiTheme="minorHAnsi" w:cstheme="minorHAnsi"/>
                <w:sz w:val="22"/>
                <w:szCs w:val="22"/>
              </w:rPr>
              <w:t>600V</w:t>
            </w:r>
            <w:proofErr w:type="gramEnd"/>
            <w:r w:rsidRPr="009161D4">
              <w:rPr>
                <w:rFonts w:asciiTheme="minorHAnsi" w:hAnsiTheme="minorHAnsi" w:cstheme="minorHAnsi"/>
                <w:sz w:val="22"/>
                <w:szCs w:val="22"/>
              </w:rPr>
              <w:t xml:space="preserve"> AC</w:t>
            </w:r>
          </w:p>
        </w:tc>
      </w:tr>
      <w:tr w:rsidR="009161D4" w:rsidRPr="009161D4" w14:paraId="3EDFE711" w14:textId="77777777" w:rsidTr="00B73BE5">
        <w:tblPrEx>
          <w:jc w:val="center"/>
          <w:tblCellMar>
            <w:bottom w:w="57" w:type="dxa"/>
          </w:tblCellMar>
        </w:tblPrEx>
        <w:trPr>
          <w:trHeight w:val="564"/>
          <w:jc w:val="center"/>
        </w:trPr>
        <w:tc>
          <w:tcPr>
            <w:tcW w:w="4530" w:type="dxa"/>
            <w:gridSpan w:val="2"/>
          </w:tcPr>
          <w:p w14:paraId="36451565"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r w:rsidRPr="009161D4">
              <w:rPr>
                <w:rFonts w:asciiTheme="minorHAnsi" w:hAnsiTheme="minorHAnsi" w:cstheme="minorHAnsi"/>
                <w:color w:val="auto"/>
                <w:sz w:val="22"/>
                <w:szCs w:val="22"/>
              </w:rPr>
              <w:t>Měření proudu</w:t>
            </w:r>
          </w:p>
        </w:tc>
        <w:tc>
          <w:tcPr>
            <w:tcW w:w="1922" w:type="dxa"/>
          </w:tcPr>
          <w:p w14:paraId="13528495"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color w:val="auto"/>
                <w:sz w:val="22"/>
                <w:szCs w:val="22"/>
              </w:rPr>
              <w:t xml:space="preserve">Do </w:t>
            </w:r>
            <w:proofErr w:type="gramStart"/>
            <w:r w:rsidRPr="009161D4">
              <w:rPr>
                <w:rFonts w:asciiTheme="minorHAnsi" w:hAnsiTheme="minorHAnsi" w:cstheme="minorHAnsi"/>
                <w:color w:val="auto"/>
                <w:sz w:val="22"/>
                <w:szCs w:val="22"/>
              </w:rPr>
              <w:t>40A</w:t>
            </w:r>
            <w:proofErr w:type="gramEnd"/>
          </w:p>
        </w:tc>
        <w:tc>
          <w:tcPr>
            <w:tcW w:w="3163" w:type="dxa"/>
            <w:shd w:val="clear" w:color="auto" w:fill="auto"/>
          </w:tcPr>
          <w:p w14:paraId="5FB50724"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color w:val="auto"/>
                <w:sz w:val="22"/>
                <w:szCs w:val="22"/>
              </w:rPr>
              <w:t xml:space="preserve">Do </w:t>
            </w:r>
            <w:proofErr w:type="gramStart"/>
            <w:r w:rsidRPr="009161D4">
              <w:rPr>
                <w:rFonts w:asciiTheme="minorHAnsi" w:hAnsiTheme="minorHAnsi" w:cstheme="minorHAnsi"/>
                <w:color w:val="auto"/>
                <w:sz w:val="22"/>
                <w:szCs w:val="22"/>
              </w:rPr>
              <w:t>40A</w:t>
            </w:r>
            <w:proofErr w:type="gramEnd"/>
          </w:p>
        </w:tc>
      </w:tr>
      <w:tr w:rsidR="009161D4" w:rsidRPr="009161D4" w14:paraId="4C8CF718" w14:textId="77777777" w:rsidTr="00B73BE5">
        <w:tblPrEx>
          <w:jc w:val="center"/>
          <w:tblCellMar>
            <w:bottom w:w="57" w:type="dxa"/>
          </w:tblCellMar>
        </w:tblPrEx>
        <w:trPr>
          <w:trHeight w:val="712"/>
          <w:jc w:val="center"/>
        </w:trPr>
        <w:tc>
          <w:tcPr>
            <w:tcW w:w="4530" w:type="dxa"/>
            <w:gridSpan w:val="2"/>
          </w:tcPr>
          <w:p w14:paraId="2EB03BBD"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r w:rsidRPr="009161D4">
              <w:rPr>
                <w:rFonts w:asciiTheme="minorHAnsi" w:hAnsiTheme="minorHAnsi" w:cstheme="minorHAnsi"/>
                <w:sz w:val="22"/>
                <w:szCs w:val="22"/>
              </w:rPr>
              <w:t>Základní zpracování dat – výpočet příkonu apod.</w:t>
            </w:r>
          </w:p>
        </w:tc>
        <w:tc>
          <w:tcPr>
            <w:tcW w:w="1922" w:type="dxa"/>
          </w:tcPr>
          <w:p w14:paraId="39F07CDB"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color w:val="auto"/>
                <w:sz w:val="22"/>
                <w:szCs w:val="22"/>
              </w:rPr>
              <w:t>Ano</w:t>
            </w:r>
          </w:p>
        </w:tc>
        <w:tc>
          <w:tcPr>
            <w:tcW w:w="3163" w:type="dxa"/>
            <w:shd w:val="clear" w:color="auto" w:fill="auto"/>
          </w:tcPr>
          <w:p w14:paraId="59F2A411"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color w:val="auto"/>
                <w:sz w:val="22"/>
                <w:szCs w:val="22"/>
              </w:rPr>
              <w:t>Ano</w:t>
            </w:r>
          </w:p>
        </w:tc>
      </w:tr>
      <w:tr w:rsidR="009161D4" w:rsidRPr="009161D4" w14:paraId="78033892" w14:textId="77777777" w:rsidTr="00B73BE5">
        <w:tblPrEx>
          <w:jc w:val="center"/>
          <w:tblCellMar>
            <w:bottom w:w="57" w:type="dxa"/>
          </w:tblCellMar>
        </w:tblPrEx>
        <w:trPr>
          <w:trHeight w:val="656"/>
          <w:jc w:val="center"/>
        </w:trPr>
        <w:tc>
          <w:tcPr>
            <w:tcW w:w="4530" w:type="dxa"/>
            <w:gridSpan w:val="2"/>
          </w:tcPr>
          <w:p w14:paraId="56F0222B"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r w:rsidRPr="009161D4">
              <w:rPr>
                <w:rFonts w:asciiTheme="minorHAnsi" w:hAnsiTheme="minorHAnsi" w:cstheme="minorHAnsi"/>
                <w:color w:val="auto"/>
                <w:sz w:val="22"/>
                <w:szCs w:val="22"/>
              </w:rPr>
              <w:t>Vyrovnávací paměť pro měření a zasílání přes sběrnici</w:t>
            </w:r>
          </w:p>
        </w:tc>
        <w:tc>
          <w:tcPr>
            <w:tcW w:w="1922" w:type="dxa"/>
          </w:tcPr>
          <w:p w14:paraId="555BAC47"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color w:val="auto"/>
                <w:sz w:val="22"/>
                <w:szCs w:val="22"/>
              </w:rPr>
              <w:t>Ano</w:t>
            </w:r>
          </w:p>
        </w:tc>
        <w:tc>
          <w:tcPr>
            <w:tcW w:w="3163" w:type="dxa"/>
            <w:shd w:val="clear" w:color="auto" w:fill="auto"/>
          </w:tcPr>
          <w:p w14:paraId="38ED05C5"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color w:val="auto"/>
                <w:sz w:val="22"/>
                <w:szCs w:val="22"/>
              </w:rPr>
              <w:t>Ano</w:t>
            </w:r>
          </w:p>
        </w:tc>
      </w:tr>
      <w:tr w:rsidR="009161D4" w:rsidRPr="009161D4" w14:paraId="04A56CB1" w14:textId="77777777" w:rsidTr="008C138A">
        <w:tblPrEx>
          <w:jc w:val="center"/>
          <w:tblCellMar>
            <w:bottom w:w="57" w:type="dxa"/>
          </w:tblCellMar>
        </w:tblPrEx>
        <w:trPr>
          <w:trHeight w:val="539"/>
          <w:jc w:val="center"/>
        </w:trPr>
        <w:tc>
          <w:tcPr>
            <w:tcW w:w="9615" w:type="dxa"/>
            <w:gridSpan w:val="4"/>
            <w:shd w:val="clear" w:color="auto" w:fill="auto"/>
          </w:tcPr>
          <w:p w14:paraId="2E9E295C" w14:textId="77777777" w:rsidR="009161D4" w:rsidRPr="009161D4" w:rsidRDefault="009161D4" w:rsidP="009161D4">
            <w:pPr>
              <w:pStyle w:val="Standard"/>
              <w:spacing w:before="60"/>
              <w:contextualSpacing/>
              <w:jc w:val="center"/>
              <w:rPr>
                <w:rFonts w:asciiTheme="minorHAnsi" w:hAnsiTheme="minorHAnsi" w:cstheme="minorHAnsi"/>
                <w:b/>
                <w:sz w:val="22"/>
                <w:szCs w:val="22"/>
              </w:rPr>
            </w:pPr>
            <w:r w:rsidRPr="009161D4">
              <w:rPr>
                <w:rFonts w:asciiTheme="minorHAnsi" w:hAnsiTheme="minorHAnsi" w:cstheme="minorHAnsi"/>
                <w:b/>
                <w:color w:val="auto"/>
                <w:sz w:val="22"/>
                <w:szCs w:val="22"/>
              </w:rPr>
              <w:lastRenderedPageBreak/>
              <w:t>Výbava</w:t>
            </w:r>
          </w:p>
        </w:tc>
      </w:tr>
      <w:tr w:rsidR="009161D4" w:rsidRPr="009161D4" w14:paraId="5FB16DE4" w14:textId="77777777" w:rsidTr="00B73BE5">
        <w:tblPrEx>
          <w:jc w:val="center"/>
          <w:tblCellMar>
            <w:bottom w:w="57" w:type="dxa"/>
          </w:tblCellMar>
        </w:tblPrEx>
        <w:trPr>
          <w:trHeight w:val="656"/>
          <w:jc w:val="center"/>
        </w:trPr>
        <w:tc>
          <w:tcPr>
            <w:tcW w:w="4530" w:type="dxa"/>
            <w:gridSpan w:val="2"/>
          </w:tcPr>
          <w:p w14:paraId="5947739A"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 xml:space="preserve">2x SIMATIC </w:t>
            </w:r>
            <w:proofErr w:type="spellStart"/>
            <w:r w:rsidRPr="009161D4">
              <w:rPr>
                <w:rFonts w:asciiTheme="minorHAnsi" w:hAnsiTheme="minorHAnsi" w:cstheme="minorHAnsi"/>
                <w:color w:val="auto"/>
                <w:sz w:val="22"/>
                <w:szCs w:val="22"/>
              </w:rPr>
              <w:t>Energy</w:t>
            </w:r>
            <w:proofErr w:type="spellEnd"/>
            <w:r w:rsidRPr="009161D4">
              <w:rPr>
                <w:rFonts w:asciiTheme="minorHAnsi" w:hAnsiTheme="minorHAnsi" w:cstheme="minorHAnsi"/>
                <w:color w:val="auto"/>
                <w:sz w:val="22"/>
                <w:szCs w:val="22"/>
              </w:rPr>
              <w:t xml:space="preserve"> </w:t>
            </w:r>
            <w:proofErr w:type="spellStart"/>
            <w:r w:rsidRPr="009161D4">
              <w:rPr>
                <w:rFonts w:asciiTheme="minorHAnsi" w:hAnsiTheme="minorHAnsi" w:cstheme="minorHAnsi"/>
                <w:color w:val="auto"/>
                <w:sz w:val="22"/>
                <w:szCs w:val="22"/>
              </w:rPr>
              <w:t>Efficiency</w:t>
            </w:r>
            <w:proofErr w:type="spellEnd"/>
            <w:r w:rsidRPr="009161D4">
              <w:rPr>
                <w:rFonts w:asciiTheme="minorHAnsi" w:hAnsiTheme="minorHAnsi" w:cstheme="minorHAnsi"/>
                <w:color w:val="auto"/>
                <w:sz w:val="22"/>
                <w:szCs w:val="22"/>
              </w:rPr>
              <w:t xml:space="preserve"> </w:t>
            </w:r>
            <w:proofErr w:type="spellStart"/>
            <w:r w:rsidRPr="009161D4">
              <w:rPr>
                <w:rFonts w:asciiTheme="minorHAnsi" w:hAnsiTheme="minorHAnsi" w:cstheme="minorHAnsi"/>
                <w:color w:val="auto"/>
                <w:sz w:val="22"/>
                <w:szCs w:val="22"/>
              </w:rPr>
              <w:t>package</w:t>
            </w:r>
            <w:proofErr w:type="spellEnd"/>
            <w:r w:rsidRPr="009161D4">
              <w:rPr>
                <w:rFonts w:asciiTheme="minorHAnsi" w:hAnsiTheme="minorHAnsi" w:cstheme="minorHAnsi"/>
                <w:color w:val="auto"/>
                <w:sz w:val="22"/>
                <w:szCs w:val="22"/>
              </w:rPr>
              <w:t xml:space="preserve"> </w:t>
            </w:r>
          </w:p>
          <w:p w14:paraId="252AC8B8"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p>
          <w:p w14:paraId="7562F24A"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r w:rsidRPr="009161D4">
              <w:rPr>
                <w:rFonts w:asciiTheme="minorHAnsi" w:hAnsiTheme="minorHAnsi" w:cstheme="minorHAnsi"/>
                <w:color w:val="auto"/>
                <w:sz w:val="22"/>
                <w:szCs w:val="22"/>
              </w:rPr>
              <w:t>Referenční kód pro informaci (není závazný parametr): PAC 6AV6372-3DF67-1AA2</w:t>
            </w:r>
          </w:p>
        </w:tc>
        <w:tc>
          <w:tcPr>
            <w:tcW w:w="1922" w:type="dxa"/>
          </w:tcPr>
          <w:p w14:paraId="6FF5EA9B"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48362189"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2C9924FE" w14:textId="77777777" w:rsidTr="00B73BE5">
        <w:tblPrEx>
          <w:jc w:val="center"/>
          <w:tblCellMar>
            <w:bottom w:w="57" w:type="dxa"/>
          </w:tblCellMar>
        </w:tblPrEx>
        <w:trPr>
          <w:trHeight w:val="656"/>
          <w:jc w:val="center"/>
        </w:trPr>
        <w:tc>
          <w:tcPr>
            <w:tcW w:w="4530" w:type="dxa"/>
            <w:gridSpan w:val="2"/>
          </w:tcPr>
          <w:p w14:paraId="34D1BDF6"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 xml:space="preserve">2x Adapter pro DIM </w:t>
            </w:r>
            <w:proofErr w:type="spellStart"/>
            <w:r w:rsidRPr="009161D4">
              <w:rPr>
                <w:rFonts w:asciiTheme="minorHAnsi" w:hAnsiTheme="minorHAnsi" w:cstheme="minorHAnsi"/>
                <w:color w:val="auto"/>
                <w:sz w:val="22"/>
                <w:szCs w:val="22"/>
              </w:rPr>
              <w:t>rail</w:t>
            </w:r>
            <w:proofErr w:type="spellEnd"/>
            <w:r w:rsidRPr="009161D4">
              <w:rPr>
                <w:rFonts w:asciiTheme="minorHAnsi" w:hAnsiTheme="minorHAnsi" w:cstheme="minorHAnsi"/>
                <w:color w:val="auto"/>
                <w:sz w:val="22"/>
                <w:szCs w:val="22"/>
              </w:rPr>
              <w:t xml:space="preserve"> (pro montáž na standardní montážní lištu)</w:t>
            </w:r>
          </w:p>
          <w:p w14:paraId="6D71630D"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p>
          <w:p w14:paraId="31F1DE03"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r w:rsidRPr="009161D4">
              <w:rPr>
                <w:rFonts w:asciiTheme="minorHAnsi" w:hAnsiTheme="minorHAnsi" w:cstheme="minorHAnsi"/>
                <w:color w:val="auto"/>
                <w:sz w:val="22"/>
                <w:szCs w:val="22"/>
              </w:rPr>
              <w:t>Referenční kód pro informaci (není závazný parametr): 7KM9900-0XA00-0AA0</w:t>
            </w:r>
          </w:p>
        </w:tc>
        <w:tc>
          <w:tcPr>
            <w:tcW w:w="1922" w:type="dxa"/>
          </w:tcPr>
          <w:p w14:paraId="26DEEF56"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51906C57"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0F1A1998" w14:textId="77777777" w:rsidTr="00AC4C83">
        <w:tblPrEx>
          <w:jc w:val="center"/>
          <w:tblCellMar>
            <w:bottom w:w="57" w:type="dxa"/>
          </w:tblCellMar>
        </w:tblPrEx>
        <w:trPr>
          <w:trHeight w:val="1226"/>
          <w:jc w:val="center"/>
        </w:trPr>
        <w:tc>
          <w:tcPr>
            <w:tcW w:w="4530" w:type="dxa"/>
            <w:gridSpan w:val="2"/>
          </w:tcPr>
          <w:p w14:paraId="0A2CE085" w14:textId="77777777" w:rsidR="009161D4" w:rsidRPr="009161D4" w:rsidRDefault="009161D4" w:rsidP="00003999">
            <w:pPr>
              <w:pStyle w:val="Standard"/>
              <w:spacing w:before="60" w:after="60"/>
              <w:contextualSpacing/>
              <w:jc w:val="both"/>
              <w:rPr>
                <w:rFonts w:asciiTheme="minorHAnsi" w:hAnsiTheme="minorHAnsi" w:cstheme="minorHAnsi"/>
                <w:bCs/>
                <w:sz w:val="22"/>
                <w:szCs w:val="22"/>
              </w:rPr>
            </w:pPr>
            <w:bookmarkStart w:id="5" w:name="_Hlk112314598"/>
            <w:r w:rsidRPr="009161D4">
              <w:rPr>
                <w:rFonts w:asciiTheme="minorHAnsi" w:hAnsiTheme="minorHAnsi" w:cstheme="minorHAnsi"/>
                <w:bCs/>
                <w:sz w:val="22"/>
                <w:szCs w:val="22"/>
              </w:rPr>
              <w:t xml:space="preserve">10x DIN </w:t>
            </w:r>
            <w:proofErr w:type="spellStart"/>
            <w:r w:rsidRPr="009161D4">
              <w:rPr>
                <w:rFonts w:asciiTheme="minorHAnsi" w:hAnsiTheme="minorHAnsi" w:cstheme="minorHAnsi"/>
                <w:bCs/>
                <w:sz w:val="22"/>
                <w:szCs w:val="22"/>
              </w:rPr>
              <w:t>rail</w:t>
            </w:r>
            <w:proofErr w:type="spellEnd"/>
            <w:r w:rsidRPr="009161D4">
              <w:rPr>
                <w:rFonts w:asciiTheme="minorHAnsi" w:hAnsiTheme="minorHAnsi" w:cstheme="minorHAnsi"/>
                <w:bCs/>
                <w:sz w:val="22"/>
                <w:szCs w:val="22"/>
              </w:rPr>
              <w:t xml:space="preserve"> 35 mm, délka: 483 mm, pro 19" rozvaděč</w:t>
            </w:r>
          </w:p>
          <w:p w14:paraId="76AE034A" w14:textId="77777777" w:rsidR="009161D4" w:rsidRPr="009161D4" w:rsidRDefault="009161D4" w:rsidP="00003999">
            <w:pPr>
              <w:pStyle w:val="Standard"/>
              <w:spacing w:before="60" w:after="60"/>
              <w:contextualSpacing/>
              <w:jc w:val="both"/>
              <w:rPr>
                <w:rFonts w:asciiTheme="minorHAnsi" w:hAnsiTheme="minorHAnsi" w:cstheme="minorHAnsi"/>
                <w:bCs/>
                <w:sz w:val="22"/>
                <w:szCs w:val="22"/>
              </w:rPr>
            </w:pPr>
          </w:p>
          <w:p w14:paraId="0CC117D6" w14:textId="2D1BCD76" w:rsidR="009161D4" w:rsidRPr="009161D4" w:rsidRDefault="009161D4" w:rsidP="00003999">
            <w:pPr>
              <w:pStyle w:val="Standard"/>
              <w:spacing w:before="60" w:after="60"/>
              <w:contextualSpacing/>
              <w:jc w:val="both"/>
              <w:rPr>
                <w:rFonts w:asciiTheme="minorHAnsi" w:hAnsiTheme="minorHAnsi" w:cstheme="minorHAnsi"/>
                <w:bCs/>
                <w:sz w:val="22"/>
                <w:szCs w:val="22"/>
              </w:rPr>
            </w:pPr>
            <w:r w:rsidRPr="009161D4">
              <w:rPr>
                <w:rFonts w:asciiTheme="minorHAnsi" w:hAnsiTheme="minorHAnsi" w:cstheme="minorHAnsi"/>
                <w:color w:val="auto"/>
                <w:sz w:val="22"/>
                <w:szCs w:val="22"/>
              </w:rPr>
              <w:t xml:space="preserve">Referenční kód pro informaci (není závazný parametr): </w:t>
            </w:r>
            <w:bookmarkEnd w:id="5"/>
            <w:r w:rsidRPr="009161D4">
              <w:rPr>
                <w:rFonts w:asciiTheme="minorHAnsi" w:hAnsiTheme="minorHAnsi" w:cstheme="minorHAnsi"/>
                <w:color w:val="auto"/>
                <w:sz w:val="22"/>
                <w:szCs w:val="22"/>
              </w:rPr>
              <w:t>6ES5710-8MA11</w:t>
            </w:r>
          </w:p>
        </w:tc>
        <w:tc>
          <w:tcPr>
            <w:tcW w:w="1922" w:type="dxa"/>
          </w:tcPr>
          <w:p w14:paraId="66BC1A39"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5946E05C"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29000448" w14:textId="77777777" w:rsidTr="00B73BE5">
        <w:tblPrEx>
          <w:jc w:val="center"/>
          <w:tblCellMar>
            <w:bottom w:w="57" w:type="dxa"/>
          </w:tblCellMar>
        </w:tblPrEx>
        <w:trPr>
          <w:trHeight w:val="656"/>
          <w:jc w:val="center"/>
        </w:trPr>
        <w:tc>
          <w:tcPr>
            <w:tcW w:w="4530" w:type="dxa"/>
            <w:gridSpan w:val="2"/>
          </w:tcPr>
          <w:p w14:paraId="77548C78"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 xml:space="preserve">10x SITOP PSU300S, </w:t>
            </w:r>
            <w:proofErr w:type="gramStart"/>
            <w:r w:rsidRPr="009161D4">
              <w:rPr>
                <w:rFonts w:asciiTheme="minorHAnsi" w:hAnsiTheme="minorHAnsi" w:cstheme="minorHAnsi"/>
                <w:color w:val="auto"/>
                <w:sz w:val="22"/>
                <w:szCs w:val="22"/>
              </w:rPr>
              <w:t>3-phase</w:t>
            </w:r>
            <w:proofErr w:type="gramEnd"/>
            <w:r w:rsidRPr="009161D4">
              <w:rPr>
                <w:rFonts w:asciiTheme="minorHAnsi" w:hAnsiTheme="minorHAnsi" w:cstheme="minorHAnsi"/>
                <w:color w:val="auto"/>
                <w:sz w:val="22"/>
                <w:szCs w:val="22"/>
              </w:rPr>
              <w:t xml:space="preserve">, 24 V DC/5 </w:t>
            </w:r>
          </w:p>
          <w:p w14:paraId="019DD6E7"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p>
          <w:p w14:paraId="1F4A0069" w14:textId="77777777" w:rsidR="009161D4" w:rsidRPr="009161D4" w:rsidRDefault="009161D4" w:rsidP="00003999">
            <w:pPr>
              <w:pStyle w:val="Standard"/>
              <w:spacing w:before="60" w:after="60"/>
              <w:contextualSpacing/>
              <w:jc w:val="both"/>
              <w:rPr>
                <w:rFonts w:asciiTheme="minorHAnsi" w:hAnsiTheme="minorHAnsi" w:cstheme="minorHAnsi"/>
                <w:b/>
                <w:bCs/>
                <w:sz w:val="22"/>
                <w:szCs w:val="22"/>
              </w:rPr>
            </w:pPr>
            <w:r w:rsidRPr="009161D4">
              <w:rPr>
                <w:rFonts w:asciiTheme="minorHAnsi" w:hAnsiTheme="minorHAnsi" w:cstheme="minorHAnsi"/>
                <w:color w:val="auto"/>
                <w:sz w:val="22"/>
                <w:szCs w:val="22"/>
              </w:rPr>
              <w:t>Referenční kód pro informaci (není závazný parametr): 6EP1433-2BA20</w:t>
            </w:r>
          </w:p>
        </w:tc>
        <w:tc>
          <w:tcPr>
            <w:tcW w:w="1922" w:type="dxa"/>
          </w:tcPr>
          <w:p w14:paraId="74FE813A"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62B0858B"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6174D437" w14:textId="77777777" w:rsidTr="00B73BE5">
        <w:tblPrEx>
          <w:jc w:val="center"/>
          <w:tblCellMar>
            <w:bottom w:w="57" w:type="dxa"/>
          </w:tblCellMar>
        </w:tblPrEx>
        <w:trPr>
          <w:trHeight w:val="656"/>
          <w:jc w:val="center"/>
        </w:trPr>
        <w:tc>
          <w:tcPr>
            <w:tcW w:w="4530" w:type="dxa"/>
            <w:gridSpan w:val="2"/>
          </w:tcPr>
          <w:p w14:paraId="00B10F62"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r w:rsidRPr="009161D4">
              <w:rPr>
                <w:rFonts w:asciiTheme="minorHAnsi" w:hAnsiTheme="minorHAnsi" w:cstheme="minorHAnsi"/>
                <w:sz w:val="22"/>
                <w:szCs w:val="22"/>
              </w:rPr>
              <w:t xml:space="preserve">8x AI </w:t>
            </w:r>
            <w:proofErr w:type="spellStart"/>
            <w:r w:rsidRPr="009161D4">
              <w:rPr>
                <w:rFonts w:asciiTheme="minorHAnsi" w:hAnsiTheme="minorHAnsi" w:cstheme="minorHAnsi"/>
                <w:sz w:val="22"/>
                <w:szCs w:val="22"/>
              </w:rPr>
              <w:t>Energy</w:t>
            </w:r>
            <w:proofErr w:type="spellEnd"/>
            <w:r w:rsidRPr="009161D4">
              <w:rPr>
                <w:rFonts w:asciiTheme="minorHAnsi" w:hAnsiTheme="minorHAnsi" w:cstheme="minorHAnsi"/>
                <w:sz w:val="22"/>
                <w:szCs w:val="22"/>
              </w:rPr>
              <w:t xml:space="preserve"> Meter 480VAC/CT HF </w:t>
            </w:r>
          </w:p>
          <w:p w14:paraId="783715A9"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p>
          <w:p w14:paraId="7446EFC3"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r w:rsidRPr="009161D4">
              <w:rPr>
                <w:rFonts w:asciiTheme="minorHAnsi" w:hAnsiTheme="minorHAnsi" w:cstheme="minorHAnsi"/>
                <w:color w:val="auto"/>
                <w:sz w:val="22"/>
                <w:szCs w:val="22"/>
              </w:rPr>
              <w:t>Referenční kód pro informaci (není závazný parametr):</w:t>
            </w:r>
            <w:r w:rsidRPr="009161D4">
              <w:rPr>
                <w:rFonts w:asciiTheme="minorHAnsi" w:hAnsiTheme="minorHAnsi" w:cstheme="minorHAnsi"/>
                <w:sz w:val="22"/>
                <w:szCs w:val="22"/>
              </w:rPr>
              <w:t xml:space="preserve"> 6ES7134-6PA01-0CU0</w:t>
            </w:r>
          </w:p>
        </w:tc>
        <w:tc>
          <w:tcPr>
            <w:tcW w:w="1922" w:type="dxa"/>
          </w:tcPr>
          <w:p w14:paraId="6068FBB5"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368D2FF0"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430B9C6A" w14:textId="77777777" w:rsidTr="00B73BE5">
        <w:tblPrEx>
          <w:jc w:val="center"/>
          <w:tblCellMar>
            <w:bottom w:w="57" w:type="dxa"/>
          </w:tblCellMar>
        </w:tblPrEx>
        <w:trPr>
          <w:trHeight w:val="656"/>
          <w:jc w:val="center"/>
        </w:trPr>
        <w:tc>
          <w:tcPr>
            <w:tcW w:w="4530" w:type="dxa"/>
            <w:gridSpan w:val="2"/>
          </w:tcPr>
          <w:p w14:paraId="59FE2D80"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bookmarkStart w:id="6" w:name="_Hlk112163366"/>
            <w:r w:rsidRPr="009161D4">
              <w:rPr>
                <w:rFonts w:asciiTheme="minorHAnsi" w:hAnsiTheme="minorHAnsi" w:cstheme="minorHAnsi"/>
                <w:sz w:val="22"/>
                <w:szCs w:val="22"/>
              </w:rPr>
              <w:t xml:space="preserve">8x AI </w:t>
            </w:r>
            <w:proofErr w:type="spellStart"/>
            <w:r w:rsidRPr="009161D4">
              <w:rPr>
                <w:rFonts w:asciiTheme="minorHAnsi" w:hAnsiTheme="minorHAnsi" w:cstheme="minorHAnsi"/>
                <w:sz w:val="22"/>
                <w:szCs w:val="22"/>
              </w:rPr>
              <w:t>Energy</w:t>
            </w:r>
            <w:proofErr w:type="spellEnd"/>
            <w:r w:rsidRPr="009161D4">
              <w:rPr>
                <w:rFonts w:asciiTheme="minorHAnsi" w:hAnsiTheme="minorHAnsi" w:cstheme="minorHAnsi"/>
                <w:sz w:val="22"/>
                <w:szCs w:val="22"/>
              </w:rPr>
              <w:t xml:space="preserve"> Meter 480VAC ST </w:t>
            </w:r>
          </w:p>
          <w:p w14:paraId="07247A72"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p>
          <w:p w14:paraId="1D7A0CF5" w14:textId="144AD149" w:rsidR="009161D4" w:rsidRPr="009161D4" w:rsidRDefault="009161D4" w:rsidP="00003999">
            <w:pPr>
              <w:pStyle w:val="Standard"/>
              <w:spacing w:before="60" w:after="60"/>
              <w:contextualSpacing/>
              <w:jc w:val="both"/>
              <w:rPr>
                <w:rFonts w:asciiTheme="minorHAnsi" w:hAnsiTheme="minorHAnsi" w:cstheme="minorHAnsi"/>
                <w:sz w:val="22"/>
                <w:szCs w:val="22"/>
              </w:rPr>
            </w:pPr>
            <w:r w:rsidRPr="009161D4">
              <w:rPr>
                <w:rFonts w:asciiTheme="minorHAnsi" w:hAnsiTheme="minorHAnsi" w:cstheme="minorHAnsi"/>
                <w:color w:val="auto"/>
                <w:sz w:val="22"/>
                <w:szCs w:val="22"/>
              </w:rPr>
              <w:t xml:space="preserve">Referenční kód pro informaci (není závazný parametr): </w:t>
            </w:r>
            <w:r w:rsidRPr="009161D4">
              <w:rPr>
                <w:rFonts w:asciiTheme="minorHAnsi" w:hAnsiTheme="minorHAnsi" w:cstheme="minorHAnsi"/>
                <w:sz w:val="22"/>
                <w:szCs w:val="22"/>
              </w:rPr>
              <w:t>6ES7134-6PA20-0BD0</w:t>
            </w:r>
            <w:bookmarkEnd w:id="6"/>
          </w:p>
        </w:tc>
        <w:tc>
          <w:tcPr>
            <w:tcW w:w="1922" w:type="dxa"/>
          </w:tcPr>
          <w:p w14:paraId="6E4FC68D"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05810E3B"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667DF1C7" w14:textId="77777777" w:rsidTr="00506466">
        <w:tblPrEx>
          <w:jc w:val="center"/>
          <w:tblCellMar>
            <w:bottom w:w="57" w:type="dxa"/>
          </w:tblCellMar>
        </w:tblPrEx>
        <w:trPr>
          <w:trHeight w:val="547"/>
          <w:jc w:val="center"/>
        </w:trPr>
        <w:tc>
          <w:tcPr>
            <w:tcW w:w="4530" w:type="dxa"/>
            <w:gridSpan w:val="2"/>
          </w:tcPr>
          <w:p w14:paraId="2F7C6414" w14:textId="37EBC709" w:rsidR="009161D4" w:rsidRPr="009161D4" w:rsidRDefault="009161D4" w:rsidP="00003999">
            <w:pPr>
              <w:pStyle w:val="Standard"/>
              <w:spacing w:before="60" w:after="60"/>
              <w:contextualSpacing/>
              <w:jc w:val="both"/>
              <w:rPr>
                <w:rFonts w:asciiTheme="minorHAnsi" w:hAnsiTheme="minorHAnsi" w:cstheme="minorHAnsi"/>
                <w:sz w:val="22"/>
                <w:szCs w:val="22"/>
              </w:rPr>
            </w:pPr>
            <w:bookmarkStart w:id="7" w:name="_Hlk112314831"/>
            <w:r w:rsidRPr="009161D4">
              <w:rPr>
                <w:rFonts w:asciiTheme="minorHAnsi" w:hAnsiTheme="minorHAnsi" w:cstheme="minorHAnsi"/>
                <w:sz w:val="22"/>
                <w:szCs w:val="22"/>
              </w:rPr>
              <w:t>Základní jednotky pro všechny karty</w:t>
            </w:r>
            <w:bookmarkEnd w:id="7"/>
          </w:p>
        </w:tc>
        <w:tc>
          <w:tcPr>
            <w:tcW w:w="1922" w:type="dxa"/>
          </w:tcPr>
          <w:p w14:paraId="52181760"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01459BFD"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4595507E" w14:textId="77777777" w:rsidTr="00B73BE5">
        <w:tblPrEx>
          <w:jc w:val="center"/>
          <w:tblCellMar>
            <w:bottom w:w="57" w:type="dxa"/>
          </w:tblCellMar>
        </w:tblPrEx>
        <w:trPr>
          <w:trHeight w:val="656"/>
          <w:jc w:val="center"/>
        </w:trPr>
        <w:tc>
          <w:tcPr>
            <w:tcW w:w="4530" w:type="dxa"/>
            <w:gridSpan w:val="2"/>
          </w:tcPr>
          <w:p w14:paraId="08B15A55"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 xml:space="preserve">25x </w:t>
            </w:r>
            <w:proofErr w:type="spellStart"/>
            <w:r w:rsidRPr="009161D4">
              <w:rPr>
                <w:rFonts w:asciiTheme="minorHAnsi" w:hAnsiTheme="minorHAnsi" w:cstheme="minorHAnsi"/>
                <w:color w:val="auto"/>
                <w:sz w:val="22"/>
                <w:szCs w:val="22"/>
              </w:rPr>
              <w:t>Current</w:t>
            </w:r>
            <w:proofErr w:type="spellEnd"/>
            <w:r w:rsidRPr="009161D4">
              <w:rPr>
                <w:rFonts w:asciiTheme="minorHAnsi" w:hAnsiTheme="minorHAnsi" w:cstheme="minorHAnsi"/>
                <w:color w:val="auto"/>
                <w:sz w:val="22"/>
                <w:szCs w:val="22"/>
              </w:rPr>
              <w:t xml:space="preserve"> </w:t>
            </w:r>
            <w:proofErr w:type="spellStart"/>
            <w:r w:rsidRPr="009161D4">
              <w:rPr>
                <w:rFonts w:asciiTheme="minorHAnsi" w:hAnsiTheme="minorHAnsi" w:cstheme="minorHAnsi"/>
                <w:color w:val="auto"/>
                <w:sz w:val="22"/>
                <w:szCs w:val="22"/>
              </w:rPr>
              <w:t>transformer</w:t>
            </w:r>
            <w:proofErr w:type="spellEnd"/>
            <w:r w:rsidRPr="009161D4">
              <w:rPr>
                <w:rFonts w:asciiTheme="minorHAnsi" w:hAnsiTheme="minorHAnsi" w:cstheme="minorHAnsi"/>
                <w:color w:val="auto"/>
                <w:sz w:val="22"/>
                <w:szCs w:val="22"/>
              </w:rPr>
              <w:t xml:space="preserve"> 400/</w:t>
            </w:r>
            <w:proofErr w:type="gramStart"/>
            <w:r w:rsidRPr="009161D4">
              <w:rPr>
                <w:rFonts w:asciiTheme="minorHAnsi" w:hAnsiTheme="minorHAnsi" w:cstheme="minorHAnsi"/>
                <w:color w:val="auto"/>
                <w:sz w:val="22"/>
                <w:szCs w:val="22"/>
              </w:rPr>
              <w:t>5A</w:t>
            </w:r>
            <w:proofErr w:type="gramEnd"/>
            <w:r w:rsidRPr="009161D4">
              <w:rPr>
                <w:rFonts w:asciiTheme="minorHAnsi" w:hAnsiTheme="minorHAnsi" w:cstheme="minorHAnsi"/>
                <w:color w:val="auto"/>
                <w:sz w:val="22"/>
                <w:szCs w:val="22"/>
              </w:rPr>
              <w:t xml:space="preserve"> 5 VA </w:t>
            </w:r>
          </w:p>
          <w:p w14:paraId="16E31133"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p>
          <w:p w14:paraId="20178C59" w14:textId="77777777" w:rsidR="009161D4" w:rsidRPr="009161D4" w:rsidRDefault="009161D4" w:rsidP="00003999">
            <w:pPr>
              <w:pStyle w:val="Standard"/>
              <w:spacing w:before="60" w:after="60"/>
              <w:contextualSpacing/>
              <w:jc w:val="both"/>
              <w:rPr>
                <w:rFonts w:asciiTheme="minorHAnsi" w:hAnsiTheme="minorHAnsi" w:cstheme="minorHAnsi"/>
                <w:sz w:val="22"/>
                <w:szCs w:val="22"/>
              </w:rPr>
            </w:pPr>
            <w:r w:rsidRPr="009161D4">
              <w:rPr>
                <w:rFonts w:asciiTheme="minorHAnsi" w:hAnsiTheme="minorHAnsi" w:cstheme="minorHAnsi"/>
                <w:color w:val="auto"/>
                <w:sz w:val="22"/>
                <w:szCs w:val="22"/>
              </w:rPr>
              <w:t>Referenční kód pro informaci (není závazný parametr): 3NJ6940-3BJ21</w:t>
            </w:r>
          </w:p>
        </w:tc>
        <w:tc>
          <w:tcPr>
            <w:tcW w:w="1922" w:type="dxa"/>
          </w:tcPr>
          <w:p w14:paraId="426FFC5D"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5D3140F1"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236997F4" w14:textId="77777777" w:rsidTr="00AC4C83">
        <w:tblPrEx>
          <w:jc w:val="center"/>
          <w:tblCellMar>
            <w:bottom w:w="57" w:type="dxa"/>
          </w:tblCellMar>
        </w:tblPrEx>
        <w:trPr>
          <w:trHeight w:val="556"/>
          <w:jc w:val="center"/>
        </w:trPr>
        <w:tc>
          <w:tcPr>
            <w:tcW w:w="4530" w:type="dxa"/>
            <w:gridSpan w:val="2"/>
          </w:tcPr>
          <w:p w14:paraId="0C3DBDAE"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 xml:space="preserve">1x CPU 1515SP PC2 TF+HMI 512PT – open </w:t>
            </w:r>
            <w:proofErr w:type="spellStart"/>
            <w:r w:rsidRPr="009161D4">
              <w:rPr>
                <w:rFonts w:asciiTheme="minorHAnsi" w:hAnsiTheme="minorHAnsi" w:cstheme="minorHAnsi"/>
                <w:color w:val="auto"/>
                <w:sz w:val="22"/>
                <w:szCs w:val="22"/>
              </w:rPr>
              <w:t>controller</w:t>
            </w:r>
            <w:proofErr w:type="spellEnd"/>
          </w:p>
        </w:tc>
        <w:tc>
          <w:tcPr>
            <w:tcW w:w="1922" w:type="dxa"/>
          </w:tcPr>
          <w:p w14:paraId="37A26FC3"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6DA6647A"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46C8EDB9" w14:textId="77777777" w:rsidTr="00B73BE5">
        <w:tblPrEx>
          <w:jc w:val="center"/>
          <w:tblCellMar>
            <w:bottom w:w="57" w:type="dxa"/>
          </w:tblCellMar>
        </w:tblPrEx>
        <w:trPr>
          <w:trHeight w:val="656"/>
          <w:jc w:val="center"/>
        </w:trPr>
        <w:tc>
          <w:tcPr>
            <w:tcW w:w="4530" w:type="dxa"/>
            <w:gridSpan w:val="2"/>
          </w:tcPr>
          <w:p w14:paraId="24F73A64"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1x OPC UA S7-1500</w:t>
            </w:r>
          </w:p>
          <w:p w14:paraId="3B87E47F"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p>
          <w:p w14:paraId="6755B1A1"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Referenční kód pro informaci (není závazný parametr): 6ES7823-0BA00-1BA0</w:t>
            </w:r>
          </w:p>
        </w:tc>
        <w:tc>
          <w:tcPr>
            <w:tcW w:w="1922" w:type="dxa"/>
          </w:tcPr>
          <w:p w14:paraId="5D8C50FE"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6B0C0281"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6F42D1FC" w14:textId="77777777" w:rsidTr="00B73BE5">
        <w:tblPrEx>
          <w:jc w:val="center"/>
          <w:tblCellMar>
            <w:bottom w:w="57" w:type="dxa"/>
          </w:tblCellMar>
        </w:tblPrEx>
        <w:trPr>
          <w:trHeight w:val="364"/>
          <w:jc w:val="center"/>
        </w:trPr>
        <w:tc>
          <w:tcPr>
            <w:tcW w:w="4530" w:type="dxa"/>
            <w:gridSpan w:val="2"/>
          </w:tcPr>
          <w:p w14:paraId="3C1F9C9E" w14:textId="10438F76" w:rsidR="009161D4" w:rsidRDefault="009161D4" w:rsidP="00003999">
            <w:pPr>
              <w:pStyle w:val="Standard"/>
              <w:spacing w:before="60" w:after="60"/>
              <w:contextualSpacing/>
              <w:jc w:val="both"/>
              <w:rPr>
                <w:rFonts w:asciiTheme="minorHAnsi" w:hAnsiTheme="minorHAnsi" w:cstheme="minorHAnsi"/>
                <w:color w:val="auto"/>
                <w:sz w:val="22"/>
                <w:szCs w:val="22"/>
              </w:rPr>
            </w:pPr>
            <w:bookmarkStart w:id="8" w:name="_Hlk112163176"/>
            <w:r w:rsidRPr="009161D4">
              <w:rPr>
                <w:rFonts w:asciiTheme="minorHAnsi" w:hAnsiTheme="minorHAnsi" w:cstheme="minorHAnsi"/>
                <w:color w:val="auto"/>
                <w:sz w:val="22"/>
                <w:szCs w:val="22"/>
              </w:rPr>
              <w:t>8x IM155-6PN HF včetně server module</w:t>
            </w:r>
            <w:bookmarkEnd w:id="8"/>
          </w:p>
          <w:p w14:paraId="00EA207A" w14:textId="77777777" w:rsidR="00AC4C83" w:rsidRDefault="00AC4C83" w:rsidP="00003999">
            <w:pPr>
              <w:pStyle w:val="Standard"/>
              <w:spacing w:before="60" w:after="60"/>
              <w:contextualSpacing/>
              <w:jc w:val="both"/>
              <w:rPr>
                <w:rFonts w:asciiTheme="minorHAnsi" w:hAnsiTheme="minorHAnsi" w:cstheme="minorHAnsi"/>
                <w:color w:val="auto"/>
                <w:sz w:val="22"/>
                <w:szCs w:val="22"/>
              </w:rPr>
            </w:pPr>
          </w:p>
          <w:p w14:paraId="23C8387C" w14:textId="77777777" w:rsidR="009161D4" w:rsidRPr="009161D4" w:rsidRDefault="009161D4" w:rsidP="00003999">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t>Referenční kód pro informaci (není závazný parametr): 6ES7155-6AU01-0CN0</w:t>
            </w:r>
          </w:p>
        </w:tc>
        <w:tc>
          <w:tcPr>
            <w:tcW w:w="1922" w:type="dxa"/>
          </w:tcPr>
          <w:p w14:paraId="532BB3C7"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4E9CC51D"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r w:rsidR="009161D4" w:rsidRPr="009161D4" w14:paraId="13B1A251" w14:textId="77777777" w:rsidTr="00B73BE5">
        <w:tblPrEx>
          <w:jc w:val="center"/>
          <w:tblCellMar>
            <w:bottom w:w="57" w:type="dxa"/>
          </w:tblCellMar>
        </w:tblPrEx>
        <w:trPr>
          <w:trHeight w:val="364"/>
          <w:jc w:val="center"/>
        </w:trPr>
        <w:tc>
          <w:tcPr>
            <w:tcW w:w="4530" w:type="dxa"/>
            <w:gridSpan w:val="2"/>
          </w:tcPr>
          <w:p w14:paraId="3702C2A8" w14:textId="77777777" w:rsidR="00AC4C83" w:rsidRDefault="009161D4" w:rsidP="00AC4C83">
            <w:pPr>
              <w:pStyle w:val="Standard"/>
              <w:spacing w:before="60" w:after="60"/>
              <w:contextualSpacing/>
              <w:jc w:val="both"/>
              <w:rPr>
                <w:rFonts w:asciiTheme="minorHAnsi" w:hAnsiTheme="minorHAnsi" w:cstheme="minorHAnsi"/>
                <w:color w:val="auto"/>
                <w:sz w:val="22"/>
                <w:szCs w:val="22"/>
              </w:rPr>
            </w:pPr>
            <w:r w:rsidRPr="009161D4">
              <w:rPr>
                <w:rFonts w:asciiTheme="minorHAnsi" w:hAnsiTheme="minorHAnsi" w:cstheme="minorHAnsi"/>
                <w:color w:val="auto"/>
                <w:sz w:val="22"/>
                <w:szCs w:val="22"/>
              </w:rPr>
              <w:lastRenderedPageBreak/>
              <w:t xml:space="preserve">8x </w:t>
            </w:r>
            <w:proofErr w:type="spellStart"/>
            <w:r w:rsidRPr="009161D4">
              <w:rPr>
                <w:rFonts w:asciiTheme="minorHAnsi" w:hAnsiTheme="minorHAnsi" w:cstheme="minorHAnsi"/>
                <w:color w:val="auto"/>
                <w:sz w:val="22"/>
                <w:szCs w:val="22"/>
              </w:rPr>
              <w:t>BusAdapter</w:t>
            </w:r>
            <w:proofErr w:type="spellEnd"/>
            <w:r w:rsidRPr="009161D4">
              <w:rPr>
                <w:rFonts w:asciiTheme="minorHAnsi" w:hAnsiTheme="minorHAnsi" w:cstheme="minorHAnsi"/>
                <w:color w:val="auto"/>
                <w:sz w:val="22"/>
                <w:szCs w:val="22"/>
              </w:rPr>
              <w:t xml:space="preserve"> 2x RJ45</w:t>
            </w:r>
          </w:p>
          <w:p w14:paraId="15BF7741" w14:textId="77777777" w:rsidR="00AC4C83" w:rsidRDefault="00AC4C83" w:rsidP="00AC4C83">
            <w:pPr>
              <w:pStyle w:val="Standard"/>
              <w:spacing w:before="60" w:after="60"/>
              <w:contextualSpacing/>
              <w:jc w:val="both"/>
              <w:rPr>
                <w:rFonts w:asciiTheme="minorHAnsi" w:hAnsiTheme="minorHAnsi" w:cstheme="minorHAnsi"/>
                <w:color w:val="auto"/>
                <w:sz w:val="22"/>
                <w:szCs w:val="22"/>
              </w:rPr>
            </w:pPr>
          </w:p>
          <w:p w14:paraId="366203F6" w14:textId="7FF28404" w:rsidR="009161D4" w:rsidRPr="009161D4" w:rsidRDefault="009161D4" w:rsidP="00AC4C83">
            <w:pPr>
              <w:pStyle w:val="Standard"/>
              <w:spacing w:before="60" w:after="60"/>
              <w:contextualSpacing/>
              <w:jc w:val="both"/>
              <w:rPr>
                <w:rFonts w:asciiTheme="minorHAnsi" w:hAnsiTheme="minorHAnsi" w:cstheme="minorHAnsi"/>
                <w:sz w:val="22"/>
                <w:szCs w:val="22"/>
              </w:rPr>
            </w:pPr>
            <w:r w:rsidRPr="009161D4">
              <w:rPr>
                <w:rFonts w:asciiTheme="minorHAnsi" w:hAnsiTheme="minorHAnsi" w:cstheme="minorHAnsi"/>
                <w:color w:val="auto"/>
                <w:sz w:val="22"/>
                <w:szCs w:val="22"/>
              </w:rPr>
              <w:t>Referenční kód pro informaci (není závazný parametr): 6ES7193-6AR00-0AA0</w:t>
            </w:r>
          </w:p>
        </w:tc>
        <w:tc>
          <w:tcPr>
            <w:tcW w:w="1922" w:type="dxa"/>
          </w:tcPr>
          <w:p w14:paraId="693EC6C9"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c>
          <w:tcPr>
            <w:tcW w:w="3163" w:type="dxa"/>
            <w:shd w:val="clear" w:color="auto" w:fill="auto"/>
          </w:tcPr>
          <w:p w14:paraId="285D05BB" w14:textId="77777777" w:rsidR="009161D4" w:rsidRPr="009161D4" w:rsidRDefault="009161D4" w:rsidP="00B73BE5">
            <w:pPr>
              <w:pStyle w:val="Standard"/>
              <w:spacing w:before="60" w:after="60"/>
              <w:contextualSpacing/>
              <w:jc w:val="center"/>
              <w:rPr>
                <w:rFonts w:asciiTheme="minorHAnsi" w:hAnsiTheme="minorHAnsi" w:cstheme="minorHAnsi"/>
                <w:sz w:val="22"/>
                <w:szCs w:val="22"/>
              </w:rPr>
            </w:pPr>
            <w:r w:rsidRPr="009161D4">
              <w:rPr>
                <w:rFonts w:asciiTheme="minorHAnsi" w:hAnsiTheme="minorHAnsi" w:cstheme="minorHAnsi"/>
                <w:sz w:val="22"/>
                <w:szCs w:val="22"/>
              </w:rPr>
              <w:t>Ano</w:t>
            </w:r>
          </w:p>
        </w:tc>
      </w:tr>
    </w:tbl>
    <w:p w14:paraId="20ACA690" w14:textId="77777777" w:rsidR="009161D4" w:rsidRDefault="009161D4" w:rsidP="009161D4"/>
    <w:p w14:paraId="557B0F8D" w14:textId="77777777" w:rsidR="009161D4" w:rsidRDefault="009161D4">
      <w:pPr>
        <w:rPr>
          <w:rFonts w:eastAsia="Times New Roman" w:cs="Arial"/>
          <w:color w:val="000000"/>
          <w:lang w:eastAsia="cs-CZ"/>
        </w:rPr>
      </w:pPr>
    </w:p>
    <w:sectPr w:rsidR="009161D4" w:rsidSect="00C57033">
      <w:headerReference w:type="default" r:id="rId8"/>
      <w:footerReference w:type="default" r:id="rId9"/>
      <w:pgSz w:w="11906" w:h="16838"/>
      <w:pgMar w:top="1985" w:right="1417" w:bottom="1417"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5C4D" w14:textId="77777777" w:rsidR="00C63460" w:rsidRDefault="00C63460" w:rsidP="00832D0D">
      <w:pPr>
        <w:spacing w:after="0" w:line="240" w:lineRule="auto"/>
      </w:pPr>
      <w:r>
        <w:separator/>
      </w:r>
    </w:p>
  </w:endnote>
  <w:endnote w:type="continuationSeparator" w:id="0">
    <w:p w14:paraId="1220CAAD" w14:textId="77777777" w:rsidR="00C63460" w:rsidRDefault="00C63460"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FF4EB5" w:rsidRDefault="00FF4EB5"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9" name="Obrázek 9"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FF4EB5" w:rsidRDefault="00FF4EB5">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FF4EB5" w:rsidRDefault="00FF4E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CEA3" w14:textId="77777777" w:rsidR="00C63460" w:rsidRDefault="00C63460" w:rsidP="00832D0D">
      <w:pPr>
        <w:spacing w:after="0" w:line="240" w:lineRule="auto"/>
      </w:pPr>
      <w:r>
        <w:separator/>
      </w:r>
    </w:p>
  </w:footnote>
  <w:footnote w:type="continuationSeparator" w:id="0">
    <w:p w14:paraId="6C05EFF7" w14:textId="77777777" w:rsidR="00C63460" w:rsidRDefault="00C63460"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FF4EB5" w:rsidRDefault="00FF4EB5">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30D6F10"/>
    <w:multiLevelType w:val="hybridMultilevel"/>
    <w:tmpl w:val="02F861EC"/>
    <w:lvl w:ilvl="0" w:tplc="0405000F">
      <w:start w:val="1"/>
      <w:numFmt w:val="decimal"/>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5"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1"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6"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7"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8" w15:restartNumberingAfterBreak="0">
    <w:nsid w:val="3EC43083"/>
    <w:multiLevelType w:val="hybridMultilevel"/>
    <w:tmpl w:val="9410C70A"/>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9"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5"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C5028F"/>
    <w:multiLevelType w:val="hybridMultilevel"/>
    <w:tmpl w:val="D26ACE7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5"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50"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9"/>
  </w:num>
  <w:num w:numId="2">
    <w:abstractNumId w:val="26"/>
  </w:num>
  <w:num w:numId="3">
    <w:abstractNumId w:val="27"/>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7"/>
  </w:num>
  <w:num w:numId="7">
    <w:abstractNumId w:val="24"/>
  </w:num>
  <w:num w:numId="8">
    <w:abstractNumId w:val="3"/>
  </w:num>
  <w:num w:numId="9">
    <w:abstractNumId w:val="15"/>
  </w:num>
  <w:num w:numId="10">
    <w:abstractNumId w:val="20"/>
  </w:num>
  <w:num w:numId="11">
    <w:abstractNumId w:val="42"/>
  </w:num>
  <w:num w:numId="12">
    <w:abstractNumId w:val="44"/>
  </w:num>
  <w:num w:numId="13">
    <w:abstractNumId w:val="36"/>
  </w:num>
  <w:num w:numId="14">
    <w:abstractNumId w:val="34"/>
  </w:num>
  <w:num w:numId="15">
    <w:abstractNumId w:val="9"/>
  </w:num>
  <w:num w:numId="16">
    <w:abstractNumId w:val="5"/>
  </w:num>
  <w:num w:numId="17">
    <w:abstractNumId w:val="25"/>
  </w:num>
  <w:num w:numId="18">
    <w:abstractNumId w:val="18"/>
  </w:num>
  <w:num w:numId="19">
    <w:abstractNumId w:val="47"/>
  </w:num>
  <w:num w:numId="20">
    <w:abstractNumId w:val="54"/>
  </w:num>
  <w:num w:numId="21">
    <w:abstractNumId w:val="17"/>
  </w:num>
  <w:num w:numId="22">
    <w:abstractNumId w:val="40"/>
  </w:num>
  <w:num w:numId="23">
    <w:abstractNumId w:val="11"/>
  </w:num>
  <w:num w:numId="24">
    <w:abstractNumId w:val="12"/>
  </w:num>
  <w:num w:numId="25">
    <w:abstractNumId w:val="30"/>
  </w:num>
  <w:num w:numId="26">
    <w:abstractNumId w:val="19"/>
  </w:num>
  <w:num w:numId="27">
    <w:abstractNumId w:val="31"/>
  </w:num>
  <w:num w:numId="28">
    <w:abstractNumId w:val="46"/>
  </w:num>
  <w:num w:numId="29">
    <w:abstractNumId w:val="51"/>
  </w:num>
  <w:num w:numId="30">
    <w:abstractNumId w:val="53"/>
  </w:num>
  <w:num w:numId="31">
    <w:abstractNumId w:val="48"/>
  </w:num>
  <w:num w:numId="32">
    <w:abstractNumId w:val="16"/>
  </w:num>
  <w:num w:numId="33">
    <w:abstractNumId w:val="45"/>
  </w:num>
  <w:num w:numId="34">
    <w:abstractNumId w:val="21"/>
  </w:num>
  <w:num w:numId="35">
    <w:abstractNumId w:val="23"/>
  </w:num>
  <w:num w:numId="36">
    <w:abstractNumId w:val="2"/>
  </w:num>
  <w:num w:numId="37">
    <w:abstractNumId w:val="10"/>
  </w:num>
  <w:num w:numId="38">
    <w:abstractNumId w:val="29"/>
  </w:num>
  <w:num w:numId="39">
    <w:abstractNumId w:val="35"/>
  </w:num>
  <w:num w:numId="40">
    <w:abstractNumId w:val="33"/>
  </w:num>
  <w:num w:numId="41">
    <w:abstractNumId w:val="52"/>
  </w:num>
  <w:num w:numId="42">
    <w:abstractNumId w:val="50"/>
  </w:num>
  <w:num w:numId="43">
    <w:abstractNumId w:val="6"/>
  </w:num>
  <w:num w:numId="44">
    <w:abstractNumId w:val="1"/>
  </w:num>
  <w:num w:numId="45">
    <w:abstractNumId w:val="43"/>
  </w:num>
  <w:num w:numId="46">
    <w:abstractNumId w:val="22"/>
  </w:num>
  <w:num w:numId="47">
    <w:abstractNumId w:val="56"/>
  </w:num>
  <w:num w:numId="48">
    <w:abstractNumId w:val="32"/>
  </w:num>
  <w:num w:numId="49">
    <w:abstractNumId w:val="0"/>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1"/>
    <w:lvlOverride w:ilvl="0">
      <w:startOverride w:val="1"/>
    </w:lvlOverride>
  </w:num>
  <w:num w:numId="54">
    <w:abstractNumId w:val="13"/>
  </w:num>
  <w:num w:numId="55">
    <w:abstractNumId w:val="55"/>
  </w:num>
  <w:num w:numId="56">
    <w:abstractNumId w:val="57"/>
  </w:num>
  <w:num w:numId="57">
    <w:abstractNumId w:val="38"/>
  </w:num>
  <w:num w:numId="58">
    <w:abstractNumId w:val="39"/>
  </w:num>
  <w:num w:numId="59">
    <w:abstractNumId w:val="14"/>
  </w:num>
  <w:num w:numId="60">
    <w:abstractNumId w:val="28"/>
  </w:num>
  <w:num w:numId="61">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5ABD"/>
    <w:rsid w:val="000144E7"/>
    <w:rsid w:val="0001617C"/>
    <w:rsid w:val="00025D2B"/>
    <w:rsid w:val="00026CEF"/>
    <w:rsid w:val="0003234E"/>
    <w:rsid w:val="00032390"/>
    <w:rsid w:val="00033C22"/>
    <w:rsid w:val="00033DFF"/>
    <w:rsid w:val="0003792A"/>
    <w:rsid w:val="00037D7D"/>
    <w:rsid w:val="00042403"/>
    <w:rsid w:val="000424D9"/>
    <w:rsid w:val="00042BAA"/>
    <w:rsid w:val="000443F9"/>
    <w:rsid w:val="000450AB"/>
    <w:rsid w:val="00045995"/>
    <w:rsid w:val="00051CE9"/>
    <w:rsid w:val="0006432B"/>
    <w:rsid w:val="00065170"/>
    <w:rsid w:val="00066D94"/>
    <w:rsid w:val="00066F32"/>
    <w:rsid w:val="00067EF1"/>
    <w:rsid w:val="00070352"/>
    <w:rsid w:val="00070C24"/>
    <w:rsid w:val="00072B23"/>
    <w:rsid w:val="0007364F"/>
    <w:rsid w:val="00091855"/>
    <w:rsid w:val="00092CA5"/>
    <w:rsid w:val="00093C53"/>
    <w:rsid w:val="000A760F"/>
    <w:rsid w:val="000B15A8"/>
    <w:rsid w:val="000B24E8"/>
    <w:rsid w:val="000C1A2F"/>
    <w:rsid w:val="000C2868"/>
    <w:rsid w:val="000C3499"/>
    <w:rsid w:val="000C3F20"/>
    <w:rsid w:val="000D5165"/>
    <w:rsid w:val="000D5225"/>
    <w:rsid w:val="000D70D2"/>
    <w:rsid w:val="000E1106"/>
    <w:rsid w:val="000F206B"/>
    <w:rsid w:val="000F61B5"/>
    <w:rsid w:val="000F6F55"/>
    <w:rsid w:val="000F7BCE"/>
    <w:rsid w:val="00102730"/>
    <w:rsid w:val="001062E8"/>
    <w:rsid w:val="0012098E"/>
    <w:rsid w:val="00134DCF"/>
    <w:rsid w:val="00136F8C"/>
    <w:rsid w:val="0013744B"/>
    <w:rsid w:val="00140FA3"/>
    <w:rsid w:val="00142E1A"/>
    <w:rsid w:val="00144E7E"/>
    <w:rsid w:val="00152CF2"/>
    <w:rsid w:val="0015528C"/>
    <w:rsid w:val="001569EC"/>
    <w:rsid w:val="00163748"/>
    <w:rsid w:val="00166A73"/>
    <w:rsid w:val="00167D44"/>
    <w:rsid w:val="00171D67"/>
    <w:rsid w:val="00184837"/>
    <w:rsid w:val="00184910"/>
    <w:rsid w:val="001858AB"/>
    <w:rsid w:val="0019419A"/>
    <w:rsid w:val="001A0C02"/>
    <w:rsid w:val="001A0D3C"/>
    <w:rsid w:val="001A47EF"/>
    <w:rsid w:val="001A77FE"/>
    <w:rsid w:val="001B0954"/>
    <w:rsid w:val="001B1323"/>
    <w:rsid w:val="001B4B63"/>
    <w:rsid w:val="001C056F"/>
    <w:rsid w:val="001C082C"/>
    <w:rsid w:val="001C4CFA"/>
    <w:rsid w:val="001C7D91"/>
    <w:rsid w:val="001D3752"/>
    <w:rsid w:val="001D6972"/>
    <w:rsid w:val="001D7BF0"/>
    <w:rsid w:val="001E3F75"/>
    <w:rsid w:val="001E4316"/>
    <w:rsid w:val="001E5ED0"/>
    <w:rsid w:val="001E7DA2"/>
    <w:rsid w:val="001F2330"/>
    <w:rsid w:val="00203BF2"/>
    <w:rsid w:val="00204AF8"/>
    <w:rsid w:val="00205F36"/>
    <w:rsid w:val="00211592"/>
    <w:rsid w:val="002217F8"/>
    <w:rsid w:val="002226E9"/>
    <w:rsid w:val="00224717"/>
    <w:rsid w:val="002305D5"/>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15CC"/>
    <w:rsid w:val="00283617"/>
    <w:rsid w:val="00284CD4"/>
    <w:rsid w:val="0028563F"/>
    <w:rsid w:val="00285FD9"/>
    <w:rsid w:val="00292615"/>
    <w:rsid w:val="0029375C"/>
    <w:rsid w:val="002944E4"/>
    <w:rsid w:val="0029578C"/>
    <w:rsid w:val="002A21F9"/>
    <w:rsid w:val="002B0169"/>
    <w:rsid w:val="002B52FA"/>
    <w:rsid w:val="002D0BFB"/>
    <w:rsid w:val="002D245B"/>
    <w:rsid w:val="002D2C1A"/>
    <w:rsid w:val="002D3247"/>
    <w:rsid w:val="002D5E7A"/>
    <w:rsid w:val="002E06FB"/>
    <w:rsid w:val="002E12A6"/>
    <w:rsid w:val="002E1BCB"/>
    <w:rsid w:val="002E30A3"/>
    <w:rsid w:val="002E3666"/>
    <w:rsid w:val="002E44C5"/>
    <w:rsid w:val="002E44F0"/>
    <w:rsid w:val="002E562F"/>
    <w:rsid w:val="002F32A0"/>
    <w:rsid w:val="002F6523"/>
    <w:rsid w:val="003005CA"/>
    <w:rsid w:val="0030183C"/>
    <w:rsid w:val="0030284E"/>
    <w:rsid w:val="003049BF"/>
    <w:rsid w:val="003107A2"/>
    <w:rsid w:val="00310940"/>
    <w:rsid w:val="00317A8D"/>
    <w:rsid w:val="00320529"/>
    <w:rsid w:val="00320A6E"/>
    <w:rsid w:val="0032402E"/>
    <w:rsid w:val="0033463E"/>
    <w:rsid w:val="003510A9"/>
    <w:rsid w:val="00352F7D"/>
    <w:rsid w:val="00353724"/>
    <w:rsid w:val="003546D3"/>
    <w:rsid w:val="00357D94"/>
    <w:rsid w:val="00362E41"/>
    <w:rsid w:val="00363BC5"/>
    <w:rsid w:val="00364BEA"/>
    <w:rsid w:val="003702B1"/>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07BD"/>
    <w:rsid w:val="003A4041"/>
    <w:rsid w:val="003A50B5"/>
    <w:rsid w:val="003A57D8"/>
    <w:rsid w:val="003A6B95"/>
    <w:rsid w:val="003A7C4D"/>
    <w:rsid w:val="003C4E74"/>
    <w:rsid w:val="003C6DB1"/>
    <w:rsid w:val="003C721C"/>
    <w:rsid w:val="003D0243"/>
    <w:rsid w:val="003D62D4"/>
    <w:rsid w:val="003E106C"/>
    <w:rsid w:val="003F26C0"/>
    <w:rsid w:val="003F297F"/>
    <w:rsid w:val="003F781B"/>
    <w:rsid w:val="00402356"/>
    <w:rsid w:val="0040369D"/>
    <w:rsid w:val="004049DB"/>
    <w:rsid w:val="00406509"/>
    <w:rsid w:val="0043744F"/>
    <w:rsid w:val="00441C6E"/>
    <w:rsid w:val="00444A99"/>
    <w:rsid w:val="0044521B"/>
    <w:rsid w:val="0044704C"/>
    <w:rsid w:val="00452A0F"/>
    <w:rsid w:val="004623FF"/>
    <w:rsid w:val="00465624"/>
    <w:rsid w:val="00465972"/>
    <w:rsid w:val="00471B39"/>
    <w:rsid w:val="004757B3"/>
    <w:rsid w:val="00484546"/>
    <w:rsid w:val="00484F6E"/>
    <w:rsid w:val="00491896"/>
    <w:rsid w:val="0049322C"/>
    <w:rsid w:val="004946B0"/>
    <w:rsid w:val="00496855"/>
    <w:rsid w:val="004978A0"/>
    <w:rsid w:val="004A05BD"/>
    <w:rsid w:val="004A4298"/>
    <w:rsid w:val="004B753A"/>
    <w:rsid w:val="004B7C8B"/>
    <w:rsid w:val="004C0F80"/>
    <w:rsid w:val="004C450B"/>
    <w:rsid w:val="004D20CF"/>
    <w:rsid w:val="004D3017"/>
    <w:rsid w:val="004D41EF"/>
    <w:rsid w:val="004D4F47"/>
    <w:rsid w:val="004D55A2"/>
    <w:rsid w:val="004E3A8F"/>
    <w:rsid w:val="004F24AC"/>
    <w:rsid w:val="005016A7"/>
    <w:rsid w:val="00502350"/>
    <w:rsid w:val="00502792"/>
    <w:rsid w:val="00503499"/>
    <w:rsid w:val="00506466"/>
    <w:rsid w:val="00510818"/>
    <w:rsid w:val="00515BEE"/>
    <w:rsid w:val="00516C6E"/>
    <w:rsid w:val="00521615"/>
    <w:rsid w:val="00522DAA"/>
    <w:rsid w:val="005378B4"/>
    <w:rsid w:val="00540F37"/>
    <w:rsid w:val="00545B5C"/>
    <w:rsid w:val="005467F0"/>
    <w:rsid w:val="00550798"/>
    <w:rsid w:val="00552949"/>
    <w:rsid w:val="00556564"/>
    <w:rsid w:val="0055729C"/>
    <w:rsid w:val="00561633"/>
    <w:rsid w:val="00577FE5"/>
    <w:rsid w:val="005802DB"/>
    <w:rsid w:val="00581FBE"/>
    <w:rsid w:val="00582080"/>
    <w:rsid w:val="0058447C"/>
    <w:rsid w:val="00585195"/>
    <w:rsid w:val="00587CDA"/>
    <w:rsid w:val="0059212D"/>
    <w:rsid w:val="00592B30"/>
    <w:rsid w:val="005A2E1B"/>
    <w:rsid w:val="005A31B2"/>
    <w:rsid w:val="005A57A4"/>
    <w:rsid w:val="005B18E0"/>
    <w:rsid w:val="005B596A"/>
    <w:rsid w:val="005C40D7"/>
    <w:rsid w:val="005C66B0"/>
    <w:rsid w:val="005D0648"/>
    <w:rsid w:val="005D3998"/>
    <w:rsid w:val="005D62B1"/>
    <w:rsid w:val="005E1924"/>
    <w:rsid w:val="005F09E5"/>
    <w:rsid w:val="005F1D61"/>
    <w:rsid w:val="005F437A"/>
    <w:rsid w:val="005F4627"/>
    <w:rsid w:val="005F797E"/>
    <w:rsid w:val="00606B39"/>
    <w:rsid w:val="00610FDE"/>
    <w:rsid w:val="00611C6C"/>
    <w:rsid w:val="006220EC"/>
    <w:rsid w:val="006248E3"/>
    <w:rsid w:val="00624933"/>
    <w:rsid w:val="00627F17"/>
    <w:rsid w:val="00631840"/>
    <w:rsid w:val="00637433"/>
    <w:rsid w:val="00637FB0"/>
    <w:rsid w:val="00640CD6"/>
    <w:rsid w:val="00645A6D"/>
    <w:rsid w:val="00646B95"/>
    <w:rsid w:val="00661C7B"/>
    <w:rsid w:val="0066368F"/>
    <w:rsid w:val="00663919"/>
    <w:rsid w:val="00670657"/>
    <w:rsid w:val="006819CA"/>
    <w:rsid w:val="00682208"/>
    <w:rsid w:val="006836E2"/>
    <w:rsid w:val="006949EB"/>
    <w:rsid w:val="00697FEE"/>
    <w:rsid w:val="006A05AC"/>
    <w:rsid w:val="006A2833"/>
    <w:rsid w:val="006A2AC3"/>
    <w:rsid w:val="006B13DE"/>
    <w:rsid w:val="006B1929"/>
    <w:rsid w:val="006B48D3"/>
    <w:rsid w:val="006B6891"/>
    <w:rsid w:val="006B7623"/>
    <w:rsid w:val="006C169B"/>
    <w:rsid w:val="006C6004"/>
    <w:rsid w:val="006C636C"/>
    <w:rsid w:val="006D293F"/>
    <w:rsid w:val="006D4325"/>
    <w:rsid w:val="006D6F49"/>
    <w:rsid w:val="006E469B"/>
    <w:rsid w:val="006E7526"/>
    <w:rsid w:val="006F0A78"/>
    <w:rsid w:val="006F3943"/>
    <w:rsid w:val="006F3AC3"/>
    <w:rsid w:val="006F5FBB"/>
    <w:rsid w:val="00701E9B"/>
    <w:rsid w:val="007035CD"/>
    <w:rsid w:val="00706E29"/>
    <w:rsid w:val="00713711"/>
    <w:rsid w:val="0071714B"/>
    <w:rsid w:val="00724E5B"/>
    <w:rsid w:val="00737433"/>
    <w:rsid w:val="00740758"/>
    <w:rsid w:val="007452E3"/>
    <w:rsid w:val="00746A44"/>
    <w:rsid w:val="00752DE9"/>
    <w:rsid w:val="007607C7"/>
    <w:rsid w:val="00760CD3"/>
    <w:rsid w:val="0076392E"/>
    <w:rsid w:val="00766466"/>
    <w:rsid w:val="00786C38"/>
    <w:rsid w:val="00795DD7"/>
    <w:rsid w:val="00797295"/>
    <w:rsid w:val="007B11A2"/>
    <w:rsid w:val="007C1A31"/>
    <w:rsid w:val="007C4F13"/>
    <w:rsid w:val="007C5FC1"/>
    <w:rsid w:val="007D3CBA"/>
    <w:rsid w:val="007D4938"/>
    <w:rsid w:val="007D5606"/>
    <w:rsid w:val="007D6ECC"/>
    <w:rsid w:val="007D7EF9"/>
    <w:rsid w:val="007E0326"/>
    <w:rsid w:val="007E2AE1"/>
    <w:rsid w:val="007E3EA1"/>
    <w:rsid w:val="007E6D92"/>
    <w:rsid w:val="007F28E3"/>
    <w:rsid w:val="007F4C3F"/>
    <w:rsid w:val="00803239"/>
    <w:rsid w:val="0080418A"/>
    <w:rsid w:val="00805BC0"/>
    <w:rsid w:val="00806973"/>
    <w:rsid w:val="00810F4F"/>
    <w:rsid w:val="00811978"/>
    <w:rsid w:val="00811CB6"/>
    <w:rsid w:val="008202DA"/>
    <w:rsid w:val="00820CFC"/>
    <w:rsid w:val="00824617"/>
    <w:rsid w:val="0083129B"/>
    <w:rsid w:val="00832D0D"/>
    <w:rsid w:val="00836D47"/>
    <w:rsid w:val="008441B7"/>
    <w:rsid w:val="0084730E"/>
    <w:rsid w:val="00850AF7"/>
    <w:rsid w:val="0085142B"/>
    <w:rsid w:val="0085166A"/>
    <w:rsid w:val="00852735"/>
    <w:rsid w:val="0085596C"/>
    <w:rsid w:val="008570BD"/>
    <w:rsid w:val="00857285"/>
    <w:rsid w:val="00864E2C"/>
    <w:rsid w:val="00866FD9"/>
    <w:rsid w:val="0087124F"/>
    <w:rsid w:val="0087145C"/>
    <w:rsid w:val="00872E65"/>
    <w:rsid w:val="008951C4"/>
    <w:rsid w:val="008A7A42"/>
    <w:rsid w:val="008B0295"/>
    <w:rsid w:val="008B14CA"/>
    <w:rsid w:val="008B3DAB"/>
    <w:rsid w:val="008B60FE"/>
    <w:rsid w:val="008B7566"/>
    <w:rsid w:val="008B7A13"/>
    <w:rsid w:val="008B7D92"/>
    <w:rsid w:val="008C138A"/>
    <w:rsid w:val="008C2CF2"/>
    <w:rsid w:val="008C306E"/>
    <w:rsid w:val="008C3175"/>
    <w:rsid w:val="008C75C0"/>
    <w:rsid w:val="008D45A6"/>
    <w:rsid w:val="008D462A"/>
    <w:rsid w:val="008E00F9"/>
    <w:rsid w:val="008E18FD"/>
    <w:rsid w:val="008E4E7E"/>
    <w:rsid w:val="00901627"/>
    <w:rsid w:val="00901716"/>
    <w:rsid w:val="00903BDF"/>
    <w:rsid w:val="00903C56"/>
    <w:rsid w:val="00906F1E"/>
    <w:rsid w:val="009161D4"/>
    <w:rsid w:val="00916B0F"/>
    <w:rsid w:val="00921E1F"/>
    <w:rsid w:val="00923362"/>
    <w:rsid w:val="009268CF"/>
    <w:rsid w:val="009269D5"/>
    <w:rsid w:val="00932604"/>
    <w:rsid w:val="00933216"/>
    <w:rsid w:val="0093552E"/>
    <w:rsid w:val="00935D15"/>
    <w:rsid w:val="00940A18"/>
    <w:rsid w:val="00952711"/>
    <w:rsid w:val="00962059"/>
    <w:rsid w:val="00967AD7"/>
    <w:rsid w:val="00976026"/>
    <w:rsid w:val="009825EC"/>
    <w:rsid w:val="00986520"/>
    <w:rsid w:val="009879E2"/>
    <w:rsid w:val="00993707"/>
    <w:rsid w:val="00994559"/>
    <w:rsid w:val="00996F9A"/>
    <w:rsid w:val="00997020"/>
    <w:rsid w:val="00997D54"/>
    <w:rsid w:val="009A0705"/>
    <w:rsid w:val="009A24A0"/>
    <w:rsid w:val="009A27F1"/>
    <w:rsid w:val="009A280F"/>
    <w:rsid w:val="009A312F"/>
    <w:rsid w:val="009A313D"/>
    <w:rsid w:val="009A37AD"/>
    <w:rsid w:val="009C4C31"/>
    <w:rsid w:val="009E338D"/>
    <w:rsid w:val="009E40CA"/>
    <w:rsid w:val="009E4761"/>
    <w:rsid w:val="009E7D5E"/>
    <w:rsid w:val="009F0997"/>
    <w:rsid w:val="009F29A3"/>
    <w:rsid w:val="009F6EC9"/>
    <w:rsid w:val="00A057A1"/>
    <w:rsid w:val="00A0760F"/>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4D05"/>
    <w:rsid w:val="00A8335F"/>
    <w:rsid w:val="00A84E7A"/>
    <w:rsid w:val="00A945EA"/>
    <w:rsid w:val="00A967E8"/>
    <w:rsid w:val="00A96EC1"/>
    <w:rsid w:val="00AA142F"/>
    <w:rsid w:val="00AA26F7"/>
    <w:rsid w:val="00AA6528"/>
    <w:rsid w:val="00AA7094"/>
    <w:rsid w:val="00AA747C"/>
    <w:rsid w:val="00AB2C7C"/>
    <w:rsid w:val="00AC4C83"/>
    <w:rsid w:val="00AD2B66"/>
    <w:rsid w:val="00AD334A"/>
    <w:rsid w:val="00AD5F08"/>
    <w:rsid w:val="00AE0141"/>
    <w:rsid w:val="00AE5383"/>
    <w:rsid w:val="00AF5EBE"/>
    <w:rsid w:val="00AF5F1B"/>
    <w:rsid w:val="00B011D1"/>
    <w:rsid w:val="00B075A6"/>
    <w:rsid w:val="00B104DF"/>
    <w:rsid w:val="00B14966"/>
    <w:rsid w:val="00B14D84"/>
    <w:rsid w:val="00B16213"/>
    <w:rsid w:val="00B213EB"/>
    <w:rsid w:val="00B21FBC"/>
    <w:rsid w:val="00B43A85"/>
    <w:rsid w:val="00B44A61"/>
    <w:rsid w:val="00B45C38"/>
    <w:rsid w:val="00B60614"/>
    <w:rsid w:val="00B609C0"/>
    <w:rsid w:val="00B62FBC"/>
    <w:rsid w:val="00B63C92"/>
    <w:rsid w:val="00B73BE5"/>
    <w:rsid w:val="00B74C1A"/>
    <w:rsid w:val="00B80F63"/>
    <w:rsid w:val="00B86BEB"/>
    <w:rsid w:val="00B96FF8"/>
    <w:rsid w:val="00BA1236"/>
    <w:rsid w:val="00BA1452"/>
    <w:rsid w:val="00BA1E96"/>
    <w:rsid w:val="00BA33E6"/>
    <w:rsid w:val="00BA4457"/>
    <w:rsid w:val="00BA4E47"/>
    <w:rsid w:val="00BA5566"/>
    <w:rsid w:val="00BB277E"/>
    <w:rsid w:val="00BB5F5F"/>
    <w:rsid w:val="00BC0679"/>
    <w:rsid w:val="00BC6128"/>
    <w:rsid w:val="00BD1294"/>
    <w:rsid w:val="00BE1D2F"/>
    <w:rsid w:val="00BE7AE5"/>
    <w:rsid w:val="00BF014D"/>
    <w:rsid w:val="00BF2E8A"/>
    <w:rsid w:val="00BF32F3"/>
    <w:rsid w:val="00BF3549"/>
    <w:rsid w:val="00BF5108"/>
    <w:rsid w:val="00C021B6"/>
    <w:rsid w:val="00C026FC"/>
    <w:rsid w:val="00C1076F"/>
    <w:rsid w:val="00C12F26"/>
    <w:rsid w:val="00C15599"/>
    <w:rsid w:val="00C16786"/>
    <w:rsid w:val="00C17037"/>
    <w:rsid w:val="00C170F1"/>
    <w:rsid w:val="00C17D49"/>
    <w:rsid w:val="00C22EA4"/>
    <w:rsid w:val="00C239BA"/>
    <w:rsid w:val="00C262E7"/>
    <w:rsid w:val="00C4284F"/>
    <w:rsid w:val="00C43CD6"/>
    <w:rsid w:val="00C46C71"/>
    <w:rsid w:val="00C54247"/>
    <w:rsid w:val="00C548AF"/>
    <w:rsid w:val="00C55EAB"/>
    <w:rsid w:val="00C57033"/>
    <w:rsid w:val="00C632C4"/>
    <w:rsid w:val="00C63460"/>
    <w:rsid w:val="00C6542F"/>
    <w:rsid w:val="00C74B3D"/>
    <w:rsid w:val="00C759A5"/>
    <w:rsid w:val="00C76BD6"/>
    <w:rsid w:val="00C77095"/>
    <w:rsid w:val="00C77EC8"/>
    <w:rsid w:val="00C81DFD"/>
    <w:rsid w:val="00C92D58"/>
    <w:rsid w:val="00C95B3C"/>
    <w:rsid w:val="00C968A7"/>
    <w:rsid w:val="00CA1E3A"/>
    <w:rsid w:val="00CA408D"/>
    <w:rsid w:val="00CA4D0E"/>
    <w:rsid w:val="00CA7106"/>
    <w:rsid w:val="00CA767D"/>
    <w:rsid w:val="00CB1FE3"/>
    <w:rsid w:val="00CB2082"/>
    <w:rsid w:val="00CB2357"/>
    <w:rsid w:val="00CB2E61"/>
    <w:rsid w:val="00CB7D03"/>
    <w:rsid w:val="00CC090D"/>
    <w:rsid w:val="00CC30AD"/>
    <w:rsid w:val="00CC4F3D"/>
    <w:rsid w:val="00CD0FF2"/>
    <w:rsid w:val="00CD5FEE"/>
    <w:rsid w:val="00CE1D19"/>
    <w:rsid w:val="00CE248F"/>
    <w:rsid w:val="00CE2FE2"/>
    <w:rsid w:val="00CE4929"/>
    <w:rsid w:val="00CE59A0"/>
    <w:rsid w:val="00CE7D7C"/>
    <w:rsid w:val="00CF2EEB"/>
    <w:rsid w:val="00CF38DE"/>
    <w:rsid w:val="00D01E73"/>
    <w:rsid w:val="00D025DC"/>
    <w:rsid w:val="00D02DB5"/>
    <w:rsid w:val="00D033C4"/>
    <w:rsid w:val="00D1169F"/>
    <w:rsid w:val="00D12D2A"/>
    <w:rsid w:val="00D22D01"/>
    <w:rsid w:val="00D24521"/>
    <w:rsid w:val="00D33315"/>
    <w:rsid w:val="00D342EA"/>
    <w:rsid w:val="00D348A6"/>
    <w:rsid w:val="00D3512F"/>
    <w:rsid w:val="00D35414"/>
    <w:rsid w:val="00D376CA"/>
    <w:rsid w:val="00D45BF8"/>
    <w:rsid w:val="00D50899"/>
    <w:rsid w:val="00D52C72"/>
    <w:rsid w:val="00D574F4"/>
    <w:rsid w:val="00D574F6"/>
    <w:rsid w:val="00D60E45"/>
    <w:rsid w:val="00D620CE"/>
    <w:rsid w:val="00D622DF"/>
    <w:rsid w:val="00D67D86"/>
    <w:rsid w:val="00D702F9"/>
    <w:rsid w:val="00D72159"/>
    <w:rsid w:val="00D72A94"/>
    <w:rsid w:val="00D72CA5"/>
    <w:rsid w:val="00D74F64"/>
    <w:rsid w:val="00D751A6"/>
    <w:rsid w:val="00D820AF"/>
    <w:rsid w:val="00D82441"/>
    <w:rsid w:val="00D84E9E"/>
    <w:rsid w:val="00D86E38"/>
    <w:rsid w:val="00D91913"/>
    <w:rsid w:val="00D963BD"/>
    <w:rsid w:val="00DA0452"/>
    <w:rsid w:val="00DA6D69"/>
    <w:rsid w:val="00DB61B2"/>
    <w:rsid w:val="00DC3FF0"/>
    <w:rsid w:val="00DD2DA0"/>
    <w:rsid w:val="00DD7175"/>
    <w:rsid w:val="00DE20C0"/>
    <w:rsid w:val="00DE5887"/>
    <w:rsid w:val="00DF38C6"/>
    <w:rsid w:val="00DF5E2C"/>
    <w:rsid w:val="00DF6642"/>
    <w:rsid w:val="00E021E2"/>
    <w:rsid w:val="00E11B4D"/>
    <w:rsid w:val="00E125EE"/>
    <w:rsid w:val="00E15AD8"/>
    <w:rsid w:val="00E15DAF"/>
    <w:rsid w:val="00E176C1"/>
    <w:rsid w:val="00E24327"/>
    <w:rsid w:val="00E26B33"/>
    <w:rsid w:val="00E27281"/>
    <w:rsid w:val="00E275B9"/>
    <w:rsid w:val="00E27B1C"/>
    <w:rsid w:val="00E27E11"/>
    <w:rsid w:val="00E4278D"/>
    <w:rsid w:val="00E4574D"/>
    <w:rsid w:val="00E535C8"/>
    <w:rsid w:val="00E54F82"/>
    <w:rsid w:val="00E5638A"/>
    <w:rsid w:val="00E624AE"/>
    <w:rsid w:val="00E63E06"/>
    <w:rsid w:val="00E65A8F"/>
    <w:rsid w:val="00E66A19"/>
    <w:rsid w:val="00E7663B"/>
    <w:rsid w:val="00E806A8"/>
    <w:rsid w:val="00E80B34"/>
    <w:rsid w:val="00E84D8C"/>
    <w:rsid w:val="00E851DF"/>
    <w:rsid w:val="00E86CB8"/>
    <w:rsid w:val="00E93C15"/>
    <w:rsid w:val="00EA05E0"/>
    <w:rsid w:val="00EA10AA"/>
    <w:rsid w:val="00EA37C5"/>
    <w:rsid w:val="00EA4926"/>
    <w:rsid w:val="00EA49A8"/>
    <w:rsid w:val="00EA5974"/>
    <w:rsid w:val="00EA6FCB"/>
    <w:rsid w:val="00EB0BC9"/>
    <w:rsid w:val="00EB2CE6"/>
    <w:rsid w:val="00EB6F2C"/>
    <w:rsid w:val="00EC0401"/>
    <w:rsid w:val="00EC2366"/>
    <w:rsid w:val="00EC4720"/>
    <w:rsid w:val="00EC6F47"/>
    <w:rsid w:val="00EC7A56"/>
    <w:rsid w:val="00ED1F77"/>
    <w:rsid w:val="00ED1FD3"/>
    <w:rsid w:val="00EE6123"/>
    <w:rsid w:val="00EE7362"/>
    <w:rsid w:val="00EF00CA"/>
    <w:rsid w:val="00F05968"/>
    <w:rsid w:val="00F0642A"/>
    <w:rsid w:val="00F12A24"/>
    <w:rsid w:val="00F12BF0"/>
    <w:rsid w:val="00F16954"/>
    <w:rsid w:val="00F23692"/>
    <w:rsid w:val="00F25171"/>
    <w:rsid w:val="00F25C24"/>
    <w:rsid w:val="00F31EEB"/>
    <w:rsid w:val="00F323E8"/>
    <w:rsid w:val="00F3685E"/>
    <w:rsid w:val="00F40462"/>
    <w:rsid w:val="00F41552"/>
    <w:rsid w:val="00F477EC"/>
    <w:rsid w:val="00F509D9"/>
    <w:rsid w:val="00F51468"/>
    <w:rsid w:val="00F538AB"/>
    <w:rsid w:val="00F565E2"/>
    <w:rsid w:val="00F672B1"/>
    <w:rsid w:val="00F67970"/>
    <w:rsid w:val="00F7155C"/>
    <w:rsid w:val="00F72221"/>
    <w:rsid w:val="00F72F22"/>
    <w:rsid w:val="00F740D3"/>
    <w:rsid w:val="00F74FDF"/>
    <w:rsid w:val="00F808C2"/>
    <w:rsid w:val="00F81C16"/>
    <w:rsid w:val="00F87185"/>
    <w:rsid w:val="00F96270"/>
    <w:rsid w:val="00FA0A3C"/>
    <w:rsid w:val="00FA0B28"/>
    <w:rsid w:val="00FA4911"/>
    <w:rsid w:val="00FC1727"/>
    <w:rsid w:val="00FC7159"/>
    <w:rsid w:val="00FD0A8B"/>
    <w:rsid w:val="00FE0082"/>
    <w:rsid w:val="00FF2E16"/>
    <w:rsid w:val="00FF381C"/>
    <w:rsid w:val="00FF4A0C"/>
    <w:rsid w:val="00FF4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C57033"/>
    <w:pPr>
      <w:numPr>
        <w:numId w:val="58"/>
      </w:numPr>
    </w:pPr>
  </w:style>
  <w:style w:type="paragraph" w:customStyle="1" w:styleId="Normal1">
    <w:name w:val="Normal_1"/>
    <w:rsid w:val="00E4574D"/>
    <w:pPr>
      <w:suppressAutoHyphens/>
      <w:spacing w:after="0" w:line="320" w:lineRule="atLeast"/>
      <w:jc w:val="both"/>
    </w:pPr>
    <w:rPr>
      <w:rFonts w:ascii="Times New Roman" w:eastAsia="Times New Roman" w:hAnsi="Times New Roman" w:cs="Times New Roman"/>
      <w:szCs w:val="20"/>
      <w:lang w:eastAsia="ar-SA"/>
    </w:rPr>
  </w:style>
  <w:style w:type="character" w:styleId="Nevyeenzmnka">
    <w:name w:val="Unresolved Mention"/>
    <w:basedOn w:val="Standardnpsmoodstavce"/>
    <w:uiPriority w:val="99"/>
    <w:semiHidden/>
    <w:unhideWhenUsed/>
    <w:rsid w:val="00982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922">
      <w:bodyDiv w:val="1"/>
      <w:marLeft w:val="0"/>
      <w:marRight w:val="0"/>
      <w:marTop w:val="0"/>
      <w:marBottom w:val="0"/>
      <w:divBdr>
        <w:top w:val="none" w:sz="0" w:space="0" w:color="auto"/>
        <w:left w:val="none" w:sz="0" w:space="0" w:color="auto"/>
        <w:bottom w:val="none" w:sz="0" w:space="0" w:color="auto"/>
        <w:right w:val="none" w:sz="0" w:space="0" w:color="auto"/>
      </w:divBdr>
    </w:div>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528185517">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7648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043B-3D3F-42B4-8163-CA44FE9B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3195</Words>
  <Characters>18853</Characters>
  <Application>Microsoft Office Word</Application>
  <DocSecurity>0</DocSecurity>
  <Lines>157</Lines>
  <Paragraphs>44</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2022-11-16T12:27:00Z</dcterms:created>
  <dcterms:modified xsi:type="dcterms:W3CDTF">2022-11-16T12:27:00Z</dcterms:modified>
</cp:coreProperties>
</file>