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28600" distL="114300" distR="114300" simplePos="0" relativeHeight="125829378" behindDoc="0" locked="0" layoutInCell="1" allowOverlap="1">
            <wp:simplePos x="0" y="0"/>
            <wp:positionH relativeFrom="page">
              <wp:posOffset>5566410</wp:posOffset>
            </wp:positionH>
            <wp:positionV relativeFrom="paragraph">
              <wp:posOffset>12700</wp:posOffset>
            </wp:positionV>
            <wp:extent cx="1475105" cy="38989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75105" cy="3898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5727700</wp:posOffset>
                </wp:positionH>
                <wp:positionV relativeFrom="paragraph">
                  <wp:posOffset>485140</wp:posOffset>
                </wp:positionV>
                <wp:extent cx="597535" cy="14351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color w:val="000000"/>
                                <w:sz w:val="16"/>
                                <w:szCs w:val="16"/>
                              </w:rPr>
                              <w:t>2022008077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1.pt;margin-top:38.200000000000003pt;width:47.050000000000004pt;height:11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color w:val="000000"/>
                          <w:sz w:val="16"/>
                          <w:szCs w:val="16"/>
                        </w:rPr>
                        <w:t>2022008077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2"/>
          <w:b/>
          <w:bCs/>
        </w:rPr>
        <w:t>RÁMCOVÁ KUPNÍ SMLOUVA</w:t>
      </w:r>
      <w:bookmarkEnd w:id="0"/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2" w:name="bookmark2"/>
      <w:r>
        <w:rPr>
          <w:rStyle w:val="CharStyle17"/>
        </w:rPr>
        <w:t>uzavřená v souladu s ustanovením § 2079 a násl. zákona č. 89/2012 Sb., občanský zákoník, mezi níže uvedenými smluvními stranami</w:t>
      </w:r>
      <w:bookmarkEnd w:id="2"/>
    </w:p>
    <w:tbl>
      <w:tblPr>
        <w:tblOverlap w:val="never"/>
        <w:jc w:val="center"/>
        <w:tblLayout w:type="fixed"/>
      </w:tblPr>
      <w:tblGrid>
        <w:gridCol w:w="3072"/>
        <w:gridCol w:w="6029"/>
      </w:tblGrid>
      <w:tr>
        <w:trPr>
          <w:trHeight w:val="4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rStyle w:val="CharStyle21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1"/>
              </w:rPr>
              <w:t>Kamenice 798/1 d, 625 00 Brno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1"/>
              </w:rPr>
              <w:t>MUDr. Hana Albrechtová, ředitelka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1"/>
                <w:spacing w:val="4"/>
                <w:shd w:val="clear" w:color="auto" w:fill="000000"/>
              </w:rPr>
              <w:t>..........</w:t>
            </w:r>
            <w:r>
              <w:rPr>
                <w:rStyle w:val="CharStyle21"/>
                <w:shd w:val="clear" w:color="auto" w:fill="000000"/>
              </w:rPr>
              <w:t>​.</w:t>
            </w:r>
            <w:r>
              <w:rPr>
                <w:rStyle w:val="CharStyle21"/>
                <w:spacing w:val="1"/>
                <w:shd w:val="clear" w:color="auto" w:fill="000000"/>
              </w:rPr>
              <w:t>........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IČ: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rStyle w:val="CharStyle21"/>
                <w:u w:val="single"/>
                <w:shd w:val="clear" w:color="auto" w:fill="000000"/>
                <w:lang w:val="en-US" w:eastAsia="en-US" w:bidi="en-US"/>
              </w:rPr>
              <w:t>...............</w:t>
            </w:r>
            <w:r>
              <w:rPr>
                <w:rStyle w:val="CharStyle21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</w:t>
            </w:r>
            <w:r>
              <w:rPr>
                <w:rStyle w:val="CharStyle21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8"/>
                <w:shd w:val="clear" w:color="auto" w:fill="000000"/>
              </w:rPr>
              <w:t>..</w:t>
            </w:r>
            <w:r>
              <w:rPr>
                <w:rStyle w:val="CharStyle21"/>
                <w:spacing w:val="9"/>
                <w:shd w:val="clear" w:color="auto" w:fill="000000"/>
              </w:rPr>
              <w:t>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8"/>
                <w:shd w:val="clear" w:color="auto" w:fill="000000"/>
              </w:rPr>
              <w:t>.</w:t>
            </w:r>
            <w:r>
              <w:rPr>
                <w:rStyle w:val="CharStyle21"/>
                <w:spacing w:val="9"/>
                <w:shd w:val="clear" w:color="auto" w:fill="000000"/>
              </w:rPr>
              <w:t>.....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6"/>
                <w:shd w:val="clear" w:color="auto" w:fill="000000"/>
              </w:rPr>
              <w:t>....</w:t>
            </w:r>
            <w:r>
              <w:rPr>
                <w:rStyle w:val="CharStyle21"/>
                <w:spacing w:val="7"/>
                <w:shd w:val="clear" w:color="auto" w:fill="000000"/>
              </w:rPr>
              <w:t>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7"/>
                <w:shd w:val="clear" w:color="auto" w:fill="000000"/>
              </w:rPr>
              <w:t>...</w:t>
            </w:r>
            <w:r>
              <w:rPr>
                <w:rStyle w:val="CharStyle21"/>
                <w:spacing w:val="8"/>
                <w:shd w:val="clear" w:color="auto" w:fill="000000"/>
              </w:rPr>
              <w:t>....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6"/>
                <w:shd w:val="clear" w:color="auto" w:fill="000000"/>
              </w:rPr>
              <w:t>...</w:t>
            </w:r>
            <w:r>
              <w:rPr>
                <w:rStyle w:val="CharStyle21"/>
                <w:spacing w:val="7"/>
                <w:shd w:val="clear" w:color="auto" w:fill="000000"/>
              </w:rPr>
              <w:t>.....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8"/>
                <w:shd w:val="clear" w:color="auto" w:fill="000000"/>
              </w:rPr>
              <w:t>.</w:t>
            </w:r>
            <w:r>
              <w:rPr>
                <w:rStyle w:val="CharStyle21"/>
                <w:spacing w:val="9"/>
                <w:shd w:val="clear" w:color="auto" w:fill="000000"/>
              </w:rPr>
              <w:t>.....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8"/>
                <w:shd w:val="clear" w:color="auto" w:fill="000000"/>
              </w:rPr>
              <w:t>.</w:t>
            </w:r>
            <w:r>
              <w:rPr>
                <w:rStyle w:val="CharStyle21"/>
                <w:spacing w:val="9"/>
                <w:shd w:val="clear" w:color="auto" w:fill="000000"/>
              </w:rPr>
              <w:t>.....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10"/>
                <w:shd w:val="clear" w:color="auto" w:fill="000000"/>
              </w:rPr>
              <w:t>..</w:t>
            </w:r>
            <w:r>
              <w:rPr>
                <w:rStyle w:val="CharStyle21"/>
                <w:spacing w:val="11"/>
                <w:shd w:val="clear" w:color="auto" w:fill="000000"/>
              </w:rPr>
              <w:t>...</w:t>
            </w:r>
            <w:r>
              <w:rPr>
                <w:rStyle w:val="CharStyle21"/>
              </w:rPr>
              <w:t xml:space="preserve"> 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1"/>
              </w:rPr>
              <w:t>CZ00346292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1"/>
              </w:rPr>
              <w:t>Krajský soud v Brně sp. zn. Pr 1245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1"/>
              </w:rPr>
              <w:t>MONETA Money Bank, a.s., č. ú. 117203514/0600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(dále jen „kupující“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072"/>
        <w:gridCol w:w="6024"/>
      </w:tblGrid>
      <w:tr>
        <w:trPr>
          <w:trHeight w:val="57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ČI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1"/>
                <w:b/>
                <w:bCs/>
              </w:rPr>
              <w:t>Teleflex Medical s.r.o.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1"/>
              </w:rPr>
              <w:t>Pražská třída 209/182, 500 04 Hradec Králové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1"/>
              </w:rPr>
              <w:t>Martin Hlaváček, jednatel</w:t>
            </w:r>
          </w:p>
        </w:tc>
      </w:tr>
      <w:tr>
        <w:trPr>
          <w:trHeight w:val="67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1"/>
                <w:spacing w:val="1"/>
                <w:shd w:val="clear" w:color="auto" w:fill="000000"/>
              </w:rPr>
              <w:t>...</w:t>
            </w:r>
            <w:r>
              <w:rPr>
                <w:rStyle w:val="CharStyle21"/>
                <w:spacing w:val="2"/>
                <w:shd w:val="clear" w:color="auto" w:fill="000000"/>
              </w:rPr>
              <w:t>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5"/>
                <w:shd w:val="clear" w:color="auto" w:fill="000000"/>
              </w:rPr>
              <w:t>........</w:t>
            </w:r>
            <w:r>
              <w:rPr>
                <w:rStyle w:val="CharStyle21"/>
                <w:spacing w:val="6"/>
                <w:shd w:val="clear" w:color="auto" w:fill="000000"/>
              </w:rPr>
              <w:t>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1"/>
                <w:shd w:val="clear" w:color="auto" w:fill="000000"/>
              </w:rPr>
              <w:t>....</w:t>
            </w:r>
            <w:r>
              <w:rPr>
                <w:rStyle w:val="CharStyle21"/>
                <w:spacing w:val="2"/>
                <w:shd w:val="clear" w:color="auto" w:fill="000000"/>
              </w:rPr>
              <w:t>...........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rStyle w:val="CharStyle21"/>
                <w:spacing w:val="3"/>
                <w:shd w:val="clear" w:color="auto" w:fill="000000"/>
              </w:rPr>
              <w:t>..</w:t>
            </w:r>
            <w:r>
              <w:rPr>
                <w:rStyle w:val="CharStyle21"/>
                <w:spacing w:val="4"/>
                <w:shd w:val="clear" w:color="auto" w:fill="000000"/>
              </w:rPr>
              <w:t>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3"/>
                <w:shd w:val="clear" w:color="auto" w:fill="000000"/>
              </w:rPr>
              <w:t>..</w:t>
            </w:r>
            <w:r>
              <w:rPr>
                <w:rStyle w:val="CharStyle21"/>
                <w:spacing w:val="4"/>
                <w:shd w:val="clear" w:color="auto" w:fill="000000"/>
              </w:rPr>
              <w:t>......</w:t>
            </w:r>
            <w:r>
              <w:rPr>
                <w:rStyle w:val="CharStyle21"/>
                <w:shd w:val="clear" w:color="auto" w:fill="000000"/>
                <w:lang w:val="en-US" w:eastAsia="en-US" w:bidi="en-US"/>
              </w:rPr>
              <w:t>​...........</w:t>
            </w:r>
            <w:r>
              <w:rPr>
                <w:rStyle w:val="CharStyle21"/>
                <w:spacing w:val="1"/>
                <w:shd w:val="clear" w:color="auto" w:fill="000000"/>
                <w:lang w:val="en-US" w:eastAsia="en-US" w:bidi="en-US"/>
              </w:rPr>
              <w:t>.....................................</w:t>
            </w:r>
            <w:r>
              <w:rPr>
                <w:rStyle w:val="CharStyle21"/>
                <w:lang w:val="en-US" w:eastAsia="en-US" w:bidi="en-US"/>
              </w:rPr>
              <w:t xml:space="preserve"> 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8"/>
                <w:shd w:val="clear" w:color="auto" w:fill="000000"/>
              </w:rPr>
              <w:t>..</w:t>
            </w:r>
            <w:r>
              <w:rPr>
                <w:rStyle w:val="CharStyle21"/>
                <w:spacing w:val="9"/>
                <w:shd w:val="clear" w:color="auto" w:fill="000000"/>
              </w:rPr>
              <w:t>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8"/>
                <w:shd w:val="clear" w:color="auto" w:fill="000000"/>
              </w:rPr>
              <w:t>.</w:t>
            </w:r>
            <w:r>
              <w:rPr>
                <w:rStyle w:val="CharStyle21"/>
                <w:spacing w:val="9"/>
                <w:shd w:val="clear" w:color="auto" w:fill="000000"/>
              </w:rPr>
              <w:t>.....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8"/>
                <w:shd w:val="clear" w:color="auto" w:fill="000000"/>
              </w:rPr>
              <w:t>.</w:t>
            </w:r>
            <w:r>
              <w:rPr>
                <w:rStyle w:val="CharStyle21"/>
                <w:spacing w:val="9"/>
                <w:shd w:val="clear" w:color="auto" w:fill="000000"/>
              </w:rPr>
              <w:t>.....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10"/>
                <w:shd w:val="clear" w:color="auto" w:fill="000000"/>
              </w:rPr>
              <w:t>..</w:t>
            </w:r>
            <w:r>
              <w:rPr>
                <w:rStyle w:val="CharStyle21"/>
                <w:spacing w:val="11"/>
                <w:shd w:val="clear" w:color="auto" w:fill="000000"/>
              </w:rPr>
              <w:t>...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1"/>
              </w:rPr>
              <w:t>288 49 809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1"/>
              </w:rPr>
              <w:t>CZ28849809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both"/>
            </w:pPr>
            <w:r>
              <w:rPr>
                <w:rStyle w:val="CharStyle21"/>
              </w:rPr>
              <w:t>společnost zapsána u Krajského soudu v Hradci Králové, oddíl C, spisová značka 30847</w:t>
            </w:r>
          </w:p>
        </w:tc>
      </w:tr>
      <w:tr>
        <w:trPr>
          <w:trHeight w:val="6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rStyle w:val="CharStyle21"/>
              </w:rPr>
              <w:t>Unicredit Bank Czech Republic and Slovakia, a.s. Č. účtu: 2107845037/2700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(dále jen „prodávající“</w:t>
      </w:r>
    </w:p>
    <w:p>
      <w:pPr>
        <w:widowControl w:val="0"/>
        <w:spacing w:after="93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240" w:line="240" w:lineRule="auto"/>
        <w:ind w:left="440" w:right="0" w:hanging="440"/>
        <w:jc w:val="both"/>
      </w:pPr>
      <w:r>
        <w:rPr>
          <w:rStyle w:val="CharStyle6"/>
        </w:rPr>
        <w:t>Prodávající je oprávněn na základě svého vlastnického práva nakládat se zbožím ve formě laryngeálních masek, jejichž specifikace, včetně jejích jednotkových cen, je uvedena v příloze č. 1, která je nedílnou součástí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240" w:line="240" w:lineRule="auto"/>
        <w:ind w:left="440" w:right="0" w:hanging="440"/>
        <w:jc w:val="both"/>
      </w:pPr>
      <w:r>
        <w:rPr>
          <w:rStyle w:val="CharStyle6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240" w:line="240" w:lineRule="auto"/>
        <w:ind w:left="440" w:right="0" w:hanging="440"/>
        <w:jc w:val="both"/>
      </w:pPr>
      <w:r>
        <w:rPr>
          <w:rStyle w:val="CharStyle6"/>
        </w:rPr>
        <w:t>Součástí dodávky zboží podle čl. 2 této smlouvy je dodání všech dokladů, vztahujících se k tomuto zboží, a návody k použití v českém jazyce.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260" w:line="240" w:lineRule="auto"/>
        <w:ind w:left="440" w:right="0" w:hanging="440"/>
        <w:jc w:val="both"/>
      </w:pPr>
      <w:r>
        <w:rPr>
          <w:rStyle w:val="CharStyle6"/>
        </w:rPr>
        <w:t xml:space="preserve">Prodávající se zavazuje plnit svůj závazek k dodání zboží podle čl. 1 této smlouvy vždy nejpozději do </w:t>
      </w:r>
      <w:r>
        <w:rPr>
          <w:rStyle w:val="CharStyle6"/>
          <w:b/>
          <w:bCs/>
        </w:rPr>
        <w:t xml:space="preserve">5-ti pracovních dní </w:t>
      </w:r>
      <w:r>
        <w:rPr>
          <w:rStyle w:val="CharStyle6"/>
        </w:rPr>
        <w:t>ode dne účinnosti příslušné dílčí kupní smlouvy. Tento závazek se bude považovat za splněný po předání a převzetí příslušného zboží formou písemného předávacího protokolu, podepsaného oběma stranami. Místem dodání je centrální sklad v sídle zadavatele.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680" w:line="240" w:lineRule="auto"/>
        <w:ind w:left="420" w:right="0" w:hanging="420"/>
        <w:jc w:val="both"/>
      </w:pPr>
      <w:r>
        <w:rPr>
          <w:rStyle w:val="CharStyle6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6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6"/>
        </w:rPr>
        <w:t>Kupující se zavazuje zaplatit prodávajícímu za předmět koupě a prodeje podle čl. 1 této smlouvy kupní cenu, která bude stanovena jako součin dodaného množství příslušného zboží a jeho jednotkových cen. Jednotkové ceny zboží jsou uvedeny v příloze č. 1 této smlouvy, která je nedílnou součástí této smlouvy. Součástí těchto cen jsou veškeré náklady prodávajícího na splnění jeho závazku k dodání zboží podle této smlouvy. Výše uvedené ceny se prodávající zavazuje garantovat po dobu podle čl. 20 této smlouvy. Změna ceny je možná pouze v případě změny zákonné sazby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440" w:line="240" w:lineRule="auto"/>
        <w:ind w:left="420" w:right="0" w:hanging="420"/>
        <w:jc w:val="both"/>
      </w:pPr>
      <w:r>
        <w:rPr>
          <w:rStyle w:val="CharStyle6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Faktura/daňový doklad bude doručena elektronicky na email: </w:t>
      </w:r>
      <w:r>
        <w:rPr>
          <w:rStyle w:val="CharStyle6"/>
          <w:u w:val="single"/>
          <w:shd w:val="clear" w:color="auto" w:fill="000000"/>
          <w:lang w:val="en-US" w:eastAsia="en-US" w:bidi="en-US"/>
        </w:rPr>
        <w:t>...............</w:t>
      </w:r>
      <w:r>
        <w:rPr>
          <w:rStyle w:val="CharStyle6"/>
          <w:spacing w:val="1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CharStyle6"/>
          <w:shd w:val="clear" w:color="auto" w:fill="000000"/>
          <w:lang w:val="en-US" w:eastAsia="en-US" w:bidi="en-US"/>
        </w:rPr>
        <w:t>.</w:t>
      </w:r>
      <w:r>
        <w:rPr>
          <w:rStyle w:val="CharStyle6"/>
          <w:shd w:val="clear" w:color="auto" w:fill="000000"/>
        </w:rPr>
        <w:t>​</w:t>
      </w:r>
      <w:r>
        <w:rPr>
          <w:rStyle w:val="CharStyle6"/>
          <w:spacing w:val="55"/>
          <w:shd w:val="clear" w:color="auto" w:fill="000000"/>
        </w:rPr>
        <w:t>.</w:t>
      </w:r>
      <w:r>
        <w:rPr>
          <w:rStyle w:val="CharStyle6"/>
        </w:rPr>
        <w:t xml:space="preserve"> </w:t>
      </w:r>
      <w:r>
        <w:rPr>
          <w:rStyle w:val="CharStyle6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6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CharStyle6"/>
          <w:spacing w:val="2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CharStyle6"/>
          <w:u w:val="single"/>
          <w:lang w:val="en-US" w:eastAsia="en-US" w:bidi="en-US"/>
        </w:rPr>
        <w:t>.</w:t>
      </w:r>
      <w:r>
        <w:rPr>
          <w:rStyle w:val="CharStyle6"/>
          <w:lang w:val="en-US" w:eastAsia="en-US" w:bidi="en-US"/>
        </w:rPr>
        <w:t xml:space="preserve"> </w:t>
      </w:r>
      <w:r>
        <w:rPr>
          <w:rStyle w:val="CharStyle6"/>
        </w:rPr>
        <w:t xml:space="preserve">Na faktuře/daňovém dokladu musí být mimo jiné vždy uvedeno toto číslo veřejné zakázky, ke které se faktura vztahuje: </w:t>
      </w:r>
      <w:r>
        <w:rPr>
          <w:rStyle w:val="CharStyle6"/>
          <w:b/>
          <w:bCs/>
        </w:rPr>
        <w:t xml:space="preserve">P22V00003489. </w:t>
      </w:r>
      <w:r>
        <w:rPr>
          <w:rStyle w:val="CharStyle6"/>
        </w:rPr>
        <w:t>Nebude-li faktura splňovat veškeré náležitosti daňového dokladu podle zákona a další náležitosti podle této smlouvy, je kupující oprávněn vrátit takovou fakturu zhotoviteli k opravě, přičemž doba její splatnosti začne znovu celá běžet ode dne doručení opravené faktury kupujícímu.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6"/>
        </w:rPr>
        <w:t>S převodem zboží je podle čl. 1 této smlouvy spojena záruka za jeho jakost v trvání doby použitelnosti vyznačené na zboží, nejméně však v trvání minimálně 24 měsíců ode dne dodání příslušného zboží. V rámci záruky se prodávající zavazuje, že zboží podle čl. 1 této smlouvy bude nové, v neporušeném balení s řádným označením, s minimální skladovací životností po celou dobu uvedené záruční lhůty a bude mít po tuto dobu vlastnosti, které jsou stanoveny právními předpisy nebo technickými normami nebo jsou u zboží tohoto druhu obvyklé, a že bude po dobu záruční lhůty bezplatné odstraňovat vady, které se na zboží podle čl. 1 této smlouvy vyskytnou. Vzhledem k povaze příslušného zboží lze provést odstranění reklamované vady jen výměnou vadného zboží za nové bezvadné, a to nejpozději do 48 hodin od doručení příslušné reklamace kupujícího.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6"/>
        </w:rPr>
        <w:t>Pro případ sporu o oprávněnost reklamace se prodávajícímu vyhrazuje právo nechat vyhotovit k prověření jakosti zboží soudné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6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6"/>
        </w:rPr>
        <w:t>Pro případ prodlení se splněním závazku prodávajícího k dodání zboží ve lhůtě podle čl. 4 této smlouvy se prodávající zavazuje platit kupujícímu smluvní pokutu ve výši 0,1 % z kupní ceny podle čl. 7 této smlouvy za každý započatý dne tohoto prodlení. Pro případ prodlení s odstraněním vady ve lhůtě podle čl. 9 této smlouvy se prodávající zavazuje platit kupujícímu smluvní pokutu ve výši 0,1% z kupní ceny zboží za každý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6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kupující oprávněn odstoupit od této smlouvy s účinky ex tunc.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460" w:line="240" w:lineRule="auto"/>
        <w:ind w:left="400" w:right="0" w:hanging="400"/>
        <w:jc w:val="both"/>
      </w:pPr>
      <w:r>
        <w:rPr>
          <w:rStyle w:val="CharStyle6"/>
        </w:rPr>
        <w:t>Pro případ prodlení kupujícího se zaplacením kupní ceny nebo její části ve Ihútě podle čl. 8 této smlouvy o víc, než 2 týdny, je prodávající oprávněn od této smlouvy odstoupit s účinky ex tunc.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6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6"/>
        </w:rPr>
        <w:t>Tato smlouva se uzavírá na základě návrhu na její uzavření ze strany kupujícího Předpokladem uzavření této smlouvy je její písemná forma a dohoda o celém jejím obsahu jak je obsažen v jejích článcích 1 až 21. Kupující přitom předem vylučuje přijetí tohoto návrhu s dodatkem nebo odchylkou ve smyslu § 1740 odst. 3 občanského zákoníku.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6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6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6"/>
        </w:rPr>
        <w:t>Tato smlouva nabývá účinnosti po jejím podpisu oběma smluvními stranami dnem jejího uveřejnění v Registru smluv, nejdříve však 1.1. 2023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6"/>
        </w:rPr>
        <w:t>Tato smlouva se uzavírá na dobu určitou do 31. 12. 2024.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960" w:line="240" w:lineRule="auto"/>
        <w:ind w:left="400" w:right="0" w:hanging="400"/>
        <w:jc w:val="both"/>
      </w:pPr>
      <w:r>
        <mc:AlternateContent>
          <mc:Choice Requires="wps">
            <w:drawing>
              <wp:anchor distT="0" distB="765175" distL="114300" distR="1421765" simplePos="0" relativeHeight="125829379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889000</wp:posOffset>
                </wp:positionV>
                <wp:extent cx="1170305" cy="17970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030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74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4.pt;margin-top:70.pt;width:92.150000000000006pt;height:14.15pt;z-index:-125829374;mso-wrap-distance-left:9.pt;mso-wrap-distance-right:111.95pt;mso-wrap-distance-bottom:60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7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V Brně dne</w:t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280670" distB="0" distL="842645" distR="114300" simplePos="0" relativeHeight="125829381" behindDoc="0" locked="0" layoutInCell="1" allowOverlap="1">
            <wp:simplePos x="0" y="0"/>
            <wp:positionH relativeFrom="page">
              <wp:posOffset>1541145</wp:posOffset>
            </wp:positionH>
            <wp:positionV relativeFrom="paragraph">
              <wp:posOffset>1169670</wp:posOffset>
            </wp:positionV>
            <wp:extent cx="1749425" cy="664210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49425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"/>
        </w:rPr>
        <w:t>Dáno ve dvou originálních písemných vyhotoveních, z nichž každá ze smluvních stran obdrží po jednom.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4294" w:val="left"/>
        </w:tabs>
        <w:bidi w:val="0"/>
        <w:spacing w:before="0" w:after="1360" w:line="240" w:lineRule="auto"/>
        <w:ind w:left="1260" w:right="0" w:firstLine="0"/>
        <w:jc w:val="left"/>
      </w:pPr>
      <w:r>
        <w:drawing>
          <wp:anchor distT="0" distB="875030" distL="147955" distR="608330" simplePos="0" relativeHeight="125829382" behindDoc="0" locked="0" layoutInCell="1" allowOverlap="1">
            <wp:simplePos x="0" y="0"/>
            <wp:positionH relativeFrom="page">
              <wp:posOffset>4229735</wp:posOffset>
            </wp:positionH>
            <wp:positionV relativeFrom="paragraph">
              <wp:posOffset>469900</wp:posOffset>
            </wp:positionV>
            <wp:extent cx="2109470" cy="487680"/>
            <wp:wrapSquare wrapText="lef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09470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4196080</wp:posOffset>
                </wp:positionH>
                <wp:positionV relativeFrom="paragraph">
                  <wp:posOffset>1021715</wp:posOffset>
                </wp:positionV>
                <wp:extent cx="862330" cy="44831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2330" cy="448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color w:val="000000"/>
                              </w:rPr>
                              <w:t>Martin Hlaváček 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0.40000000000003pt;margin-top:80.450000000000003pt;width:67.900000000000006pt;height:35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000000"/>
                        </w:rPr>
                        <w:t>Martin Hlaváček 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5220335</wp:posOffset>
                </wp:positionH>
                <wp:positionV relativeFrom="paragraph">
                  <wp:posOffset>1155700</wp:posOffset>
                </wp:positionV>
                <wp:extent cx="1609090" cy="67691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9090" cy="676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sz w:val="22"/>
                                <w:szCs w:val="22"/>
                              </w:rPr>
                              <w:t>Teieflex Medical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Pražská třída 209/182 500 04 Hradec Králové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sz w:val="18"/>
                                <w:szCs w:val="18"/>
                              </w:rPr>
                              <w:t>Czech Rspublic -2-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11.05000000000001pt;margin-top:91.pt;width:126.7pt;height:53.300000000000004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sz w:val="22"/>
                          <w:szCs w:val="22"/>
                        </w:rPr>
                        <w:t>Teieflex Medical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Pražská třída 209/182 500 04 Hradec Králové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sz w:val="18"/>
                          <w:szCs w:val="18"/>
                        </w:rPr>
                        <w:t>Czech Rspublic -2-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6"/>
        </w:rPr>
        <w:t>V Hradci Králové dne</w:t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MUDr. Hana Albrechtová ředitelka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rStyle w:val="CharStyle6"/>
          <w:b/>
          <w:bCs/>
        </w:rPr>
        <w:t>Kupující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6"/>
        </w:rPr>
        <w:t>Příloha č. 1 Specifikace, ceník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6"/>
          <w:b/>
          <w:bCs/>
        </w:rPr>
        <w:t>Příloha č. 1 Specifikace, ceník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6"/>
          <w:b/>
          <w:bCs/>
        </w:rPr>
        <w:t>LARYNGEÁLNÍ MASKA</w:t>
      </w:r>
    </w:p>
    <w:tbl>
      <w:tblPr>
        <w:tblOverlap w:val="never"/>
        <w:jc w:val="center"/>
        <w:tblLayout w:type="fixed"/>
      </w:tblPr>
      <w:tblGrid>
        <w:gridCol w:w="4795"/>
        <w:gridCol w:w="4176"/>
      </w:tblGrid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Model - typové/výrobní označení: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  <w:i/>
                <w:iCs/>
              </w:rPr>
              <w:t>LMA Supreme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Výrobce: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21"/>
                <w:b/>
                <w:bCs/>
                <w:i/>
                <w:iCs/>
              </w:rPr>
              <w:t>Teleflex Medical</w:t>
            </w:r>
          </w:p>
        </w:tc>
      </w:tr>
    </w:tbl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518"/>
        <w:gridCol w:w="1195"/>
        <w:gridCol w:w="5093"/>
        <w:gridCol w:w="2674"/>
      </w:tblGrid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  <w:b/>
                <w:bCs/>
              </w:rPr>
              <w:t>Požadavky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Zadavatelem požadovaná hodnota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Účastníkem nabízená hodnota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Velikost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1; 1,5; 2; 2,5; 3; 4;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1; 1,5; 2; 2,5; 3; 4; 5</w:t>
            </w:r>
          </w:p>
        </w:tc>
      </w:tr>
      <w:tr>
        <w:trPr>
          <w:trHeight w:val="65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Vlastnosti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21"/>
              </w:rPr>
              <w:t>Jednorázová supraglotická pomůcka z PVC pro zdravotnické použití.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1"/>
                <w:i/>
                <w:iCs/>
                <w:sz w:val="19"/>
                <w:szCs w:val="19"/>
              </w:rPr>
              <w:t>Ano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Snadné zavedení i pro nelékařský zdravotnický personál při poskytování neodkladné přednemocniční péče.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1"/>
                <w:i/>
                <w:iCs/>
                <w:sz w:val="19"/>
                <w:szCs w:val="19"/>
              </w:rPr>
              <w:t>Ano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Předformovaný tuhý tvar laryngeální masky odpovídající anatomickým strukturám.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1"/>
                <w:i/>
                <w:iCs/>
                <w:sz w:val="19"/>
                <w:szCs w:val="19"/>
              </w:rPr>
              <w:t>Ano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S gastrickou drenážní rourkou, s fixační ploškou.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1"/>
                <w:i/>
                <w:iCs/>
                <w:sz w:val="19"/>
                <w:szCs w:val="19"/>
              </w:rPr>
              <w:t>Ano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Barevné odlišení velikostí, označení váhy pacienta a vhodného objemu.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1"/>
                <w:i/>
                <w:iCs/>
                <w:sz w:val="19"/>
                <w:szCs w:val="19"/>
              </w:rPr>
              <w:t>Ano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Balení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Samostatné baleno.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1"/>
                <w:i/>
                <w:iCs/>
                <w:sz w:val="19"/>
                <w:szCs w:val="19"/>
              </w:rPr>
              <w:t>Ano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Exspirace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24 měsíců od dodání.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1"/>
                <w:i/>
                <w:iCs/>
                <w:sz w:val="19"/>
                <w:szCs w:val="19"/>
              </w:rPr>
              <w:t>Ano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Evidence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VZP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21"/>
              </w:rPr>
              <w:t>Zařazeno v seznamu ZUM, hrazené zdravotní pojišťovnou (kód VZP).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1"/>
                <w:i/>
                <w:iCs/>
                <w:sz w:val="19"/>
                <w:szCs w:val="19"/>
              </w:rPr>
              <w:t>Ano</w:t>
            </w:r>
          </w:p>
        </w:tc>
      </w:tr>
    </w:tbl>
    <w:p>
      <w:pPr>
        <w:widowControl w:val="0"/>
        <w:spacing w:after="479" w:line="1" w:lineRule="exact"/>
      </w:pPr>
    </w:p>
    <w:p>
      <w:pPr>
        <w:widowControl w:val="0"/>
        <w:spacing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  <w:rPr>
          <w:sz w:val="22"/>
          <w:szCs w:val="22"/>
        </w:rPr>
      </w:pPr>
      <w:r>
        <w:rPr>
          <w:rStyle w:val="CharStyle19"/>
          <w:b/>
          <w:bCs/>
          <w:sz w:val="22"/>
          <w:szCs w:val="22"/>
        </w:rPr>
        <w:t>Ceník</w:t>
      </w:r>
    </w:p>
    <w:tbl>
      <w:tblPr>
        <w:tblOverlap w:val="never"/>
        <w:jc w:val="center"/>
        <w:tblLayout w:type="fixed"/>
      </w:tblPr>
      <w:tblGrid>
        <w:gridCol w:w="1661"/>
        <w:gridCol w:w="2779"/>
        <w:gridCol w:w="1675"/>
        <w:gridCol w:w="1546"/>
        <w:gridCol w:w="1550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Produktový kód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Název zboží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Cena jednotková (bez DPH)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Cena jednotková (včetně DPH)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Kód VZP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175010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Laryngeální maska vel.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457,02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552,99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0192447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175015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Laryngeální maska vel. 1,5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457,02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552,99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0192447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175020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Laryngeální maska vel.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457,02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552,99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0192447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175025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Laryngeální maska vel. 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1"/>
              </w:rPr>
              <w:t>457,02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552,99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0192447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175030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Laryngeální maska vel.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1"/>
              </w:rPr>
              <w:t>457,02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552,99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0192446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175040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Laryngeální maska vel.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21"/>
              </w:rPr>
              <w:t>457,02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552,99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0192446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175050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Laryngeální maska vel.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457,02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552,99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0192446</w:t>
            </w:r>
          </w:p>
        </w:tc>
      </w:tr>
    </w:tbl>
    <w:sectPr>
      <w:footerReference w:type="default" r:id="rId11"/>
      <w:footnotePr>
        <w:pos w:val="pageBottom"/>
        <w:numFmt w:val="decimal"/>
        <w:numRestart w:val="continuous"/>
      </w:footnotePr>
      <w:pgSz w:w="11900" w:h="16840"/>
      <w:pgMar w:top="1145" w:right="1140" w:bottom="1465" w:left="1280" w:header="71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963930</wp:posOffset>
              </wp:positionH>
              <wp:positionV relativeFrom="page">
                <wp:posOffset>10160635</wp:posOffset>
              </wp:positionV>
              <wp:extent cx="2792095" cy="11303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920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4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Veřejná zakázka 27-22: Laryngeální masky 2023 -2024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75.900000000000006pt;margin-top:800.05000000000007pt;width:219.84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Veřejná zakázka 27-22: Laryngeální masky 2023 -2024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4A566B"/>
      <w:sz w:val="17"/>
      <w:szCs w:val="17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Nadpis #1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Jiné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A566B"/>
      <w:sz w:val="17"/>
      <w:szCs w:val="17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auto"/>
      <w:spacing w:after="3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auto"/>
      <w:spacing w:after="500"/>
      <w:ind w:left="2100" w:hanging="132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Jiné"/>
    <w:basedOn w:val="Normal"/>
    <w:link w:val="CharStyle21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/Relationships>
</file>