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C2" w:rsidRDefault="004F4456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DÍLO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uzavřená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podle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zákona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č. 121/2000 Sb., 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právu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autorském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právech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souvisejících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právem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autorským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 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změně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některých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zákonů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autorský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zákon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), v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platném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znění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podle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zákona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č. 89/2012 Sb.,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občanský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zákoník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, v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platném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znění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dále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jen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zákoník</w:t>
      </w:r>
      <w:proofErr w:type="spellEnd"/>
      <w:r>
        <w:rPr>
          <w:rFonts w:ascii="Arimo" w:eastAsia="Arimo" w:hAnsi="Arimo" w:cs="Arimo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mezi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stranami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: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Název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Bombass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s.r.o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Adresa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Nová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Pasečnice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2, 344 01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Pasečnice</w:t>
      </w:r>
      <w:proofErr w:type="spellEnd"/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IČ/DIČ: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06674640</w:t>
      </w:r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Kontakt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A50AE7">
        <w:rPr>
          <w:rFonts w:ascii="Times New Roman" w:eastAsia="Times New Roman" w:hAnsi="Times New Roman" w:cs="Times New Roman"/>
          <w:sz w:val="22"/>
          <w:szCs w:val="22"/>
        </w:rPr>
        <w:t>xxxxxxxxxxxxxxxxxxxxxxxxxxxxxxxxxxxxxxxx</w:t>
      </w:r>
      <w:bookmarkStart w:id="1" w:name="_GoBack"/>
      <w:bookmarkEnd w:id="1"/>
      <w:proofErr w:type="spellEnd"/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Spisová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značka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C 35589/KSPL</w:t>
      </w:r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dále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jen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Zhotovitel</w:t>
      </w:r>
      <w:proofErr w:type="spellEnd"/>
      <w:r>
        <w:rPr>
          <w:rFonts w:ascii="Arimo" w:eastAsia="Arimo" w:hAnsi="Arimo" w:cs="Arimo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)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  <w:proofErr w:type="gramEnd"/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Janáčkova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filharmonie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Ostrava,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příspěvková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organizace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sídlem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28.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října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2556/124, 702 00 Ostrava -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Moravská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Ostrava,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Česká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republika</w:t>
      </w:r>
      <w:proofErr w:type="spellEnd"/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zastoupena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Mgr.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Janem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Žemlou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ředitelem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Organizace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vedena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živnostenském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rejstříku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statutárního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města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Ostrava –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Živnostenský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úřad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88" w:lineRule="auto"/>
        <w:rPr>
          <w:sz w:val="22"/>
          <w:szCs w:val="22"/>
        </w:rPr>
      </w:pPr>
    </w:p>
    <w:p w:rsidR="004436C2" w:rsidRPr="007F065E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7F065E">
        <w:rPr>
          <w:rFonts w:ascii="Times New Roman" w:hAnsi="Times New Roman" w:cs="Times New Roman"/>
          <w:sz w:val="22"/>
          <w:szCs w:val="22"/>
        </w:rPr>
        <w:t>Korespondenční</w:t>
      </w:r>
      <w:proofErr w:type="spellEnd"/>
      <w:r w:rsidRPr="007F065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065E">
        <w:rPr>
          <w:rFonts w:ascii="Times New Roman" w:hAnsi="Times New Roman" w:cs="Times New Roman"/>
          <w:sz w:val="22"/>
          <w:szCs w:val="22"/>
        </w:rPr>
        <w:t>adresa</w:t>
      </w:r>
      <w:proofErr w:type="spellEnd"/>
      <w:r w:rsidRPr="007F065E">
        <w:rPr>
          <w:rFonts w:ascii="Times New Roman" w:hAnsi="Times New Roman" w:cs="Times New Roman"/>
          <w:sz w:val="22"/>
          <w:szCs w:val="22"/>
        </w:rPr>
        <w:t>:</w:t>
      </w:r>
    </w:p>
    <w:p w:rsidR="004436C2" w:rsidRPr="007F065E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88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7F065E">
        <w:rPr>
          <w:rFonts w:ascii="Times New Roman" w:hAnsi="Times New Roman" w:cs="Times New Roman"/>
          <w:sz w:val="22"/>
          <w:szCs w:val="22"/>
        </w:rPr>
        <w:t>Varenská</w:t>
      </w:r>
      <w:proofErr w:type="spellEnd"/>
      <w:r w:rsidRPr="007F065E">
        <w:rPr>
          <w:rFonts w:ascii="Times New Roman" w:hAnsi="Times New Roman" w:cs="Times New Roman"/>
          <w:sz w:val="22"/>
          <w:szCs w:val="22"/>
        </w:rPr>
        <w:t xml:space="preserve"> Office Center</w:t>
      </w:r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proofErr w:type="spellStart"/>
      <w:r w:rsidRPr="007F065E">
        <w:rPr>
          <w:rFonts w:ascii="Times New Roman" w:hAnsi="Times New Roman" w:cs="Times New Roman"/>
          <w:sz w:val="22"/>
          <w:szCs w:val="22"/>
        </w:rPr>
        <w:t>Varenská</w:t>
      </w:r>
      <w:proofErr w:type="spellEnd"/>
      <w:r w:rsidRPr="007F065E">
        <w:rPr>
          <w:rFonts w:ascii="Times New Roman" w:hAnsi="Times New Roman" w:cs="Times New Roman"/>
          <w:sz w:val="22"/>
          <w:szCs w:val="22"/>
        </w:rPr>
        <w:t xml:space="preserve"> 2723/51, 702 00 </w:t>
      </w:r>
      <w:proofErr w:type="gramStart"/>
      <w:r w:rsidRPr="007F065E">
        <w:rPr>
          <w:rFonts w:ascii="Times New Roman" w:hAnsi="Times New Roman" w:cs="Times New Roman"/>
          <w:sz w:val="22"/>
          <w:szCs w:val="22"/>
        </w:rPr>
        <w:t>Ostrava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dále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také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jen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jako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Arimo" w:eastAsia="Arimo" w:hAnsi="Arimo" w:cs="Arimo"/>
          <w:sz w:val="22"/>
          <w:szCs w:val="22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Objednatel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4436C2" w:rsidRDefault="004F44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Objednatel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Zhotovitel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dále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společně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také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jako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</w:t>
      </w:r>
      <w:proofErr w:type="spellEnd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strany</w:t>
      </w:r>
      <w:proofErr w:type="spellEnd"/>
      <w:r>
        <w:rPr>
          <w:rFonts w:ascii="Arimo" w:eastAsia="Arimo" w:hAnsi="Arimo" w:cs="Arimo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tato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dílo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dále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také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jako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Smlouva</w:t>
      </w:r>
      <w:proofErr w:type="spellEnd"/>
      <w:r>
        <w:rPr>
          <w:rFonts w:ascii="Arimo" w:eastAsia="Arimo" w:hAnsi="Arimo" w:cs="Arimo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)</w:t>
      </w:r>
    </w:p>
    <w:p w:rsidR="004436C2" w:rsidRDefault="004F4456">
      <w:pPr>
        <w:pBdr>
          <w:top w:val="nil"/>
          <w:left w:val="nil"/>
          <w:bottom w:val="nil"/>
          <w:right w:val="nil"/>
          <w:between w:val="nil"/>
        </w:pBdr>
        <w:rPr>
          <w:rFonts w:eastAsia="Cambria" w:cs="Cambria"/>
        </w:rPr>
      </w:pPr>
      <w:r>
        <w:br w:type="page"/>
      </w:r>
    </w:p>
    <w:p w:rsidR="004436C2" w:rsidRDefault="004F4456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2" w:name="_heading=h.30j0zll" w:colFirst="0" w:colLast="0"/>
      <w:bookmarkEnd w:id="2"/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Předmět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Smlouvy</w:t>
      </w:r>
      <w:proofErr w:type="spellEnd"/>
    </w:p>
    <w:p w:rsidR="004436C2" w:rsidRDefault="004F445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Předmětem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této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jak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definováno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níže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v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určeném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termínu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podmínek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specifikovaných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níže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v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II.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Této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Obecná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ustanovení</w:t>
      </w:r>
      <w:proofErr w:type="spellEnd"/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angažuje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k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vytvoření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následujícího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:rsidR="004436C2" w:rsidRDefault="004F44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Kompletní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notový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materiál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aranží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písní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poctě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Davida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Stypky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 JFO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dále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Dílo</w:t>
      </w:r>
      <w:proofErr w:type="spellEnd"/>
      <w:r>
        <w:rPr>
          <w:rFonts w:ascii="Arimo" w:eastAsia="Arimo" w:hAnsi="Arimo" w:cs="Arimo"/>
          <w:sz w:val="22"/>
          <w:szCs w:val="22"/>
        </w:rPr>
        <w:t>“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musí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být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odevzdáno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dvou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částech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:rsidR="004436C2" w:rsidRDefault="004F445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První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část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– 25%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musí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být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odevzdána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r>
        <w:rPr>
          <w:sz w:val="22"/>
          <w:szCs w:val="22"/>
        </w:rPr>
        <w:t>16. 11</w:t>
      </w:r>
      <w:r>
        <w:rPr>
          <w:rFonts w:ascii="Times New Roman" w:eastAsia="Times New Roman" w:hAnsi="Times New Roman" w:cs="Times New Roman"/>
          <w:sz w:val="22"/>
          <w:szCs w:val="22"/>
        </w:rPr>
        <w:t>. 2022</w:t>
      </w:r>
    </w:p>
    <w:p w:rsidR="004436C2" w:rsidRDefault="004F445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Druhá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část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– 75%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musí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být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odevzdána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do 1. 12. 2022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Práva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povinnosti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Smluvních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stran</w:t>
      </w:r>
      <w:proofErr w:type="spellEnd"/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povinen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vytvořit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vlastní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náklady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-li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specifikováno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jinak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).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povinen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dodat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včas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musí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splňovat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všechny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specifikace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dodáno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včetně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všech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náležitých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práv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užití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pro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vyloučení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pochybností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neodpovídá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vypořádání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práv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spadajících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povinné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kolektivní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správy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nebo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souhlasů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autorů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předloze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Pakliže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splňuje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výše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uvedené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podmínky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dodáno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včas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povinen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převzít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zaplatit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něj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Odměnu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specifikovanou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níže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heading=h.2et92p0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Licence</w:t>
      </w:r>
      <w:proofErr w:type="spellEnd"/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rPr>
          <w:rFonts w:eastAsia="Cambria" w:cs="Cambria"/>
        </w:rPr>
      </w:pPr>
    </w:p>
    <w:p w:rsidR="004436C2" w:rsidRDefault="004F44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uděluje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oprávnění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užití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všemi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známými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způsoby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dále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Licence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”)</w:t>
      </w: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Nabyvatel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může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Licenci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využít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jakýmkoliv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způsobem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a to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včetně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vydání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CD/DVD,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šíření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internetu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jinými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kanály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jako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podklad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k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prezentaci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aj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Nabyvatel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může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Licenci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udělit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podlicenci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třetím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stranám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může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rovněž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oprávnění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tvořící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součást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Licence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poskytnout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třetí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osobě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zcela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nebo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zčásti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Licence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výhradní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nemůže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být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poskytnuta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nikomu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jinému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Zadavateli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), bez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časového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omezení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poskytuje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se pro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území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všech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zemí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světa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Nabyvatel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povinen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Licenci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využít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heading=h.tyjcwt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Odměna</w:t>
      </w:r>
      <w:proofErr w:type="spellEnd"/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zavazuje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vytvoření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předání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zaplatit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odměnu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výši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250 000 + 21% DPH CZK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slovy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dvěstě-padesát-tisíc-Korun-Českých-plus-dvacet-jedna-procent-DPH).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Odměna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pokrývá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veškeré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náklady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spojené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vytvořením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vyjma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nákladů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které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této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nese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Platba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bude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rozdělena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dvě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části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kdy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25%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odměny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bude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zaplaceno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16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11. 2022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základě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faktury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vystavené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a 75%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odměny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bude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zaplaceno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1.</w:t>
      </w:r>
      <w:r w:rsidR="007F06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12. 2022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základě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faktury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vystavené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viz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bod V. 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II. 2. 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Odměna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nebo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její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částí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jsou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splatné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základě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faktury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vystavené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bodu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V. 1. Se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splatností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minimálně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od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předání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Faktura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bude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zaslána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adresu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sídla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nebo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elektronicky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emailovou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adresu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uvedenou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záhlaví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-li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daňovým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rezidentem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ČR,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povinen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zdanit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honorář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odměnu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platných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právních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předpisů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především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zákona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č. 586/1992 Sb., 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daních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příjmů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). Na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základě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písemné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žádosti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vystaví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potvrzení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zaplacení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daně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případě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plátcem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DPH,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Odměnou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odst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tohoto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článku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rozumí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celková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částka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+ 21% </w:t>
      </w:r>
      <w:proofErr w:type="spellStart"/>
      <w:r>
        <w:rPr>
          <w:sz w:val="22"/>
          <w:szCs w:val="22"/>
        </w:rPr>
        <w:t>daň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přidané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hodnoty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Veškeré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transakční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poplatky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spojené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úhradou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Odměny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hradí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7" w:name="_heading=h.3dy6vkm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Odstoupení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od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smlouvy</w:t>
      </w:r>
      <w:proofErr w:type="spellEnd"/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rPr>
          <w:rFonts w:eastAsia="Cambria" w:cs="Cambria"/>
        </w:rPr>
      </w:pPr>
    </w:p>
    <w:p w:rsidR="004436C2" w:rsidRDefault="004F445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Změna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podmínek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postavení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oprávnění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aj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straně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kterékoli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Smluvní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strany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nevede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bez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dalšího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k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zániku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práv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povinností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této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Zásadní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změny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podmínek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budou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předmětem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vzájemné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řádně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zdokumentované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dohody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567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právo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od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odstoupit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pakliže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shledá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Dílo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neúplné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nebo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nesplňující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všechny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specifikace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této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VII.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Závěrečná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ustanovení</w:t>
      </w:r>
      <w:proofErr w:type="spellEnd"/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smluvní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strany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tímto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zaručují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mají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právo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uzavřít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závazky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vyplývající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této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nebudou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přijímat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žádné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závazky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které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mohly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ohrozit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jejich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řádné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provádění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tímto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ručí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právo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vstoupit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závazků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vyplývajících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této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nevstoupí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žádného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závazku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který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mohl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ohrozit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jejich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náležité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uskutečnění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4436C2" w:rsidRDefault="004436C2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Zhotovitel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tímto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ručí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Objednateli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právo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vstoupit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závazků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vyplývajících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této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nevstoupí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žádného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závazku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který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mohl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ohrozit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jejich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náležité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uskutečnění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řídí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právním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řádem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České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republiky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Příslušné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řešení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jakýchkoli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sporů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které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nebudou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vyřešeny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Smluvními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stranami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smírně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jsou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soudy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České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republiky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a to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soudy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místně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příslušné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straně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Pořadatele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vyhotovena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dvou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provedeních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nichž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každá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smluvní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strana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obdrží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jednom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F445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Smluvní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strany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níže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svým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podpisem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stvrzují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že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před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jejím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podpisem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přečetly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jejím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obsahem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souhlasí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tato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sepsána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jejich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pravé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skutečné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vůle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srozumitelně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určitě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nikoli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tísni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nápadně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nevýhodných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podmínek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Tato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účinná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dnem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podpisu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poslední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Smluvních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stran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Pokud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tato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Smlouva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podléhá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zákonu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registru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smluv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č. 340/2015 Sb.,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stává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účinnou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dnem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zveřejnění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Registru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smluv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4436C2">
        <w:trPr>
          <w:trHeight w:val="251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4436C2" w:rsidRDefault="004F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eastAsia="Cambria" w:cs="Cambr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4436C2" w:rsidRDefault="004F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eastAsia="Cambria" w:cs="Cambr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 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____________</w:t>
            </w:r>
          </w:p>
        </w:tc>
      </w:tr>
      <w:tr w:rsidR="004436C2">
        <w:trPr>
          <w:trHeight w:val="26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36C2" w:rsidRDefault="004436C2"/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36C2" w:rsidRDefault="004436C2"/>
        </w:tc>
      </w:tr>
      <w:tr w:rsidR="004436C2">
        <w:trPr>
          <w:trHeight w:val="26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36C2" w:rsidRDefault="004436C2"/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36C2" w:rsidRDefault="004436C2"/>
        </w:tc>
      </w:tr>
      <w:tr w:rsidR="004436C2">
        <w:trPr>
          <w:trHeight w:val="26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36C2" w:rsidRDefault="004436C2"/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36C2" w:rsidRDefault="004436C2"/>
        </w:tc>
      </w:tr>
      <w:tr w:rsidR="004436C2">
        <w:trPr>
          <w:trHeight w:val="251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4436C2" w:rsidRDefault="004F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eastAsia="Cambria" w:cs="Cambr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4436C2" w:rsidRDefault="004F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rFonts w:eastAsia="Cambria" w:cs="Cambri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4436C2">
        <w:trPr>
          <w:trHeight w:val="251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4436C2" w:rsidRDefault="004F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Cambria" w:cs="Cambr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Objednatel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88" w:type="dxa"/>
              <w:bottom w:w="80" w:type="dxa"/>
              <w:right w:w="80" w:type="dxa"/>
            </w:tcMar>
          </w:tcPr>
          <w:p w:rsidR="004436C2" w:rsidRDefault="004F4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eastAsia="Cambria" w:cs="Cambr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Zhotovitel</w:t>
            </w:r>
            <w:proofErr w:type="spellEnd"/>
          </w:p>
        </w:tc>
      </w:tr>
      <w:tr w:rsidR="004436C2">
        <w:trPr>
          <w:trHeight w:val="260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36C2" w:rsidRDefault="004436C2"/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36C2" w:rsidRDefault="004436C2"/>
        </w:tc>
      </w:tr>
    </w:tbl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ascii="Times New Roman" w:eastAsia="Times New Roman" w:hAnsi="Times New Roman" w:cs="Times New Roman"/>
          <w:sz w:val="22"/>
          <w:szCs w:val="22"/>
        </w:rPr>
      </w:pPr>
    </w:p>
    <w:p w:rsidR="004436C2" w:rsidRDefault="004436C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 w:cs="Cambria"/>
        </w:rPr>
      </w:pPr>
    </w:p>
    <w:sectPr w:rsidR="004436C2">
      <w:headerReference w:type="default" r:id="rId8"/>
      <w:footerReference w:type="default" r:id="rId9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CE0" w:rsidRDefault="002D1CE0">
      <w:r>
        <w:separator/>
      </w:r>
    </w:p>
  </w:endnote>
  <w:endnote w:type="continuationSeparator" w:id="0">
    <w:p w:rsidR="002D1CE0" w:rsidRDefault="002D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6C2" w:rsidRDefault="004F4456">
    <w:pPr>
      <w:pBdr>
        <w:top w:val="nil"/>
        <w:left w:val="nil"/>
        <w:bottom w:val="nil"/>
        <w:right w:val="nil"/>
        <w:between w:val="nil"/>
      </w:pBdr>
      <w:rPr>
        <w:rFonts w:eastAsia="Cambria" w:cs="Cambria"/>
      </w:rPr>
    </w:pPr>
    <w:r>
      <w:rPr>
        <w:rFonts w:eastAsia="Cambria" w:cs="Cambria"/>
        <w:noProof/>
        <w:sz w:val="24"/>
        <w:szCs w:val="24"/>
        <w:lang w:val="cs-CZ"/>
      </w:rPr>
      <w:drawing>
        <wp:inline distT="0" distB="0" distL="0" distR="0">
          <wp:extent cx="6044475" cy="1304925"/>
          <wp:effectExtent l="0" t="0" r="0" b="0"/>
          <wp:docPr id="1073741828" name="image1.jpg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CE0" w:rsidRDefault="002D1CE0">
      <w:r>
        <w:separator/>
      </w:r>
    </w:p>
  </w:footnote>
  <w:footnote w:type="continuationSeparator" w:id="0">
    <w:p w:rsidR="002D1CE0" w:rsidRDefault="002D1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6C2" w:rsidRDefault="004F4456">
    <w:pPr>
      <w:pBdr>
        <w:top w:val="nil"/>
        <w:left w:val="nil"/>
        <w:bottom w:val="nil"/>
        <w:right w:val="nil"/>
        <w:between w:val="nil"/>
      </w:pBdr>
      <w:rPr>
        <w:rFonts w:eastAsia="Cambria" w:cs="Cambria"/>
      </w:rPr>
    </w:pPr>
    <w:r>
      <w:rPr>
        <w:rFonts w:eastAsia="Cambria" w:cs="Cambria"/>
        <w:noProof/>
        <w:sz w:val="24"/>
        <w:szCs w:val="24"/>
        <w:lang w:val="cs-CZ"/>
      </w:rPr>
      <w:drawing>
        <wp:inline distT="0" distB="0" distL="0" distR="0">
          <wp:extent cx="2866163" cy="857932"/>
          <wp:effectExtent l="0" t="0" r="0" b="0"/>
          <wp:docPr id="1073741827" name="image2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1.png"/>
                  <pic:cNvPicPr preferRelativeResize="0"/>
                </pic:nvPicPr>
                <pic:blipFill>
                  <a:blip r:embed="rId1"/>
                  <a:srcRect l="3485" r="3508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B535F"/>
    <w:multiLevelType w:val="multilevel"/>
    <w:tmpl w:val="3862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364BA5"/>
    <w:multiLevelType w:val="multilevel"/>
    <w:tmpl w:val="89727EEA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87" w:hanging="56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07" w:hanging="67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7" w:hanging="56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47" w:hanging="56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67" w:hanging="67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87" w:hanging="56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07" w:hanging="56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27" w:hanging="677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2B7C6878"/>
    <w:multiLevelType w:val="multilevel"/>
    <w:tmpl w:val="1FFEB3C8"/>
    <w:lvl w:ilvl="0">
      <w:start w:val="1"/>
      <w:numFmt w:val="decimal"/>
      <w:lvlText w:val="%1."/>
      <w:lvlJc w:val="left"/>
      <w:pPr>
        <w:ind w:left="566" w:hanging="56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86" w:hanging="56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06" w:hanging="67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6" w:hanging="56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46" w:hanging="56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66" w:hanging="67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86" w:hanging="56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06" w:hanging="56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26" w:hanging="676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380B3B40"/>
    <w:multiLevelType w:val="multilevel"/>
    <w:tmpl w:val="902ED854"/>
    <w:lvl w:ilvl="0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3B4E5F76"/>
    <w:multiLevelType w:val="multilevel"/>
    <w:tmpl w:val="1F8E0848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87" w:hanging="56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07" w:hanging="67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7" w:hanging="56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47" w:hanging="56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67" w:hanging="67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87" w:hanging="56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07" w:hanging="56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27" w:hanging="677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56AD7E47"/>
    <w:multiLevelType w:val="multilevel"/>
    <w:tmpl w:val="763C5574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87" w:hanging="56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07" w:hanging="67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7" w:hanging="56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47" w:hanging="56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67" w:hanging="67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87" w:hanging="56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07" w:hanging="56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27" w:hanging="677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58FF75FA"/>
    <w:multiLevelType w:val="multilevel"/>
    <w:tmpl w:val="7B4C76FE"/>
    <w:lvl w:ilvl="0">
      <w:start w:val="1"/>
      <w:numFmt w:val="decimal"/>
      <w:lvlText w:val="%1."/>
      <w:lvlJc w:val="left"/>
      <w:pPr>
        <w:ind w:left="566" w:hanging="56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86" w:hanging="56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06" w:hanging="67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6" w:hanging="56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46" w:hanging="56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66" w:hanging="67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86" w:hanging="56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06" w:hanging="56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26" w:hanging="676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5C72476B"/>
    <w:multiLevelType w:val="multilevel"/>
    <w:tmpl w:val="2622518C"/>
    <w:lvl w:ilvl="0">
      <w:start w:val="1"/>
      <w:numFmt w:val="decimal"/>
      <w:lvlText w:val="%1."/>
      <w:lvlJc w:val="left"/>
      <w:pPr>
        <w:ind w:left="566" w:hanging="56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86" w:hanging="56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06" w:hanging="67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6" w:hanging="56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46" w:hanging="56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66" w:hanging="67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86" w:hanging="56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06" w:hanging="56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26" w:hanging="676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6A7C529D"/>
    <w:multiLevelType w:val="multilevel"/>
    <w:tmpl w:val="0B840866"/>
    <w:lvl w:ilvl="0">
      <w:start w:val="1"/>
      <w:numFmt w:val="decimal"/>
      <w:lvlText w:val="%1."/>
      <w:lvlJc w:val="left"/>
      <w:pPr>
        <w:ind w:left="566" w:hanging="56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86" w:hanging="56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06" w:hanging="67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567" w:hanging="56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287" w:hanging="56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007" w:hanging="67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727" w:hanging="56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3447" w:hanging="567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167" w:hanging="677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7B6D4F8E"/>
    <w:multiLevelType w:val="multilevel"/>
    <w:tmpl w:val="87ECF8C4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87" w:hanging="56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007" w:hanging="67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7" w:hanging="567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447" w:hanging="567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167" w:hanging="677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87" w:hanging="56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07" w:hanging="56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27" w:hanging="677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7D631A46"/>
    <w:multiLevelType w:val="multilevel"/>
    <w:tmpl w:val="2736B85C"/>
    <w:lvl w:ilvl="0">
      <w:start w:val="1"/>
      <w:numFmt w:val="upperRoman"/>
      <w:lvlText w:val="%1."/>
      <w:lvlJc w:val="left"/>
      <w:pPr>
        <w:ind w:left="567" w:hanging="567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927" w:hanging="207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20" w:hanging="11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367" w:hanging="207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087" w:hanging="207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80" w:hanging="11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527" w:hanging="207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247" w:hanging="20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40" w:hanging="110"/>
      </w:pPr>
      <w:rPr>
        <w:b/>
        <w:smallCaps w:val="0"/>
        <w:strike w:val="0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C2"/>
    <w:rsid w:val="002D1CE0"/>
    <w:rsid w:val="004436C2"/>
    <w:rsid w:val="004F4456"/>
    <w:rsid w:val="00532241"/>
    <w:rsid w:val="007F065E"/>
    <w:rsid w:val="00A5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C6769-993C-42C3-A091-300D6126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Cambria" w:eastAsia="Arial Unicode MS" w:hAnsi="Cambria" w:cs="Arial Unicode MS"/>
      <w:color w:val="000000"/>
      <w:sz w:val="20"/>
      <w:szCs w:val="2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Cambria" w:cs="Cambria"/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Cambria" w:cs="Cambria"/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pPr>
      <w:ind w:left="720"/>
    </w:pPr>
    <w:rPr>
      <w:rFonts w:ascii="Cambria" w:eastAsia="Cambria" w:hAnsi="Cambria" w:cs="Cambria"/>
      <w:color w:val="000000"/>
      <w:sz w:val="20"/>
      <w:szCs w:val="20"/>
      <w:u w:color="000000"/>
    </w:rPr>
  </w:style>
  <w:style w:type="numbering" w:customStyle="1" w:styleId="ImportedStyle1">
    <w:name w:val="Imported Style 1"/>
  </w:style>
  <w:style w:type="numbering" w:customStyle="1" w:styleId="ImportedStyle2">
    <w:name w:val="Imported Style 2"/>
  </w:style>
  <w:style w:type="numbering" w:customStyle="1" w:styleId="ImportedStyle3">
    <w:name w:val="Imported Style 3"/>
  </w:style>
  <w:style w:type="numbering" w:customStyle="1" w:styleId="ImportedStyle4">
    <w:name w:val="Imported Style 4"/>
  </w:style>
  <w:style w:type="numbering" w:customStyle="1" w:styleId="ImportedStyle5">
    <w:name w:val="Imported Style 5"/>
  </w:style>
  <w:style w:type="numbering" w:customStyle="1" w:styleId="ImportedStyle6">
    <w:name w:val="Imported Style 6"/>
  </w:style>
  <w:style w:type="numbering" w:customStyle="1" w:styleId="ImportedStyle7">
    <w:name w:val="Imported Style 7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CaD4MT7K5Y3UncZmhpcc9/x7Sg==">AMUW2mW4sDsQuXHLnKmjcXF0nl3MKOLDab6hiAmBEaAazRyCYRunHMuFjOwFcSBWZWluThDHqM6+HMKKOCOwrSO0g1mik1j8ff4AWEYcl17JgAXmAR+Y7Pa3MuID2e0I1+O3zTxb7d+kJLu8Lw0ojFGYlpix+50M0Co1QJnBDNDrt0qqEO0gKg/XW3h4L7Y+QbO2U/dlig3zxhPLm8E38CKl/t36KjTdAA==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Dudková</dc:creator>
  <cp:lastModifiedBy>Markéta Szabová</cp:lastModifiedBy>
  <cp:revision>2</cp:revision>
  <dcterms:created xsi:type="dcterms:W3CDTF">2022-11-15T15:40:00Z</dcterms:created>
  <dcterms:modified xsi:type="dcterms:W3CDTF">2022-11-15T15:40:00Z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a8bf1fd7d07a716158f5bf1d277f7dc9d3e87a8daa1f490c04fecf90ebb30e51</vt:lpwstr>
  </property>
</Properties>
</file>