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B10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:rsidR="00624040" w:rsidRDefault="00624040">
      <w:pPr>
        <w:rPr>
          <w:rFonts w:ascii="Arial" w:hAnsi="Arial" w:cs="Arial"/>
          <w:sz w:val="20"/>
          <w:szCs w:val="20"/>
        </w:rPr>
      </w:pP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:rsidR="00A106EC" w:rsidRPr="007A3CC6" w:rsidRDefault="001C6D1E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Národní divadlo</w:t>
      </w:r>
    </w:p>
    <w:p w:rsidR="00A106EC" w:rsidRPr="007A3CC6" w:rsidRDefault="001C6D1E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Ostrovní 1, 112 30</w:t>
      </w:r>
      <w:r w:rsidR="00A106EC" w:rsidRPr="007A3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Praha 1</w:t>
      </w:r>
    </w:p>
    <w:p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zastoupené </w:t>
      </w:r>
      <w:r w:rsidR="001C6D1E">
        <w:rPr>
          <w:rFonts w:ascii="Arial" w:hAnsi="Arial" w:cs="Arial"/>
          <w:sz w:val="20"/>
          <w:szCs w:val="20"/>
        </w:rPr>
        <w:t xml:space="preserve">uměleckým šéfem Laterny magiky </w:t>
      </w:r>
      <w:r w:rsidR="001C6D1E" w:rsidRPr="001C6D1E">
        <w:rPr>
          <w:rFonts w:ascii="Arial" w:hAnsi="Arial" w:cs="Arial"/>
          <w:sz w:val="20"/>
          <w:szCs w:val="20"/>
        </w:rPr>
        <w:t>Mgr. Zdeňkem Prokešem</w:t>
      </w:r>
      <w:r w:rsidRPr="007A3CC6">
        <w:rPr>
          <w:rFonts w:ascii="Arial" w:hAnsi="Arial" w:cs="Arial"/>
          <w:sz w:val="20"/>
          <w:szCs w:val="20"/>
        </w:rPr>
        <w:t xml:space="preserve"> </w:t>
      </w:r>
    </w:p>
    <w:p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1C6D1E" w:rsidRPr="001C6D1E">
        <w:rPr>
          <w:rFonts w:ascii="Arial" w:hAnsi="Arial" w:cs="Arial"/>
          <w:sz w:val="20"/>
          <w:szCs w:val="20"/>
        </w:rPr>
        <w:t>00023337</w:t>
      </w:r>
    </w:p>
    <w:p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CZ </w:t>
      </w:r>
      <w:r w:rsidR="001C6D1E" w:rsidRPr="001C6D1E">
        <w:rPr>
          <w:rFonts w:ascii="Arial" w:hAnsi="Arial" w:cs="Arial"/>
          <w:sz w:val="20"/>
          <w:szCs w:val="20"/>
        </w:rPr>
        <w:t>00023337</w:t>
      </w:r>
    </w:p>
    <w:p w:rsidR="00A106EC" w:rsidRPr="007A3CC6" w:rsidRDefault="00AD33DD" w:rsidP="00A106EC">
      <w:pPr>
        <w:rPr>
          <w:rFonts w:ascii="Arial" w:hAnsi="Arial" w:cs="Arial"/>
          <w:sz w:val="20"/>
          <w:szCs w:val="20"/>
        </w:rPr>
      </w:pPr>
      <w:r w:rsidRPr="00AD33DD">
        <w:rPr>
          <w:rFonts w:ascii="Arial" w:hAnsi="Arial" w:cs="Arial"/>
          <w:sz w:val="20"/>
          <w:szCs w:val="20"/>
        </w:rPr>
        <w:t xml:space="preserve">ND </w:t>
      </w:r>
      <w:r>
        <w:rPr>
          <w:rFonts w:ascii="Arial" w:hAnsi="Arial" w:cs="Arial"/>
          <w:sz w:val="20"/>
          <w:szCs w:val="20"/>
        </w:rPr>
        <w:t xml:space="preserve">je státní příspěvková organizace, nezapsaná v obchodním rejstříku, zřízena MK ČR </w:t>
      </w:r>
      <w:r w:rsidR="00A106EC" w:rsidRPr="007A3CC6">
        <w:rPr>
          <w:rFonts w:ascii="Arial" w:hAnsi="Arial" w:cs="Arial"/>
          <w:sz w:val="20"/>
          <w:szCs w:val="20"/>
        </w:rPr>
        <w:t xml:space="preserve"> </w:t>
      </w:r>
    </w:p>
    <w:p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bankovní spojení: </w:t>
      </w:r>
      <w:r w:rsidR="005840F9">
        <w:rPr>
          <w:rFonts w:ascii="Arial" w:hAnsi="Arial" w:cs="Arial"/>
          <w:sz w:val="20"/>
          <w:szCs w:val="20"/>
        </w:rPr>
        <w:t>ČNB</w:t>
      </w:r>
      <w:r w:rsidR="005840F9" w:rsidRPr="001C6D1E">
        <w:rPr>
          <w:rFonts w:ascii="Arial" w:hAnsi="Arial" w:cs="Arial"/>
          <w:sz w:val="20"/>
          <w:szCs w:val="20"/>
        </w:rPr>
        <w:t xml:space="preserve">, </w:t>
      </w:r>
      <w:r w:rsidR="005840F9">
        <w:rPr>
          <w:rFonts w:ascii="Arial" w:hAnsi="Arial" w:cs="Arial"/>
          <w:sz w:val="20"/>
          <w:szCs w:val="20"/>
        </w:rPr>
        <w:t>č</w:t>
      </w:r>
      <w:r w:rsidR="005840F9" w:rsidRPr="001C6D1E">
        <w:rPr>
          <w:rFonts w:ascii="Arial" w:hAnsi="Arial" w:cs="Arial"/>
          <w:sz w:val="20"/>
          <w:szCs w:val="20"/>
        </w:rPr>
        <w:t xml:space="preserve">íslo účtu: </w:t>
      </w:r>
      <w:r w:rsidR="005840F9" w:rsidRPr="00B14F13">
        <w:rPr>
          <w:rFonts w:ascii="Arial" w:hAnsi="Arial" w:cs="Arial"/>
          <w:sz w:val="20"/>
          <w:szCs w:val="20"/>
        </w:rPr>
        <w:t>2832011/0710</w:t>
      </w:r>
      <w:r w:rsidR="00460220">
        <w:rPr>
          <w:rFonts w:ascii="Arial" w:hAnsi="Arial" w:cs="Arial"/>
          <w:sz w:val="20"/>
          <w:szCs w:val="20"/>
        </w:rPr>
        <w:t xml:space="preserve"> </w:t>
      </w:r>
    </w:p>
    <w:p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:rsidR="00624040" w:rsidRDefault="00624040">
      <w:pPr>
        <w:pStyle w:val="Nadpis1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DIČ: CZ00094820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Unicreditbank, číslo účtu: 2110126623/2700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Pr="005662D3" w:rsidRDefault="00624040" w:rsidP="005662D3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5662D3">
        <w:rPr>
          <w:rFonts w:ascii="Arial" w:hAnsi="Arial" w:cs="Arial"/>
          <w:sz w:val="20"/>
          <w:szCs w:val="20"/>
        </w:rPr>
        <w:t xml:space="preserve">Divadlo odehraje pro pořadatele dne </w:t>
      </w:r>
      <w:r w:rsidR="005662D3" w:rsidRPr="005662D3">
        <w:rPr>
          <w:rFonts w:ascii="Arial" w:hAnsi="Arial" w:cs="Arial"/>
          <w:b/>
          <w:sz w:val="20"/>
          <w:szCs w:val="20"/>
        </w:rPr>
        <w:t>15. 5</w:t>
      </w:r>
      <w:r w:rsidR="000F3D29" w:rsidRPr="005662D3">
        <w:rPr>
          <w:rFonts w:ascii="Arial" w:hAnsi="Arial" w:cs="Arial"/>
          <w:b/>
          <w:sz w:val="20"/>
          <w:szCs w:val="20"/>
        </w:rPr>
        <w:t>. 2017</w:t>
      </w:r>
      <w:r w:rsidRPr="005662D3">
        <w:rPr>
          <w:rFonts w:ascii="Arial" w:hAnsi="Arial" w:cs="Arial"/>
          <w:sz w:val="20"/>
          <w:szCs w:val="20"/>
        </w:rPr>
        <w:t xml:space="preserve"> </w:t>
      </w:r>
      <w:r w:rsidR="005662D3" w:rsidRPr="005662D3">
        <w:rPr>
          <w:rFonts w:ascii="Arial" w:hAnsi="Arial" w:cs="Arial"/>
          <w:sz w:val="20"/>
          <w:szCs w:val="20"/>
        </w:rPr>
        <w:t xml:space="preserve">ve 20h </w:t>
      </w:r>
      <w:r w:rsidRPr="005662D3">
        <w:rPr>
          <w:rFonts w:ascii="Arial" w:hAnsi="Arial" w:cs="Arial"/>
          <w:sz w:val="20"/>
          <w:szCs w:val="20"/>
        </w:rPr>
        <w:t>v</w:t>
      </w:r>
      <w:r w:rsidR="005662D3" w:rsidRPr="005662D3">
        <w:rPr>
          <w:rFonts w:ascii="Arial" w:hAnsi="Arial" w:cs="Arial"/>
          <w:sz w:val="20"/>
          <w:szCs w:val="20"/>
        </w:rPr>
        <w:t> Městském divadle Brno, Hudební scéna</w:t>
      </w:r>
      <w:r w:rsidR="005662D3">
        <w:rPr>
          <w:rFonts w:ascii="Arial" w:hAnsi="Arial" w:cs="Arial"/>
          <w:sz w:val="20"/>
          <w:szCs w:val="20"/>
        </w:rPr>
        <w:t xml:space="preserve"> </w:t>
      </w:r>
      <w:r w:rsidRPr="005662D3">
        <w:rPr>
          <w:rFonts w:ascii="Arial" w:hAnsi="Arial" w:cs="Arial"/>
          <w:sz w:val="20"/>
          <w:szCs w:val="20"/>
        </w:rPr>
        <w:t xml:space="preserve">představení inscenace </w:t>
      </w:r>
      <w:r w:rsidR="005662D3" w:rsidRPr="005662D3">
        <w:rPr>
          <w:rFonts w:ascii="Arial" w:hAnsi="Arial" w:cs="Arial"/>
          <w:b/>
          <w:sz w:val="20"/>
          <w:szCs w:val="20"/>
        </w:rPr>
        <w:t>Cube</w:t>
      </w:r>
      <w:r w:rsidR="009D5D32" w:rsidRPr="005662D3">
        <w:rPr>
          <w:rFonts w:ascii="Arial" w:hAnsi="Arial" w:cs="Arial"/>
          <w:b/>
          <w:sz w:val="20"/>
          <w:szCs w:val="20"/>
        </w:rPr>
        <w:t xml:space="preserve"> </w:t>
      </w:r>
    </w:p>
    <w:p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Pr="009779AA" w:rsidRDefault="00624040" w:rsidP="009779A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779AA">
        <w:rPr>
          <w:rFonts w:ascii="Arial" w:hAnsi="Arial" w:cs="Arial"/>
          <w:sz w:val="20"/>
          <w:szCs w:val="20"/>
        </w:rPr>
        <w:t>Za provedené  představení uhradí pořadatel ve prospěch divadla sjednanou odměnu ve výši</w:t>
      </w:r>
      <w:r w:rsidR="00253FE6">
        <w:rPr>
          <w:rFonts w:ascii="Arial" w:hAnsi="Arial" w:cs="Arial"/>
          <w:sz w:val="20"/>
          <w:szCs w:val="20"/>
        </w:rPr>
        <w:t xml:space="preserve">   </w:t>
      </w:r>
      <w:r w:rsidR="009A260E" w:rsidRPr="009779AA">
        <w:rPr>
          <w:rFonts w:ascii="Arial" w:hAnsi="Arial" w:cs="Arial"/>
          <w:sz w:val="20"/>
          <w:szCs w:val="20"/>
        </w:rPr>
        <w:t xml:space="preserve"> </w:t>
      </w:r>
      <w:r w:rsidR="00DE1751">
        <w:rPr>
          <w:rFonts w:ascii="Arial" w:hAnsi="Arial" w:cs="Arial"/>
          <w:b/>
          <w:sz w:val="20"/>
          <w:szCs w:val="20"/>
        </w:rPr>
        <w:t>142 820</w:t>
      </w:r>
      <w:r w:rsidR="009D5D32" w:rsidRPr="00253FE6">
        <w:rPr>
          <w:rFonts w:ascii="Arial" w:hAnsi="Arial" w:cs="Arial"/>
          <w:b/>
          <w:sz w:val="20"/>
          <w:szCs w:val="20"/>
        </w:rPr>
        <w:t>,-</w:t>
      </w:r>
      <w:r w:rsidR="00B85B3C" w:rsidRPr="00253FE6">
        <w:rPr>
          <w:rFonts w:ascii="Arial" w:hAnsi="Arial" w:cs="Arial"/>
          <w:b/>
          <w:sz w:val="20"/>
          <w:szCs w:val="20"/>
        </w:rPr>
        <w:t xml:space="preserve"> Kč </w:t>
      </w:r>
      <w:r w:rsidR="00B85B3C" w:rsidRPr="00253FE6">
        <w:rPr>
          <w:rFonts w:ascii="Arial" w:hAnsi="Arial" w:cs="Arial"/>
          <w:sz w:val="20"/>
          <w:szCs w:val="20"/>
        </w:rPr>
        <w:t xml:space="preserve">(slovy: </w:t>
      </w:r>
      <w:r w:rsidR="00DE1751">
        <w:rPr>
          <w:rFonts w:ascii="Arial" w:hAnsi="Arial" w:cs="Arial"/>
          <w:sz w:val="20"/>
          <w:szCs w:val="20"/>
        </w:rPr>
        <w:t>sto čtyřicet dva tisíc osm set dvacet korun</w:t>
      </w:r>
      <w:r w:rsidR="00253FE6">
        <w:rPr>
          <w:rFonts w:ascii="Arial" w:hAnsi="Arial" w:cs="Arial"/>
          <w:sz w:val="20"/>
          <w:szCs w:val="20"/>
        </w:rPr>
        <w:t xml:space="preserve"> českých</w:t>
      </w:r>
      <w:r w:rsidR="00B85B3C" w:rsidRPr="00253FE6">
        <w:rPr>
          <w:rFonts w:ascii="Arial" w:hAnsi="Arial" w:cs="Arial"/>
          <w:sz w:val="20"/>
          <w:szCs w:val="20"/>
        </w:rPr>
        <w:t xml:space="preserve">) </w:t>
      </w:r>
      <w:r w:rsidRPr="00253FE6">
        <w:rPr>
          <w:rFonts w:ascii="Arial" w:hAnsi="Arial" w:cs="Arial"/>
          <w:sz w:val="20"/>
          <w:szCs w:val="20"/>
        </w:rPr>
        <w:t>osvobozeno od DPH dle § 61 písm. e) zákona č.</w:t>
      </w:r>
      <w:r w:rsidRPr="009779AA">
        <w:rPr>
          <w:rFonts w:ascii="Arial" w:hAnsi="Arial" w:cs="Arial"/>
          <w:sz w:val="20"/>
          <w:szCs w:val="20"/>
        </w:rPr>
        <w:t xml:space="preserve"> 235/2004 Sb., částka zahrnuje odměnu za představení včetně všech nákladů spojených s představením, nezahrnuje autorské </w:t>
      </w:r>
      <w:r w:rsidR="00EE2BD5">
        <w:rPr>
          <w:rFonts w:ascii="Arial" w:hAnsi="Arial" w:cs="Arial"/>
          <w:sz w:val="20"/>
          <w:szCs w:val="20"/>
        </w:rPr>
        <w:t>odměny</w:t>
      </w:r>
      <w:r w:rsidR="00B85B3C" w:rsidRPr="009779AA">
        <w:rPr>
          <w:rFonts w:ascii="Arial" w:hAnsi="Arial" w:cs="Arial"/>
          <w:sz w:val="20"/>
          <w:szCs w:val="20"/>
        </w:rPr>
        <w:t xml:space="preserve">. </w:t>
      </w:r>
    </w:p>
    <w:p w:rsidR="00DE1751" w:rsidRPr="00DE1751" w:rsidRDefault="00624040" w:rsidP="00253FE6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B86FD2">
        <w:rPr>
          <w:rFonts w:ascii="Arial" w:hAnsi="Arial" w:cs="Arial"/>
          <w:sz w:val="20"/>
          <w:szCs w:val="20"/>
        </w:rPr>
        <w:t xml:space="preserve">Pořadatel uhradí </w:t>
      </w:r>
      <w:r w:rsidRPr="00B86FD2">
        <w:rPr>
          <w:rFonts w:ascii="Arial" w:hAnsi="Arial" w:cs="Arial"/>
          <w:b/>
          <w:sz w:val="20"/>
          <w:szCs w:val="20"/>
        </w:rPr>
        <w:t xml:space="preserve">autorské </w:t>
      </w:r>
      <w:r w:rsidR="00EE2BD5" w:rsidRPr="00B86FD2">
        <w:rPr>
          <w:rFonts w:ascii="Arial" w:hAnsi="Arial" w:cs="Arial"/>
          <w:b/>
          <w:sz w:val="20"/>
          <w:szCs w:val="20"/>
        </w:rPr>
        <w:t>odměny</w:t>
      </w:r>
      <w:r w:rsidRPr="00B86FD2">
        <w:rPr>
          <w:rFonts w:ascii="Arial" w:hAnsi="Arial" w:cs="Arial"/>
          <w:sz w:val="20"/>
          <w:szCs w:val="20"/>
        </w:rPr>
        <w:t xml:space="preserve"> z hrubých tržeb ze vstupného</w:t>
      </w:r>
      <w:r w:rsidR="00EE2BD5" w:rsidRPr="00B86FD2">
        <w:rPr>
          <w:rFonts w:ascii="Arial" w:hAnsi="Arial" w:cs="Arial"/>
          <w:sz w:val="20"/>
          <w:szCs w:val="20"/>
        </w:rPr>
        <w:t>:</w:t>
      </w:r>
      <w:r w:rsidR="00253FE6" w:rsidRPr="00B86FD2">
        <w:rPr>
          <w:rFonts w:ascii="Arial" w:hAnsi="Arial" w:cs="Arial"/>
          <w:sz w:val="20"/>
          <w:szCs w:val="20"/>
        </w:rPr>
        <w:t xml:space="preserve"> </w:t>
      </w:r>
    </w:p>
    <w:p w:rsidR="00EE2BD5" w:rsidRPr="00B86FD2" w:rsidRDefault="00253FE6" w:rsidP="00DE1751">
      <w:pPr>
        <w:suppressAutoHyphens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86FD2">
        <w:rPr>
          <w:rFonts w:ascii="Arial" w:hAnsi="Arial" w:cs="Arial"/>
          <w:sz w:val="20"/>
          <w:szCs w:val="20"/>
        </w:rPr>
        <w:t xml:space="preserve">celkem </w:t>
      </w:r>
      <w:r w:rsidRPr="00B86FD2">
        <w:rPr>
          <w:rFonts w:ascii="Arial" w:hAnsi="Arial" w:cs="Arial"/>
          <w:b/>
          <w:sz w:val="20"/>
          <w:szCs w:val="20"/>
        </w:rPr>
        <w:t xml:space="preserve">11 % </w:t>
      </w:r>
      <w:r w:rsidRPr="00B86FD2">
        <w:rPr>
          <w:rFonts w:ascii="Arial" w:hAnsi="Arial" w:cs="Arial"/>
          <w:sz w:val="20"/>
          <w:szCs w:val="20"/>
        </w:rPr>
        <w:t xml:space="preserve">(scénář </w:t>
      </w:r>
      <w:r w:rsidR="00B86FD2">
        <w:rPr>
          <w:rFonts w:ascii="Arial" w:hAnsi="Arial" w:cs="Arial"/>
          <w:sz w:val="20"/>
          <w:szCs w:val="20"/>
        </w:rPr>
        <w:t xml:space="preserve">P. </w:t>
      </w:r>
      <w:r w:rsidRPr="00B86FD2">
        <w:rPr>
          <w:rFonts w:ascii="Arial" w:hAnsi="Arial" w:cs="Arial"/>
          <w:sz w:val="20"/>
          <w:szCs w:val="20"/>
        </w:rPr>
        <w:t xml:space="preserve">Knolle 1,0%, scénář </w:t>
      </w:r>
      <w:r w:rsidR="00B86FD2">
        <w:rPr>
          <w:rFonts w:ascii="Arial" w:hAnsi="Arial" w:cs="Arial"/>
          <w:sz w:val="20"/>
          <w:szCs w:val="20"/>
        </w:rPr>
        <w:t xml:space="preserve">D. </w:t>
      </w:r>
      <w:r w:rsidRPr="00B86FD2">
        <w:rPr>
          <w:rFonts w:ascii="Arial" w:hAnsi="Arial" w:cs="Arial"/>
          <w:sz w:val="20"/>
          <w:szCs w:val="20"/>
        </w:rPr>
        <w:t xml:space="preserve">Stránský 1,0%, scénář </w:t>
      </w:r>
      <w:r w:rsidR="00B86FD2">
        <w:rPr>
          <w:rFonts w:ascii="Arial" w:hAnsi="Arial" w:cs="Arial"/>
          <w:sz w:val="20"/>
          <w:szCs w:val="20"/>
        </w:rPr>
        <w:t xml:space="preserve">Š. </w:t>
      </w:r>
      <w:r w:rsidRPr="00B86FD2">
        <w:rPr>
          <w:rFonts w:ascii="Arial" w:hAnsi="Arial" w:cs="Arial"/>
          <w:sz w:val="20"/>
          <w:szCs w:val="20"/>
        </w:rPr>
        <w:t xml:space="preserve">Pechar 1,0%, hudba </w:t>
      </w:r>
      <w:r w:rsidR="00B86FD2">
        <w:rPr>
          <w:rFonts w:ascii="Arial" w:hAnsi="Arial" w:cs="Arial"/>
          <w:sz w:val="20"/>
          <w:szCs w:val="20"/>
        </w:rPr>
        <w:t xml:space="preserve">J. </w:t>
      </w:r>
      <w:r w:rsidRPr="00B86FD2">
        <w:rPr>
          <w:rFonts w:ascii="Arial" w:hAnsi="Arial" w:cs="Arial"/>
          <w:sz w:val="20"/>
          <w:szCs w:val="20"/>
        </w:rPr>
        <w:t xml:space="preserve">Šikl 3,0%, choreografie </w:t>
      </w:r>
      <w:r w:rsidR="00B86FD2">
        <w:rPr>
          <w:rFonts w:ascii="Arial" w:hAnsi="Arial" w:cs="Arial"/>
          <w:sz w:val="20"/>
          <w:szCs w:val="20"/>
        </w:rPr>
        <w:t xml:space="preserve">Š. </w:t>
      </w:r>
      <w:r w:rsidRPr="00B86FD2">
        <w:rPr>
          <w:rFonts w:ascii="Arial" w:hAnsi="Arial" w:cs="Arial"/>
          <w:sz w:val="20"/>
          <w:szCs w:val="20"/>
        </w:rPr>
        <w:t xml:space="preserve">Pechar 1,5%, choreografie </w:t>
      </w:r>
      <w:r w:rsidR="00B86FD2">
        <w:rPr>
          <w:rFonts w:ascii="Arial" w:hAnsi="Arial" w:cs="Arial"/>
          <w:sz w:val="20"/>
          <w:szCs w:val="20"/>
        </w:rPr>
        <w:t xml:space="preserve">D. </w:t>
      </w:r>
      <w:r w:rsidRPr="00B86FD2">
        <w:rPr>
          <w:rFonts w:ascii="Arial" w:hAnsi="Arial" w:cs="Arial"/>
          <w:sz w:val="20"/>
          <w:szCs w:val="20"/>
        </w:rPr>
        <w:t>Stránský 1,5%, kamera, střih</w:t>
      </w:r>
      <w:r w:rsidRPr="00B86FD2">
        <w:rPr>
          <w:rFonts w:ascii="Arial" w:hAnsi="Arial" w:cs="Arial"/>
          <w:sz w:val="20"/>
          <w:szCs w:val="20"/>
        </w:rPr>
        <w:tab/>
      </w:r>
      <w:r w:rsidR="00B86FD2">
        <w:rPr>
          <w:rFonts w:ascii="Arial" w:hAnsi="Arial" w:cs="Arial"/>
          <w:sz w:val="20"/>
          <w:szCs w:val="20"/>
        </w:rPr>
        <w:t xml:space="preserve">M. </w:t>
      </w:r>
      <w:r w:rsidRPr="00B86FD2">
        <w:rPr>
          <w:rFonts w:ascii="Arial" w:hAnsi="Arial" w:cs="Arial"/>
          <w:sz w:val="20"/>
          <w:szCs w:val="20"/>
        </w:rPr>
        <w:t>Brožek</w:t>
      </w:r>
      <w:r w:rsidR="00B86FD2">
        <w:rPr>
          <w:rFonts w:ascii="Arial" w:hAnsi="Arial" w:cs="Arial"/>
          <w:sz w:val="20"/>
          <w:szCs w:val="20"/>
        </w:rPr>
        <w:t xml:space="preserve"> </w:t>
      </w:r>
      <w:r w:rsidRPr="00B86FD2">
        <w:rPr>
          <w:rFonts w:ascii="Arial" w:hAnsi="Arial" w:cs="Arial"/>
          <w:sz w:val="20"/>
          <w:szCs w:val="20"/>
        </w:rPr>
        <w:t>0,5%, programming, triky</w:t>
      </w:r>
      <w:r w:rsidR="00B86FD2" w:rsidRPr="00B86FD2">
        <w:rPr>
          <w:rFonts w:ascii="Arial" w:hAnsi="Arial" w:cs="Arial"/>
          <w:sz w:val="20"/>
          <w:szCs w:val="20"/>
        </w:rPr>
        <w:t xml:space="preserve"> </w:t>
      </w:r>
      <w:r w:rsidR="00B86FD2">
        <w:rPr>
          <w:rFonts w:ascii="Arial" w:hAnsi="Arial" w:cs="Arial"/>
          <w:sz w:val="20"/>
          <w:szCs w:val="20"/>
        </w:rPr>
        <w:t xml:space="preserve">J. </w:t>
      </w:r>
      <w:r w:rsidRPr="00B86FD2">
        <w:rPr>
          <w:rFonts w:ascii="Arial" w:hAnsi="Arial" w:cs="Arial"/>
          <w:sz w:val="20"/>
          <w:szCs w:val="20"/>
        </w:rPr>
        <w:t xml:space="preserve">Hladil, </w:t>
      </w:r>
      <w:r w:rsidR="00B86FD2">
        <w:rPr>
          <w:rFonts w:ascii="Arial" w:hAnsi="Arial" w:cs="Arial"/>
          <w:sz w:val="20"/>
          <w:szCs w:val="20"/>
        </w:rPr>
        <w:t xml:space="preserve">F. </w:t>
      </w:r>
      <w:r w:rsidRPr="00B86FD2">
        <w:rPr>
          <w:rFonts w:ascii="Arial" w:hAnsi="Arial" w:cs="Arial"/>
          <w:sz w:val="20"/>
          <w:szCs w:val="20"/>
        </w:rPr>
        <w:t>Pecháček</w:t>
      </w:r>
      <w:r w:rsidR="00B86FD2" w:rsidRPr="00B86FD2">
        <w:rPr>
          <w:rFonts w:ascii="Arial" w:hAnsi="Arial" w:cs="Arial"/>
          <w:sz w:val="20"/>
          <w:szCs w:val="20"/>
        </w:rPr>
        <w:t xml:space="preserve"> </w:t>
      </w:r>
      <w:r w:rsidRPr="00B86FD2">
        <w:rPr>
          <w:rFonts w:ascii="Arial" w:hAnsi="Arial" w:cs="Arial"/>
          <w:sz w:val="20"/>
          <w:szCs w:val="20"/>
        </w:rPr>
        <w:t>0,5%</w:t>
      </w:r>
      <w:r w:rsidR="00B86FD2" w:rsidRPr="00B86FD2">
        <w:rPr>
          <w:rFonts w:ascii="Arial" w:hAnsi="Arial" w:cs="Arial"/>
          <w:sz w:val="20"/>
          <w:szCs w:val="20"/>
        </w:rPr>
        <w:t xml:space="preserve">, </w:t>
      </w:r>
      <w:r w:rsidRPr="00B86FD2">
        <w:rPr>
          <w:rFonts w:ascii="Arial" w:hAnsi="Arial" w:cs="Arial"/>
          <w:sz w:val="20"/>
          <w:szCs w:val="20"/>
        </w:rPr>
        <w:t>použití hudby - OSA</w:t>
      </w:r>
      <w:r w:rsidR="00B86FD2">
        <w:rPr>
          <w:rFonts w:ascii="Arial" w:hAnsi="Arial" w:cs="Arial"/>
          <w:sz w:val="20"/>
          <w:szCs w:val="20"/>
        </w:rPr>
        <w:t xml:space="preserve"> </w:t>
      </w:r>
      <w:r w:rsidRPr="00B86FD2">
        <w:rPr>
          <w:rFonts w:ascii="Arial" w:hAnsi="Arial" w:cs="Arial"/>
          <w:sz w:val="20"/>
          <w:szCs w:val="20"/>
        </w:rPr>
        <w:t>1,0%</w:t>
      </w:r>
      <w:r w:rsidR="00B86FD2">
        <w:rPr>
          <w:rFonts w:ascii="Arial" w:hAnsi="Arial" w:cs="Arial"/>
          <w:sz w:val="20"/>
          <w:szCs w:val="20"/>
        </w:rPr>
        <w:t xml:space="preserve">), </w:t>
      </w:r>
      <w:r w:rsidR="00B86FD2">
        <w:rPr>
          <w:rFonts w:ascii="Arial" w:hAnsi="Arial" w:cs="Arial"/>
          <w:bCs/>
          <w:sz w:val="20"/>
          <w:szCs w:val="20"/>
        </w:rPr>
        <w:t>na základě „Hlášení o tržbách“, které zašle nejpozději do 10. dne následujícího kalendářního měsíce po odehrání představení tajemníkovi uměleckého provozu Laterny magiky p. Ivovi Jiráskovi.</w:t>
      </w:r>
    </w:p>
    <w:p w:rsidR="00624040" w:rsidRPr="004539D6" w:rsidRDefault="00B109D3" w:rsidP="00B109D3">
      <w:p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Odměny</w:t>
      </w:r>
      <w:r w:rsidR="006C19F7">
        <w:rPr>
          <w:rFonts w:ascii="Arial" w:hAnsi="Arial" w:cs="Arial"/>
          <w:bCs/>
          <w:sz w:val="20"/>
          <w:szCs w:val="20"/>
        </w:rPr>
        <w:t xml:space="preserve"> </w:t>
      </w:r>
      <w:r w:rsidR="00624040" w:rsidRPr="004539D6">
        <w:rPr>
          <w:rFonts w:ascii="Arial" w:hAnsi="Arial" w:cs="Arial"/>
          <w:bCs/>
          <w:sz w:val="20"/>
          <w:szCs w:val="20"/>
        </w:rPr>
        <w:t>pořadatel uhradí přímo na základě faktury vystavené</w:t>
      </w:r>
      <w:r w:rsidR="00B67A88" w:rsidRPr="004539D6">
        <w:rPr>
          <w:rFonts w:ascii="Arial" w:hAnsi="Arial" w:cs="Arial"/>
          <w:bCs/>
          <w:sz w:val="20"/>
          <w:szCs w:val="20"/>
        </w:rPr>
        <w:t xml:space="preserve"> </w:t>
      </w:r>
      <w:r w:rsidR="00C509B0">
        <w:rPr>
          <w:rFonts w:ascii="Arial" w:hAnsi="Arial" w:cs="Arial"/>
          <w:bCs/>
          <w:sz w:val="20"/>
          <w:szCs w:val="20"/>
        </w:rPr>
        <w:t>divadlem</w:t>
      </w:r>
      <w:r w:rsidR="00624040" w:rsidRPr="004539D6">
        <w:rPr>
          <w:rFonts w:ascii="Arial" w:hAnsi="Arial" w:cs="Arial"/>
          <w:bCs/>
          <w:sz w:val="20"/>
          <w:szCs w:val="20"/>
        </w:rPr>
        <w:t>.</w:t>
      </w:r>
      <w:r w:rsidR="001C2E3D">
        <w:rPr>
          <w:rFonts w:ascii="Arial" w:hAnsi="Arial" w:cs="Arial"/>
          <w:bCs/>
          <w:sz w:val="20"/>
          <w:szCs w:val="20"/>
        </w:rPr>
        <w:t xml:space="preserve"> Odměna dle tohoto odstavce je v btto hodnotě, tzn. divadlo nebude k odměně nadpočítávat případnou srážkovou daň. </w:t>
      </w:r>
      <w:bookmarkStart w:id="0" w:name="_GoBack"/>
      <w:bookmarkEnd w:id="0"/>
      <w:r w:rsidR="001C2E3D">
        <w:rPr>
          <w:rFonts w:ascii="Arial" w:hAnsi="Arial" w:cs="Arial"/>
          <w:bCs/>
          <w:sz w:val="20"/>
          <w:szCs w:val="20"/>
        </w:rPr>
        <w:t>Odměna dle tohoto odstavce je již včetně případné DPH.</w:t>
      </w:r>
    </w:p>
    <w:p w:rsidR="00624040" w:rsidRPr="00B67A88" w:rsidRDefault="00624040" w:rsidP="000B5EA8">
      <w:pPr>
        <w:ind w:left="357"/>
        <w:jc w:val="both"/>
        <w:rPr>
          <w:rFonts w:ascii="Arial" w:hAnsi="Arial" w:cs="Arial"/>
          <w:bCs/>
          <w:sz w:val="20"/>
          <w:szCs w:val="20"/>
        </w:rPr>
      </w:pPr>
      <w:r w:rsidRPr="00B67A88">
        <w:rPr>
          <w:rFonts w:ascii="Arial" w:hAnsi="Arial" w:cs="Arial"/>
          <w:bCs/>
          <w:sz w:val="20"/>
          <w:szCs w:val="20"/>
        </w:rPr>
        <w:t xml:space="preserve">Hrubou tržbou se rozumí cena za prodané vstupenky před jakýmikoli odpočty. </w:t>
      </w:r>
    </w:p>
    <w:p w:rsidR="00624040" w:rsidRPr="00B3280A" w:rsidRDefault="00C509B0" w:rsidP="00C509B0">
      <w:pPr>
        <w:numPr>
          <w:ilvl w:val="0"/>
          <w:numId w:val="2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5173EC">
        <w:rPr>
          <w:rFonts w:ascii="Arial" w:hAnsi="Arial" w:cs="Arial"/>
          <w:sz w:val="20"/>
          <w:szCs w:val="20"/>
        </w:rPr>
        <w:t xml:space="preserve">Divadlo vystaví a doručí pořadateli po provedeném představení fakturu </w:t>
      </w:r>
      <w:r>
        <w:rPr>
          <w:rFonts w:ascii="Arial" w:hAnsi="Arial" w:cs="Arial"/>
          <w:sz w:val="20"/>
          <w:szCs w:val="20"/>
        </w:rPr>
        <w:t xml:space="preserve">na odměny specifikované v bodě 1. a 2. </w:t>
      </w:r>
      <w:r w:rsidRPr="005173EC">
        <w:rPr>
          <w:rFonts w:ascii="Arial" w:hAnsi="Arial" w:cs="Arial"/>
          <w:sz w:val="20"/>
          <w:szCs w:val="20"/>
        </w:rPr>
        <w:t>se všemi náležitostmi daňového dokladu a splatností minimálně 15 dní od data doručení.</w:t>
      </w:r>
      <w:r>
        <w:rPr>
          <w:rFonts w:ascii="Arial" w:hAnsi="Arial" w:cs="Arial"/>
          <w:sz w:val="20"/>
          <w:szCs w:val="20"/>
        </w:rPr>
        <w:t xml:space="preserve"> </w:t>
      </w:r>
      <w:r w:rsidRPr="005173EC">
        <w:rPr>
          <w:rFonts w:ascii="Arial" w:hAnsi="Arial" w:cs="Arial"/>
          <w:sz w:val="20"/>
          <w:szCs w:val="20"/>
        </w:rPr>
        <w:t>Pořadatel fakturu uhradí v termínu splatnosti uvedeném na faktuře na účet divadla uvedený v záhlaví této smlouvy</w:t>
      </w:r>
      <w:r w:rsidRPr="005173EC">
        <w:rPr>
          <w:rFonts w:ascii="Arial" w:hAnsi="Arial" w:cs="Arial"/>
          <w:sz w:val="22"/>
          <w:szCs w:val="22"/>
        </w:rPr>
        <w:t>.</w:t>
      </w:r>
      <w:r w:rsidR="00624040" w:rsidRPr="00B3280A">
        <w:rPr>
          <w:rFonts w:ascii="Arial" w:hAnsi="Arial" w:cs="Arial"/>
          <w:sz w:val="22"/>
          <w:szCs w:val="22"/>
        </w:rPr>
        <w:t xml:space="preserve"> </w:t>
      </w:r>
    </w:p>
    <w:p w:rsidR="00624040" w:rsidRDefault="00624040" w:rsidP="00B109D3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 xml:space="preserve">Divadlo se zavazuje poskytnout pořadateli bezplatně materiály dle individuální domluvy (zejména však plakát k inscenaci) k zajištění propagace představení. Pro návštěvníky představení dodá </w:t>
      </w: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:rsidR="00C509B0" w:rsidRPr="00932CBF" w:rsidRDefault="00C509B0" w:rsidP="00932CBF">
      <w:pPr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šaten od </w:t>
      </w:r>
      <w:r w:rsidR="005662D3">
        <w:rPr>
          <w:rFonts w:ascii="Arial" w:hAnsi="Arial" w:cs="Arial"/>
          <w:sz w:val="20"/>
          <w:szCs w:val="20"/>
        </w:rPr>
        <w:t>9</w:t>
      </w:r>
      <w:r w:rsidR="000F3D29" w:rsidRPr="000F3D29">
        <w:rPr>
          <w:rFonts w:ascii="Arial" w:hAnsi="Arial" w:cs="Arial"/>
          <w:sz w:val="20"/>
          <w:szCs w:val="20"/>
        </w:rPr>
        <w:t xml:space="preserve"> h</w:t>
      </w:r>
      <w:r w:rsidR="00575EC4" w:rsidRPr="000F3D29">
        <w:rPr>
          <w:rFonts w:ascii="Arial" w:hAnsi="Arial" w:cs="Arial"/>
          <w:sz w:val="20"/>
          <w:szCs w:val="20"/>
        </w:rPr>
        <w:t xml:space="preserve"> dne </w:t>
      </w:r>
      <w:r w:rsidR="005662D3">
        <w:rPr>
          <w:rFonts w:ascii="Arial" w:hAnsi="Arial" w:cs="Arial"/>
          <w:sz w:val="20"/>
          <w:szCs w:val="20"/>
        </w:rPr>
        <w:t>15. 5</w:t>
      </w:r>
      <w:r w:rsidR="000F3D29">
        <w:rPr>
          <w:rFonts w:ascii="Arial" w:hAnsi="Arial" w:cs="Arial"/>
          <w:sz w:val="20"/>
          <w:szCs w:val="20"/>
        </w:rPr>
        <w:t>. 2017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zabezpečení požadavků </w:t>
      </w:r>
      <w:r w:rsidR="009D5D3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 osvětlení / jevištní technik</w:t>
      </w:r>
      <w:r w:rsidR="009D5D3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divadla,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umožnění parkování za účelem vyložení a naložení techniky a dekorací potřeb</w:t>
      </w:r>
      <w:r w:rsidR="002134C0">
        <w:rPr>
          <w:rFonts w:ascii="Arial" w:hAnsi="Arial" w:cs="Arial"/>
          <w:sz w:val="20"/>
          <w:szCs w:val="20"/>
        </w:rPr>
        <w:t>ných pro realizací představení,</w:t>
      </w:r>
    </w:p>
    <w:p w:rsidR="00357A23" w:rsidRDefault="002134C0" w:rsidP="002134C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60220">
        <w:rPr>
          <w:rFonts w:ascii="Arial" w:hAnsi="Arial" w:cs="Arial"/>
          <w:sz w:val="20"/>
          <w:szCs w:val="20"/>
        </w:rPr>
        <w:t xml:space="preserve">Pořadatel pro divadlo zajistí </w:t>
      </w:r>
      <w:r w:rsidR="00EE2BD5">
        <w:rPr>
          <w:rFonts w:ascii="Arial" w:hAnsi="Arial" w:cs="Arial"/>
          <w:sz w:val="20"/>
          <w:szCs w:val="20"/>
        </w:rPr>
        <w:t xml:space="preserve">a zaplatí </w:t>
      </w:r>
      <w:r w:rsidRPr="00460220">
        <w:rPr>
          <w:rFonts w:ascii="Arial" w:hAnsi="Arial" w:cs="Arial"/>
          <w:sz w:val="20"/>
          <w:szCs w:val="20"/>
        </w:rPr>
        <w:t xml:space="preserve">ubytování pro </w:t>
      </w:r>
      <w:r w:rsidR="005662D3">
        <w:rPr>
          <w:rFonts w:ascii="Arial" w:hAnsi="Arial" w:cs="Arial"/>
          <w:sz w:val="20"/>
          <w:szCs w:val="20"/>
        </w:rPr>
        <w:t>12</w:t>
      </w:r>
      <w:r w:rsidRPr="00460220">
        <w:rPr>
          <w:rFonts w:ascii="Arial" w:hAnsi="Arial" w:cs="Arial"/>
          <w:sz w:val="20"/>
          <w:szCs w:val="20"/>
        </w:rPr>
        <w:t xml:space="preserve"> osob v eFi Hotelu (Bratislavská 52, 602 00 Brno), a to dne </w:t>
      </w:r>
      <w:r w:rsidR="005662D3">
        <w:rPr>
          <w:rFonts w:ascii="Arial" w:hAnsi="Arial" w:cs="Arial"/>
          <w:sz w:val="20"/>
          <w:szCs w:val="20"/>
        </w:rPr>
        <w:t>14. 5</w:t>
      </w:r>
      <w:r w:rsidRPr="00460220">
        <w:rPr>
          <w:rFonts w:ascii="Arial" w:hAnsi="Arial" w:cs="Arial"/>
          <w:sz w:val="20"/>
          <w:szCs w:val="20"/>
        </w:rPr>
        <w:t>. 2017 (celkem 1 noc) ve </w:t>
      </w:r>
      <w:r w:rsidR="005662D3">
        <w:rPr>
          <w:rFonts w:ascii="Arial" w:hAnsi="Arial" w:cs="Arial"/>
          <w:sz w:val="20"/>
          <w:szCs w:val="20"/>
        </w:rPr>
        <w:t>dvou</w:t>
      </w:r>
      <w:r w:rsidRPr="00460220">
        <w:rPr>
          <w:rFonts w:ascii="Arial" w:hAnsi="Arial" w:cs="Arial"/>
          <w:sz w:val="20"/>
          <w:szCs w:val="20"/>
        </w:rPr>
        <w:t>lůžkových pokojích se snídaní.</w:t>
      </w:r>
      <w:r w:rsidR="005662D3">
        <w:rPr>
          <w:rFonts w:ascii="Arial" w:hAnsi="Arial" w:cs="Arial"/>
          <w:sz w:val="20"/>
          <w:szCs w:val="20"/>
        </w:rPr>
        <w:t xml:space="preserve"> </w:t>
      </w:r>
      <w:r w:rsidR="00357A23" w:rsidRPr="00460220">
        <w:rPr>
          <w:rFonts w:ascii="Arial" w:hAnsi="Arial" w:cs="Arial"/>
          <w:sz w:val="20"/>
          <w:szCs w:val="20"/>
        </w:rPr>
        <w:t xml:space="preserve">Maximální cena ubytování bude ve výši </w:t>
      </w:r>
      <w:r w:rsidR="00357A23" w:rsidRPr="00357A23">
        <w:rPr>
          <w:rFonts w:ascii="Arial" w:hAnsi="Arial" w:cs="Arial"/>
          <w:b/>
          <w:sz w:val="20"/>
          <w:szCs w:val="20"/>
        </w:rPr>
        <w:t>7 620,- Kč</w:t>
      </w:r>
      <w:r w:rsidR="001C2E3D">
        <w:rPr>
          <w:rFonts w:ascii="Arial" w:hAnsi="Arial" w:cs="Arial"/>
          <w:b/>
          <w:sz w:val="20"/>
          <w:szCs w:val="20"/>
        </w:rPr>
        <w:t xml:space="preserve"> vč. DPH</w:t>
      </w:r>
      <w:r w:rsidR="00357A23">
        <w:rPr>
          <w:rFonts w:ascii="Arial" w:hAnsi="Arial" w:cs="Arial"/>
          <w:sz w:val="20"/>
          <w:szCs w:val="20"/>
        </w:rPr>
        <w:t>.</w:t>
      </w:r>
      <w:r w:rsidR="00357A23" w:rsidRPr="00357A23">
        <w:rPr>
          <w:rFonts w:ascii="Arial" w:hAnsi="Arial" w:cs="Arial"/>
          <w:sz w:val="20"/>
          <w:szCs w:val="20"/>
        </w:rPr>
        <w:t xml:space="preserve"> </w:t>
      </w:r>
    </w:p>
    <w:p w:rsidR="002134C0" w:rsidRPr="00460220" w:rsidRDefault="005662D3" w:rsidP="00357A23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pořadatel zajistí </w:t>
      </w:r>
      <w:r w:rsidR="00EE2BD5">
        <w:rPr>
          <w:rFonts w:ascii="Arial" w:hAnsi="Arial" w:cs="Arial"/>
          <w:sz w:val="20"/>
          <w:szCs w:val="20"/>
        </w:rPr>
        <w:t xml:space="preserve">a zaplatí </w:t>
      </w:r>
      <w:r>
        <w:rPr>
          <w:rFonts w:ascii="Arial" w:hAnsi="Arial" w:cs="Arial"/>
          <w:sz w:val="20"/>
          <w:szCs w:val="20"/>
        </w:rPr>
        <w:t>ubytování pro 12 osob v hotelu Continental (Kounicova 6, 602 00 Brno), a to dne 15. 5. 2017 (1 noc) ve dvou- a jednolůžkových pokojích se snídaní.</w:t>
      </w:r>
      <w:r w:rsidR="002134C0" w:rsidRPr="00460220">
        <w:rPr>
          <w:rFonts w:ascii="Arial" w:hAnsi="Arial" w:cs="Arial"/>
          <w:sz w:val="20"/>
          <w:szCs w:val="20"/>
        </w:rPr>
        <w:t xml:space="preserve"> Maximální cena ubytování bude ve výši </w:t>
      </w:r>
      <w:r w:rsidRPr="00357A23">
        <w:rPr>
          <w:rFonts w:ascii="Arial" w:hAnsi="Arial" w:cs="Arial"/>
          <w:b/>
          <w:sz w:val="20"/>
          <w:szCs w:val="20"/>
        </w:rPr>
        <w:t>11 300,-</w:t>
      </w:r>
      <w:r w:rsidR="002134C0" w:rsidRPr="00357A23">
        <w:rPr>
          <w:rFonts w:ascii="Arial" w:hAnsi="Arial" w:cs="Arial"/>
          <w:b/>
          <w:sz w:val="20"/>
          <w:szCs w:val="20"/>
        </w:rPr>
        <w:t xml:space="preserve"> Kč</w:t>
      </w:r>
      <w:r w:rsidR="001C2E3D">
        <w:rPr>
          <w:rFonts w:ascii="Arial" w:hAnsi="Arial" w:cs="Arial"/>
          <w:b/>
          <w:sz w:val="20"/>
          <w:szCs w:val="20"/>
        </w:rPr>
        <w:t xml:space="preserve"> vč. DPH</w:t>
      </w:r>
      <w:r w:rsidR="002134C0" w:rsidRPr="00460220">
        <w:rPr>
          <w:rFonts w:ascii="Arial" w:hAnsi="Arial" w:cs="Arial"/>
          <w:sz w:val="20"/>
          <w:szCs w:val="20"/>
        </w:rPr>
        <w:t>.</w:t>
      </w:r>
    </w:p>
    <w:p w:rsidR="002134C0" w:rsidRPr="00460220" w:rsidRDefault="002134C0" w:rsidP="00357A23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60220">
        <w:rPr>
          <w:rFonts w:ascii="Arial" w:hAnsi="Arial" w:cs="Arial"/>
          <w:sz w:val="20"/>
          <w:szCs w:val="20"/>
        </w:rPr>
        <w:t>Účinkující souhlasí s tím, že Pořadatel odečte skutečnou částku, uhrazenou Pořadatelem za ubytování účinkujícího, z jeho odměny dle Čl. II., bod 1. smlouvy před jejím uhrazením. Účinkující obdrží příslušný daňový doklad o úhradě ubytování.</w:t>
      </w:r>
    </w:p>
    <w:p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</w:t>
      </w:r>
      <w:r w:rsidR="005662D3">
        <w:rPr>
          <w:rFonts w:ascii="Arial" w:hAnsi="Arial" w:cs="Arial"/>
          <w:sz w:val="20"/>
          <w:szCs w:val="20"/>
        </w:rPr>
        <w:t xml:space="preserve">„Školení požární ochrany a bezpečnosti a ochrany zdraví při práci pro hostující umělecké pracovníky v Městském divadle Brno, příspěvková organizace, Lidická 16, 602 00 Brno“ </w:t>
      </w:r>
      <w:r>
        <w:rPr>
          <w:rFonts w:ascii="Arial" w:hAnsi="Arial" w:cs="Arial"/>
          <w:sz w:val="20"/>
          <w:szCs w:val="20"/>
        </w:rPr>
        <w:t>nedílnou součástí této smlouvy.</w:t>
      </w:r>
    </w:p>
    <w:p w:rsidR="00624040" w:rsidRPr="007E03D3" w:rsidRDefault="00624040" w:rsidP="007E03D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E03D3">
        <w:rPr>
          <w:rFonts w:ascii="Arial" w:hAnsi="Arial" w:cs="Arial"/>
          <w:color w:val="000000"/>
          <w:sz w:val="20"/>
          <w:szCs w:val="20"/>
        </w:rPr>
        <w:t>Divadlo se zavazuje dodat pořadateli v dostatečném časovém předstihu, nejpozději však 1.</w:t>
      </w:r>
      <w:r w:rsidR="00121F35">
        <w:rPr>
          <w:rFonts w:ascii="Arial" w:hAnsi="Arial" w:cs="Arial"/>
          <w:color w:val="000000"/>
          <w:sz w:val="20"/>
          <w:szCs w:val="20"/>
        </w:rPr>
        <w:t xml:space="preserve"> </w:t>
      </w:r>
      <w:r w:rsidR="005662D3">
        <w:rPr>
          <w:rFonts w:ascii="Arial" w:hAnsi="Arial" w:cs="Arial"/>
          <w:color w:val="000000"/>
          <w:sz w:val="20"/>
          <w:szCs w:val="20"/>
        </w:rPr>
        <w:t>5</w:t>
      </w:r>
      <w:r w:rsidR="004451B2">
        <w:rPr>
          <w:rFonts w:ascii="Arial" w:hAnsi="Arial" w:cs="Arial"/>
          <w:color w:val="000000"/>
          <w:sz w:val="20"/>
          <w:szCs w:val="20"/>
        </w:rPr>
        <w:t>.</w:t>
      </w:r>
      <w:r w:rsidR="00121F35">
        <w:rPr>
          <w:rFonts w:ascii="Arial" w:hAnsi="Arial" w:cs="Arial"/>
          <w:color w:val="000000"/>
          <w:sz w:val="20"/>
          <w:szCs w:val="20"/>
        </w:rPr>
        <w:t xml:space="preserve"> </w:t>
      </w:r>
      <w:r w:rsidR="004451B2">
        <w:rPr>
          <w:rFonts w:ascii="Arial" w:hAnsi="Arial" w:cs="Arial"/>
          <w:color w:val="000000"/>
          <w:sz w:val="20"/>
          <w:szCs w:val="20"/>
        </w:rPr>
        <w:t>2017</w:t>
      </w:r>
      <w:r w:rsidR="00B67A88" w:rsidRPr="007E03D3">
        <w:rPr>
          <w:rFonts w:ascii="Arial" w:hAnsi="Arial" w:cs="Arial"/>
          <w:color w:val="000000"/>
          <w:sz w:val="20"/>
          <w:szCs w:val="20"/>
        </w:rPr>
        <w:t>,</w:t>
      </w:r>
      <w:r w:rsidRPr="007E03D3">
        <w:rPr>
          <w:rFonts w:ascii="Arial" w:hAnsi="Arial" w:cs="Arial"/>
          <w:color w:val="000000"/>
          <w:sz w:val="20"/>
          <w:szCs w:val="20"/>
        </w:rPr>
        <w:t xml:space="preserve"> zdarma plakáty inscenace pro propagační účely</w:t>
      </w:r>
      <w:r w:rsidR="007E03D3" w:rsidRPr="007E03D3">
        <w:rPr>
          <w:rFonts w:ascii="Arial" w:hAnsi="Arial" w:cs="Arial"/>
          <w:color w:val="000000"/>
          <w:sz w:val="20"/>
          <w:szCs w:val="20"/>
        </w:rPr>
        <w:t>, a to prostřednictvím zaslání tiskových dat na adresu prochazkovam@ndbrno.cz.</w:t>
      </w:r>
      <w:r w:rsidRPr="007E03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:rsidR="00624040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organizace pohostinského vystoupení</w:t>
      </w:r>
      <w:r w:rsidR="00FE6565">
        <w:rPr>
          <w:rFonts w:ascii="Arial" w:hAnsi="Arial" w:cs="Arial"/>
          <w:sz w:val="20"/>
          <w:szCs w:val="20"/>
        </w:rPr>
        <w:t>: Zdeněk Prokeš</w:t>
      </w:r>
      <w:r w:rsidR="00BB4A7B">
        <w:rPr>
          <w:rFonts w:ascii="Arial" w:hAnsi="Arial" w:cs="Arial"/>
          <w:sz w:val="20"/>
          <w:szCs w:val="20"/>
        </w:rPr>
        <w:t xml:space="preserve"> –</w:t>
      </w:r>
      <w:r w:rsidR="00FE6565">
        <w:rPr>
          <w:rFonts w:ascii="Arial" w:hAnsi="Arial" w:cs="Arial"/>
          <w:sz w:val="20"/>
          <w:szCs w:val="20"/>
        </w:rPr>
        <w:t xml:space="preserve"> umělecký šéf Laterny magiky</w:t>
      </w:r>
      <w:r w:rsidR="00BB4A7B">
        <w:rPr>
          <w:rFonts w:ascii="Arial" w:hAnsi="Arial" w:cs="Arial"/>
          <w:sz w:val="20"/>
          <w:szCs w:val="20"/>
        </w:rPr>
        <w:t>, tel. 602 712 054, e-mail z.prokes@narodni-divadlo.cz</w:t>
      </w:r>
    </w:p>
    <w:p w:rsidR="00624040" w:rsidRDefault="0062404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otázky</w:t>
      </w:r>
      <w:r w:rsidR="00BB4A7B">
        <w:rPr>
          <w:rFonts w:ascii="Arial" w:hAnsi="Arial" w:cs="Arial"/>
          <w:sz w:val="20"/>
          <w:szCs w:val="20"/>
        </w:rPr>
        <w:t>: Petr Voříšek</w:t>
      </w:r>
      <w:r>
        <w:rPr>
          <w:rFonts w:ascii="Arial" w:hAnsi="Arial" w:cs="Arial"/>
          <w:sz w:val="20"/>
          <w:szCs w:val="20"/>
        </w:rPr>
        <w:t xml:space="preserve"> – </w:t>
      </w:r>
      <w:r w:rsidR="00BB4A7B">
        <w:rPr>
          <w:rFonts w:ascii="Arial" w:hAnsi="Arial" w:cs="Arial"/>
          <w:sz w:val="20"/>
          <w:szCs w:val="20"/>
        </w:rPr>
        <w:t xml:space="preserve">šéf jevištního provozu Nové scény ND, </w:t>
      </w:r>
      <w:r w:rsidR="00BB4A7B" w:rsidRPr="00BB4A7B">
        <w:rPr>
          <w:rFonts w:ascii="Arial" w:hAnsi="Arial" w:cs="Arial"/>
          <w:sz w:val="20"/>
          <w:szCs w:val="20"/>
        </w:rPr>
        <w:t>724 362</w:t>
      </w:r>
      <w:r w:rsidR="00BB4A7B">
        <w:rPr>
          <w:rFonts w:ascii="Arial" w:hAnsi="Arial" w:cs="Arial"/>
          <w:sz w:val="20"/>
          <w:szCs w:val="20"/>
        </w:rPr>
        <w:t> </w:t>
      </w:r>
      <w:r w:rsidR="00BB4A7B" w:rsidRPr="00BB4A7B">
        <w:rPr>
          <w:rFonts w:ascii="Arial" w:hAnsi="Arial" w:cs="Arial"/>
          <w:sz w:val="20"/>
          <w:szCs w:val="20"/>
        </w:rPr>
        <w:t>373</w:t>
      </w:r>
      <w:r w:rsidR="00BB4A7B">
        <w:rPr>
          <w:rFonts w:ascii="Arial" w:hAnsi="Arial" w:cs="Arial"/>
          <w:sz w:val="20"/>
          <w:szCs w:val="20"/>
        </w:rPr>
        <w:t xml:space="preserve">, e-mail </w:t>
      </w:r>
      <w:r w:rsidR="00BB4A7B" w:rsidRPr="00BB4A7B">
        <w:rPr>
          <w:rFonts w:ascii="Arial" w:hAnsi="Arial" w:cs="Arial"/>
          <w:sz w:val="20"/>
          <w:szCs w:val="20"/>
        </w:rPr>
        <w:t>p.vorisek@narodni-divadlo.cz</w:t>
      </w:r>
    </w:p>
    <w:p w:rsidR="00BB4A7B" w:rsidRDefault="00624040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smartTag w:uri="urn:schemas-microsoft-com:office:smarttags" w:element="PersonName">
        <w:smartTagPr>
          <w:attr w:name="ProductID" w:val="Martina Procházková"/>
        </w:smartTagPr>
        <w:r>
          <w:rPr>
            <w:rFonts w:ascii="Arial" w:hAnsi="Arial" w:cs="Arial"/>
            <w:sz w:val="20"/>
            <w:szCs w:val="20"/>
          </w:rPr>
          <w:t>Martina Procházková</w:t>
        </w:r>
      </w:smartTag>
      <w:r>
        <w:rPr>
          <w:rFonts w:ascii="Arial" w:hAnsi="Arial" w:cs="Arial"/>
          <w:sz w:val="20"/>
          <w:szCs w:val="20"/>
        </w:rPr>
        <w:t xml:space="preserve"> 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</w:t>
      </w:r>
      <w:r w:rsidR="00BB4A7B">
        <w:rPr>
          <w:rFonts w:ascii="Arial" w:hAnsi="Arial" w:cs="Arial"/>
          <w:sz w:val="20"/>
          <w:szCs w:val="20"/>
        </w:rPr>
        <w:t xml:space="preserve">   </w:t>
      </w:r>
    </w:p>
    <w:p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 w:rsidRPr="00F832A8">
        <w:rPr>
          <w:rFonts w:ascii="Arial" w:hAnsi="Arial" w:cs="Arial"/>
          <w:sz w:val="20"/>
          <w:szCs w:val="20"/>
        </w:rPr>
        <w:t>702</w:t>
      </w:r>
      <w:r>
        <w:rPr>
          <w:rFonts w:ascii="Arial" w:hAnsi="Arial" w:cs="Arial"/>
          <w:sz w:val="20"/>
          <w:szCs w:val="20"/>
        </w:rPr>
        <w:t xml:space="preserve"> 076 534, e-mail </w:t>
      </w:r>
      <w:r w:rsidR="0014705C" w:rsidRPr="00357A23">
        <w:rPr>
          <w:rFonts w:ascii="Arial" w:hAnsi="Arial"/>
          <w:sz w:val="20"/>
          <w:szCs w:val="20"/>
        </w:rPr>
        <w:t>prochazkovam@ndbrno.cz</w:t>
      </w:r>
    </w:p>
    <w:p w:rsidR="0014705C" w:rsidRDefault="0014705C" w:rsidP="00A1530A">
      <w:pPr>
        <w:ind w:firstLine="360"/>
        <w:rPr>
          <w:rFonts w:ascii="Arial" w:hAnsi="Arial"/>
          <w:sz w:val="20"/>
          <w:szCs w:val="20"/>
        </w:rPr>
      </w:pPr>
    </w:p>
    <w:p w:rsidR="0014705C" w:rsidRPr="0014705C" w:rsidRDefault="00121F35" w:rsidP="00121F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4705C" w:rsidRPr="0014705C">
        <w:rPr>
          <w:rFonts w:ascii="Arial" w:hAnsi="Arial" w:cs="Arial"/>
          <w:sz w:val="20"/>
          <w:szCs w:val="20"/>
        </w:rPr>
        <w:t>Zákonná zpravodajská licence:</w:t>
      </w:r>
    </w:p>
    <w:p w:rsidR="0014705C" w:rsidRPr="00F832A8" w:rsidRDefault="0014705C" w:rsidP="000607FB">
      <w:pPr>
        <w:ind w:left="284"/>
        <w:rPr>
          <w:rFonts w:ascii="Arial" w:hAnsi="Arial" w:cs="Arial"/>
          <w:sz w:val="20"/>
          <w:szCs w:val="20"/>
        </w:rPr>
      </w:pPr>
      <w:r w:rsidRPr="0014705C">
        <w:rPr>
          <w:rFonts w:ascii="Arial" w:hAnsi="Arial" w:cs="Arial"/>
          <w:sz w:val="20"/>
          <w:szCs w:val="20"/>
        </w:rPr>
        <w:t>Obě strany berou na vědomí, že na tuto smlouvu se vztahuje ustanovení § 34 odst. b autorského zákona s tím, že do autorského práva nezasahuje ten, kdo v odůvodněné míře dílo užije při zpravodajství o aktuální události.</w:t>
      </w:r>
    </w:p>
    <w:p w:rsidR="002134C0" w:rsidRDefault="002134C0">
      <w:pPr>
        <w:rPr>
          <w:rFonts w:ascii="Arial" w:hAnsi="Arial" w:cs="Arial"/>
          <w:sz w:val="20"/>
          <w:szCs w:val="20"/>
        </w:rPr>
      </w:pPr>
    </w:p>
    <w:p w:rsidR="00DE1751" w:rsidRDefault="00DE1751">
      <w:pPr>
        <w:rPr>
          <w:rFonts w:ascii="Arial" w:hAnsi="Arial" w:cs="Arial"/>
          <w:sz w:val="20"/>
          <w:szCs w:val="20"/>
        </w:rPr>
      </w:pPr>
    </w:p>
    <w:p w:rsidR="00DE1751" w:rsidRDefault="00DE1751">
      <w:pPr>
        <w:rPr>
          <w:rFonts w:ascii="Arial" w:hAnsi="Arial" w:cs="Arial"/>
          <w:sz w:val="20"/>
          <w:szCs w:val="20"/>
        </w:rPr>
      </w:pPr>
    </w:p>
    <w:p w:rsidR="00357A23" w:rsidRDefault="00357A23">
      <w:pPr>
        <w:rPr>
          <w:rFonts w:ascii="Arial" w:hAnsi="Arial" w:cs="Arial"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Bude-li vystoupení znemožněno v důsledku </w:t>
      </w:r>
      <w:r w:rsidR="00A232BF">
        <w:rPr>
          <w:rFonts w:ascii="Arial" w:hAnsi="Arial" w:cs="Arial"/>
          <w:sz w:val="20"/>
          <w:szCs w:val="20"/>
        </w:rPr>
        <w:t>vyšší moci</w:t>
      </w:r>
      <w:r>
        <w:rPr>
          <w:rFonts w:ascii="Arial" w:hAnsi="Arial" w:cs="Arial"/>
          <w:sz w:val="20"/>
          <w:szCs w:val="20"/>
        </w:rPr>
        <w:t xml:space="preserve"> (např. přírodní katastrofa, epidemie, úřední zákaz</w:t>
      </w:r>
      <w:r w:rsidR="00A232BF" w:rsidRPr="00A232BF">
        <w:t xml:space="preserve"> </w:t>
      </w:r>
      <w:r w:rsidR="00BA3842" w:rsidRPr="00BA3842">
        <w:rPr>
          <w:rFonts w:ascii="Arial" w:hAnsi="Arial" w:cs="Arial"/>
          <w:sz w:val="20"/>
          <w:szCs w:val="20"/>
        </w:rPr>
        <w:t xml:space="preserve">jestliže je </w:t>
      </w:r>
      <w:r w:rsidR="00A232BF" w:rsidRPr="00A232BF">
        <w:rPr>
          <w:rFonts w:ascii="Arial" w:hAnsi="Arial" w:cs="Arial"/>
          <w:sz w:val="20"/>
          <w:szCs w:val="20"/>
        </w:rPr>
        <w:t>vláda nebo smluvní strany shodně určí jako okolnosti představující hrozbu či nebezpečí.</w:t>
      </w:r>
      <w:r>
        <w:rPr>
          <w:rFonts w:ascii="Arial" w:hAnsi="Arial" w:cs="Arial"/>
          <w:sz w:val="20"/>
          <w:szCs w:val="20"/>
        </w:rPr>
        <w:t>), mají obě strany právo od smlouvy odstoupit bez jakýchkoliv nároků na finanční úhradu škody, avšak po předchozím vyrozumění.</w:t>
      </w:r>
    </w:p>
    <w:p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121F35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kusů vstupenek na představení, a to pro účely uměleckého dozoru nad tímto představením.</w:t>
      </w: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Pr="000607FB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607FB"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:rsidR="00624040" w:rsidRPr="000607FB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607FB"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  <w:r w:rsidR="00A232BF" w:rsidRPr="000607FB">
        <w:rPr>
          <w:rFonts w:ascii="Arial" w:hAnsi="Arial" w:cs="Arial"/>
          <w:sz w:val="20"/>
          <w:szCs w:val="20"/>
        </w:rPr>
        <w:t xml:space="preserve"> </w:t>
      </w:r>
      <w:r w:rsidRPr="000607FB"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:rsidR="00624040" w:rsidRPr="000607FB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607FB">
        <w:rPr>
          <w:rFonts w:ascii="Arial" w:hAnsi="Arial" w:cs="Arial"/>
          <w:sz w:val="20"/>
          <w:szCs w:val="20"/>
        </w:rPr>
        <w:t xml:space="preserve">Smlouva vstupuje v platnost a účinnost dnem podpisu obou smluvních stran. </w:t>
      </w:r>
    </w:p>
    <w:p w:rsidR="0014705C" w:rsidRDefault="0014705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607FB">
        <w:rPr>
          <w:rFonts w:ascii="Arial" w:hAnsi="Arial" w:cs="Arial"/>
          <w:sz w:val="20"/>
          <w:szCs w:val="20"/>
        </w:rPr>
        <w:t>Práva a povinnosti vyplývající z této smlouvy se řídí českým právním řádem, především pak Občanským zákoníkem č. 89/2012 Sb. A</w:t>
      </w:r>
      <w:r w:rsidR="00CB4776" w:rsidRPr="000607FB">
        <w:rPr>
          <w:rFonts w:ascii="Arial" w:hAnsi="Arial" w:cs="Arial"/>
          <w:sz w:val="20"/>
          <w:szCs w:val="20"/>
        </w:rPr>
        <w:t xml:space="preserve">utorským zákonem č.121/2000 Sb. </w:t>
      </w:r>
      <w:r w:rsidRPr="000607FB">
        <w:rPr>
          <w:rFonts w:ascii="Arial" w:hAnsi="Arial" w:cs="Arial"/>
          <w:sz w:val="20"/>
          <w:szCs w:val="20"/>
        </w:rPr>
        <w:t>Smluvní strany vylučují použití ustanovení § 1740 odst. 3 Občanského zákoníku, které stanoví, že smlouva je uzavřena i tehdy, kdy nedojde k úplné shodě projevů vůle stran.</w:t>
      </w:r>
    </w:p>
    <w:p w:rsidR="005662D3" w:rsidRPr="000607FB" w:rsidRDefault="005662D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0171A">
        <w:rPr>
          <w:rFonts w:ascii="Arial" w:hAnsi="Arial" w:cs="Arial"/>
          <w:sz w:val="20"/>
          <w:szCs w:val="20"/>
        </w:rPr>
        <w:t>Obě smluvní strany souhlasí s uveřejněním této smlouvy v úplném znění v registru smluv podle zákona č. 340/2015 Sb. (zákon o registru smluv).</w:t>
      </w:r>
    </w:p>
    <w:p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D216E7">
        <w:rPr>
          <w:rFonts w:ascii="Arial" w:hAnsi="Arial" w:cs="Arial"/>
          <w:sz w:val="20"/>
          <w:szCs w:val="20"/>
        </w:rPr>
        <w:t>Příloha č.</w:t>
      </w:r>
      <w:r w:rsidR="00D216E7">
        <w:rPr>
          <w:rFonts w:ascii="Arial" w:hAnsi="Arial" w:cs="Arial"/>
          <w:sz w:val="20"/>
          <w:szCs w:val="20"/>
        </w:rPr>
        <w:t xml:space="preserve"> </w:t>
      </w:r>
      <w:r w:rsidRPr="00D216E7">
        <w:rPr>
          <w:rFonts w:ascii="Arial" w:hAnsi="Arial" w:cs="Arial"/>
          <w:sz w:val="20"/>
          <w:szCs w:val="20"/>
        </w:rPr>
        <w:t>1: „Školení požární ochrany a bezpečnosti práce“</w:t>
      </w:r>
    </w:p>
    <w:p w:rsidR="00D216E7" w:rsidRPr="00D216E7" w:rsidRDefault="00D216E7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2: Technické podmínky pro hostování Laterny magiky</w:t>
      </w:r>
    </w:p>
    <w:p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5"/>
        <w:gridCol w:w="4513"/>
      </w:tblGrid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BC03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BC03E1">
              <w:rPr>
                <w:rFonts w:ascii="Arial" w:hAnsi="Arial" w:cs="Arial"/>
                <w:sz w:val="20"/>
                <w:szCs w:val="20"/>
              </w:rPr>
              <w:t>Brně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</w:tc>
        <w:tc>
          <w:tcPr>
            <w:tcW w:w="4513" w:type="dxa"/>
            <w:shd w:val="clear" w:color="auto" w:fill="auto"/>
          </w:tcPr>
          <w:p w:rsidR="00B85B3C" w:rsidRDefault="00B85B3C" w:rsidP="00BC03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</w:t>
            </w:r>
            <w:r w:rsidR="00BC03E1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4F3" w:rsidRDefault="003234F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4F3" w:rsidRDefault="003234F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Pr="007E517D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Pr="007E517D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7E517D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:rsidR="00B85B3C" w:rsidRPr="007E517D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Pr="007E517D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7E517D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:rsidR="00B85B3C" w:rsidRPr="007E517D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Pr="007E517D" w:rsidRDefault="001C6D1E" w:rsidP="00A232B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7E517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85B3C" w:rsidRPr="007E5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2BF" w:rsidRPr="007E517D">
              <w:rPr>
                <w:rFonts w:ascii="Arial" w:hAnsi="Arial" w:cs="Arial"/>
                <w:sz w:val="20"/>
                <w:szCs w:val="20"/>
              </w:rPr>
              <w:t xml:space="preserve">MgA. Martin Glaser </w:t>
            </w:r>
            <w:r w:rsidR="00B85B3C" w:rsidRPr="007E517D">
              <w:rPr>
                <w:rFonts w:ascii="Arial" w:hAnsi="Arial" w:cs="Arial"/>
                <w:sz w:val="20"/>
                <w:szCs w:val="20"/>
              </w:rPr>
              <w:t xml:space="preserve">      </w:t>
            </w:r>
          </w:p>
        </w:tc>
        <w:tc>
          <w:tcPr>
            <w:tcW w:w="4513" w:type="dxa"/>
            <w:shd w:val="clear" w:color="auto" w:fill="auto"/>
          </w:tcPr>
          <w:p w:rsidR="00B85B3C" w:rsidRPr="007E517D" w:rsidRDefault="00B85B3C" w:rsidP="00A232B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7E517D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A232BF" w:rsidRPr="007E517D">
              <w:rPr>
                <w:rFonts w:ascii="Arial" w:hAnsi="Arial" w:cs="Arial"/>
                <w:sz w:val="20"/>
                <w:szCs w:val="20"/>
              </w:rPr>
              <w:t>Mgr. Zdeněk Prokeš</w:t>
            </w:r>
          </w:p>
        </w:tc>
      </w:tr>
    </w:tbl>
    <w:p w:rsidR="00B85B3C" w:rsidRDefault="00BC03E1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232BF">
        <w:rPr>
          <w:rFonts w:ascii="Arial" w:hAnsi="Arial" w:cs="Arial"/>
          <w:sz w:val="20"/>
          <w:szCs w:val="20"/>
        </w:rPr>
        <w:t xml:space="preserve">za Národní divadlo Brno  </w:t>
      </w:r>
      <w:r w:rsidR="00B85B3C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1C6D1E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</w:t>
      </w:r>
      <w:r w:rsidR="00B85B3C">
        <w:rPr>
          <w:rFonts w:ascii="Arial" w:hAnsi="Arial" w:cs="Arial"/>
          <w:sz w:val="20"/>
          <w:szCs w:val="20"/>
        </w:rPr>
        <w:t xml:space="preserve">     </w:t>
      </w:r>
      <w:r w:rsidR="00A232BF">
        <w:rPr>
          <w:rFonts w:ascii="Arial" w:hAnsi="Arial" w:cs="Arial"/>
          <w:sz w:val="20"/>
          <w:szCs w:val="20"/>
        </w:rPr>
        <w:t>za Národní divadlo</w:t>
      </w:r>
      <w:r w:rsidR="00A232BF" w:rsidDel="00A232BF">
        <w:rPr>
          <w:rFonts w:ascii="Arial" w:hAnsi="Arial" w:cs="Arial"/>
          <w:sz w:val="20"/>
          <w:szCs w:val="20"/>
        </w:rPr>
        <w:t xml:space="preserve"> 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B6DDD9" w15:done="0"/>
  <w15:commentEx w15:paraId="4969BB87" w15:paraIdParent="73B6DD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25" w:rsidRDefault="00706825">
      <w:r>
        <w:separator/>
      </w:r>
    </w:p>
  </w:endnote>
  <w:endnote w:type="continuationSeparator" w:id="0">
    <w:p w:rsidR="00706825" w:rsidRDefault="0070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40" w:rsidRDefault="000B2CB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85pt;height:13.6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<v:fill opacity="0"/>
          <v:textbox inset="0,0,0,0">
            <w:txbxContent>
              <w:p w:rsidR="00624040" w:rsidRDefault="000B2CB2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624040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06825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25" w:rsidRDefault="00706825">
      <w:r>
        <w:separator/>
      </w:r>
    </w:p>
  </w:footnote>
  <w:footnote w:type="continuationSeparator" w:id="0">
    <w:p w:rsidR="00706825" w:rsidRDefault="00706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02E9"/>
    <w:rsid w:val="0003428A"/>
    <w:rsid w:val="00054DFF"/>
    <w:rsid w:val="000607FB"/>
    <w:rsid w:val="00075CDF"/>
    <w:rsid w:val="000B2CB2"/>
    <w:rsid w:val="000B5EA8"/>
    <w:rsid w:val="000F3D29"/>
    <w:rsid w:val="00121F35"/>
    <w:rsid w:val="00145C63"/>
    <w:rsid w:val="0014705C"/>
    <w:rsid w:val="00160B57"/>
    <w:rsid w:val="00166A38"/>
    <w:rsid w:val="0016767B"/>
    <w:rsid w:val="001C2E3D"/>
    <w:rsid w:val="001C6D1E"/>
    <w:rsid w:val="001D08C1"/>
    <w:rsid w:val="001E3E3F"/>
    <w:rsid w:val="002134C0"/>
    <w:rsid w:val="002261AA"/>
    <w:rsid w:val="00233CF6"/>
    <w:rsid w:val="00253FE6"/>
    <w:rsid w:val="002733EB"/>
    <w:rsid w:val="0028123D"/>
    <w:rsid w:val="00282E8E"/>
    <w:rsid w:val="002B7283"/>
    <w:rsid w:val="0032116B"/>
    <w:rsid w:val="003234F3"/>
    <w:rsid w:val="00357A23"/>
    <w:rsid w:val="0036762A"/>
    <w:rsid w:val="003C2058"/>
    <w:rsid w:val="003C4F00"/>
    <w:rsid w:val="003D30B0"/>
    <w:rsid w:val="004257CD"/>
    <w:rsid w:val="00440870"/>
    <w:rsid w:val="004451B2"/>
    <w:rsid w:val="004539D6"/>
    <w:rsid w:val="004560D1"/>
    <w:rsid w:val="00460220"/>
    <w:rsid w:val="004D5E3D"/>
    <w:rsid w:val="004D7813"/>
    <w:rsid w:val="005156A2"/>
    <w:rsid w:val="00523888"/>
    <w:rsid w:val="0053477D"/>
    <w:rsid w:val="005475CF"/>
    <w:rsid w:val="005650B4"/>
    <w:rsid w:val="005662D3"/>
    <w:rsid w:val="005710A5"/>
    <w:rsid w:val="00575EC4"/>
    <w:rsid w:val="005840F9"/>
    <w:rsid w:val="005B65D4"/>
    <w:rsid w:val="005B7E93"/>
    <w:rsid w:val="005C4DD8"/>
    <w:rsid w:val="005D751B"/>
    <w:rsid w:val="00610121"/>
    <w:rsid w:val="006153E5"/>
    <w:rsid w:val="00624040"/>
    <w:rsid w:val="00661FA5"/>
    <w:rsid w:val="0066597D"/>
    <w:rsid w:val="006A3098"/>
    <w:rsid w:val="006B1628"/>
    <w:rsid w:val="006C19F7"/>
    <w:rsid w:val="00706825"/>
    <w:rsid w:val="0076682B"/>
    <w:rsid w:val="00773949"/>
    <w:rsid w:val="00773A67"/>
    <w:rsid w:val="007C27B0"/>
    <w:rsid w:val="007E03D3"/>
    <w:rsid w:val="007E2DF3"/>
    <w:rsid w:val="007E517D"/>
    <w:rsid w:val="008116E5"/>
    <w:rsid w:val="008325CF"/>
    <w:rsid w:val="00871306"/>
    <w:rsid w:val="00874822"/>
    <w:rsid w:val="008A6184"/>
    <w:rsid w:val="008B283E"/>
    <w:rsid w:val="00903F42"/>
    <w:rsid w:val="00920F5E"/>
    <w:rsid w:val="00932CBF"/>
    <w:rsid w:val="00940FAF"/>
    <w:rsid w:val="00951F1E"/>
    <w:rsid w:val="0096032B"/>
    <w:rsid w:val="00975D63"/>
    <w:rsid w:val="009772FF"/>
    <w:rsid w:val="009779AA"/>
    <w:rsid w:val="009802E9"/>
    <w:rsid w:val="009A260E"/>
    <w:rsid w:val="009C096A"/>
    <w:rsid w:val="009D5D32"/>
    <w:rsid w:val="009E6647"/>
    <w:rsid w:val="00A106EC"/>
    <w:rsid w:val="00A1530A"/>
    <w:rsid w:val="00A232BF"/>
    <w:rsid w:val="00A328EE"/>
    <w:rsid w:val="00A40F26"/>
    <w:rsid w:val="00A53B8D"/>
    <w:rsid w:val="00A54521"/>
    <w:rsid w:val="00A70494"/>
    <w:rsid w:val="00A921D6"/>
    <w:rsid w:val="00A96893"/>
    <w:rsid w:val="00A9693B"/>
    <w:rsid w:val="00AA4EB9"/>
    <w:rsid w:val="00AD33DD"/>
    <w:rsid w:val="00AE5B87"/>
    <w:rsid w:val="00B109D3"/>
    <w:rsid w:val="00B260D2"/>
    <w:rsid w:val="00B3280A"/>
    <w:rsid w:val="00B403F8"/>
    <w:rsid w:val="00B504D5"/>
    <w:rsid w:val="00B5654D"/>
    <w:rsid w:val="00B67A88"/>
    <w:rsid w:val="00B801B2"/>
    <w:rsid w:val="00B85B3C"/>
    <w:rsid w:val="00B85D9C"/>
    <w:rsid w:val="00B86FD2"/>
    <w:rsid w:val="00B870ED"/>
    <w:rsid w:val="00BA3842"/>
    <w:rsid w:val="00BB4A7B"/>
    <w:rsid w:val="00BC03E1"/>
    <w:rsid w:val="00BD3861"/>
    <w:rsid w:val="00C509B0"/>
    <w:rsid w:val="00C756B9"/>
    <w:rsid w:val="00C8050E"/>
    <w:rsid w:val="00C8418F"/>
    <w:rsid w:val="00C91A0F"/>
    <w:rsid w:val="00C97328"/>
    <w:rsid w:val="00CB0A61"/>
    <w:rsid w:val="00CB4776"/>
    <w:rsid w:val="00CB6BE1"/>
    <w:rsid w:val="00D13CE7"/>
    <w:rsid w:val="00D213F4"/>
    <w:rsid w:val="00D216E7"/>
    <w:rsid w:val="00D23903"/>
    <w:rsid w:val="00D41672"/>
    <w:rsid w:val="00DA3AD6"/>
    <w:rsid w:val="00DA7D85"/>
    <w:rsid w:val="00DD1922"/>
    <w:rsid w:val="00DD225B"/>
    <w:rsid w:val="00DD553E"/>
    <w:rsid w:val="00DE1751"/>
    <w:rsid w:val="00DF5768"/>
    <w:rsid w:val="00DF7239"/>
    <w:rsid w:val="00E03A6F"/>
    <w:rsid w:val="00E1388D"/>
    <w:rsid w:val="00E24F23"/>
    <w:rsid w:val="00E6195B"/>
    <w:rsid w:val="00E75853"/>
    <w:rsid w:val="00E77449"/>
    <w:rsid w:val="00EA69CB"/>
    <w:rsid w:val="00EE2BD5"/>
    <w:rsid w:val="00F25431"/>
    <w:rsid w:val="00F505E0"/>
    <w:rsid w:val="00F57A77"/>
    <w:rsid w:val="00F7402C"/>
    <w:rsid w:val="00F832A8"/>
    <w:rsid w:val="00F87929"/>
    <w:rsid w:val="00FD22D2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rsid w:val="00661FA5"/>
    <w:rPr>
      <w:rFonts w:cs="Times New Roman"/>
    </w:rPr>
  </w:style>
  <w:style w:type="character" w:customStyle="1" w:styleId="NzevChar">
    <w:name w:val="Název Char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61FA5"/>
    <w:pPr>
      <w:snapToGrid w:val="0"/>
    </w:pPr>
  </w:style>
  <w:style w:type="character" w:customStyle="1" w:styleId="ZkladntextChar">
    <w:name w:val="Základní text Char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1">
    <w:name w:val="Název Char1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vrendokumentu">
    <w:name w:val="Document Map"/>
    <w:basedOn w:val="Normln"/>
    <w:link w:val="RozvrendokumentuChar"/>
    <w:uiPriority w:val="99"/>
    <w:semiHidden/>
    <w:rsid w:val="00C8050E"/>
    <w:pPr>
      <w:shd w:val="clear" w:color="auto" w:fill="000080"/>
    </w:pPr>
    <w:rPr>
      <w:sz w:val="2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6772-A040-478A-8646-776D352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Smlouva</vt:lpstr>
      <vt:lpstr>DIČ: CZ00094820</vt:lpstr>
      <vt:lpstr>Divadlo se zavazuje poskytnout pořadateli bezplatně materiály dle individuální d</vt:lpstr>
    </vt:vector>
  </TitlesOfParts>
  <Company>Hewlett-Packard Company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prochazkovam</cp:lastModifiedBy>
  <cp:revision>2</cp:revision>
  <cp:lastPrinted>2012-06-21T14:17:00Z</cp:lastPrinted>
  <dcterms:created xsi:type="dcterms:W3CDTF">2017-04-25T16:09:00Z</dcterms:created>
  <dcterms:modified xsi:type="dcterms:W3CDTF">2017-04-25T16:09:00Z</dcterms:modified>
</cp:coreProperties>
</file>