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2C099842">
            <wp:simplePos x="0" y="0"/>
            <wp:positionH relativeFrom="margin">
              <wp:posOffset>0</wp:posOffset>
            </wp:positionH>
            <wp:positionV relativeFrom="paragraph">
              <wp:posOffset>-365688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778FA9D6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99179D">
        <w:rPr>
          <w:rFonts w:asciiTheme="minorHAnsi" w:hAnsiTheme="minorHAnsi" w:cstheme="minorHAnsi"/>
          <w:b/>
          <w:sz w:val="24"/>
          <w:szCs w:val="24"/>
        </w:rPr>
        <w:t>2022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99179D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99179D" w:rsidRPr="0099179D">
        <w:rPr>
          <w:rStyle w:val="displayonly"/>
          <w:rFonts w:asciiTheme="minorHAnsi" w:hAnsiTheme="minorHAnsi" w:cstheme="minorHAnsi"/>
          <w:b/>
          <w:bCs/>
          <w:sz w:val="24"/>
          <w:szCs w:val="24"/>
        </w:rPr>
        <w:t>20-22092S</w:t>
      </w:r>
      <w:proofErr w:type="gramEnd"/>
      <w:r w:rsidR="0099179D">
        <w:rPr>
          <w:rStyle w:val="displayonly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99179D">
        <w:rPr>
          <w:rFonts w:asciiTheme="minorHAnsi" w:hAnsiTheme="minorHAnsi" w:cstheme="minorHAnsi"/>
          <w:b/>
          <w:sz w:val="24"/>
          <w:szCs w:val="24"/>
        </w:rPr>
        <w:t>P101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2B34297C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12A83034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99179D" w:rsidRPr="0099179D">
        <w:rPr>
          <w:rFonts w:asciiTheme="majorHAnsi" w:hAnsiTheme="majorHAnsi" w:cstheme="majorHAnsi"/>
          <w:b/>
          <w:bCs/>
        </w:rPr>
        <w:t>České vysoké učení technické v Praze</w:t>
      </w:r>
      <w:r w:rsidRPr="0099179D">
        <w:rPr>
          <w:rFonts w:asciiTheme="majorHAnsi" w:hAnsiTheme="majorHAnsi" w:cstheme="majorHAnsi"/>
          <w:b/>
          <w:bCs/>
        </w:rPr>
        <w:br/>
      </w:r>
      <w:r w:rsidRPr="0099179D">
        <w:rPr>
          <w:rFonts w:asciiTheme="majorHAnsi" w:hAnsiTheme="majorHAnsi" w:cstheme="majorHAnsi"/>
        </w:rPr>
        <w:t xml:space="preserve">se sídlem </w:t>
      </w:r>
      <w:r w:rsidR="0099179D" w:rsidRPr="0099179D">
        <w:rPr>
          <w:rFonts w:asciiTheme="majorHAnsi" w:hAnsiTheme="majorHAnsi" w:cstheme="majorHAnsi"/>
          <w:b/>
          <w:bCs/>
        </w:rPr>
        <w:t>Jugoslávských partyzánů 1580/3, 160 00 Praha</w:t>
      </w:r>
      <w:r w:rsidRPr="0099179D">
        <w:rPr>
          <w:rFonts w:asciiTheme="majorHAnsi" w:hAnsiTheme="majorHAnsi" w:cstheme="majorHAnsi"/>
          <w:b/>
          <w:bCs/>
        </w:rPr>
        <w:br/>
      </w:r>
      <w:r w:rsidRPr="0099179D">
        <w:rPr>
          <w:rFonts w:asciiTheme="majorHAnsi" w:hAnsiTheme="majorHAnsi" w:cstheme="majorHAnsi"/>
        </w:rPr>
        <w:t xml:space="preserve">IČO: </w:t>
      </w:r>
      <w:r w:rsidR="0099179D" w:rsidRPr="0099179D">
        <w:rPr>
          <w:rFonts w:asciiTheme="majorHAnsi" w:hAnsiTheme="majorHAnsi" w:cstheme="majorHAnsi"/>
          <w:b/>
          <w:bCs/>
        </w:rPr>
        <w:t>68407700</w:t>
      </w:r>
      <w:r w:rsidRPr="0099179D">
        <w:rPr>
          <w:rFonts w:asciiTheme="majorHAnsi" w:hAnsiTheme="majorHAnsi" w:cstheme="majorHAnsi"/>
          <w:b/>
        </w:rPr>
        <w:br/>
      </w:r>
      <w:r w:rsidRPr="0099179D">
        <w:rPr>
          <w:rFonts w:asciiTheme="majorHAnsi" w:hAnsiTheme="majorHAnsi" w:cstheme="majorHAnsi"/>
        </w:rPr>
        <w:t>Zastoupen</w:t>
      </w:r>
      <w:r w:rsidR="0099179D">
        <w:rPr>
          <w:rFonts w:asciiTheme="majorHAnsi" w:hAnsiTheme="majorHAnsi" w:cstheme="majorHAnsi"/>
        </w:rPr>
        <w:t>é</w:t>
      </w:r>
      <w:r w:rsidRPr="0099179D">
        <w:rPr>
          <w:rFonts w:asciiTheme="majorHAnsi" w:hAnsiTheme="majorHAnsi" w:cstheme="majorHAnsi"/>
        </w:rPr>
        <w:t xml:space="preserve">: </w:t>
      </w:r>
      <w:r w:rsidR="0099179D">
        <w:rPr>
          <w:rFonts w:asciiTheme="majorHAnsi" w:hAnsiTheme="majorHAnsi" w:cstheme="majorHAnsi"/>
          <w:b/>
          <w:bCs/>
        </w:rPr>
        <w:t>d</w:t>
      </w:r>
      <w:r w:rsidR="0099179D" w:rsidRPr="0099179D">
        <w:rPr>
          <w:rFonts w:asciiTheme="majorHAnsi" w:hAnsiTheme="majorHAnsi" w:cstheme="majorHAnsi"/>
          <w:b/>
          <w:bCs/>
        </w:rPr>
        <w:t>oc. RNDr. Vojtěch</w:t>
      </w:r>
      <w:r w:rsidR="0099179D">
        <w:rPr>
          <w:rFonts w:asciiTheme="majorHAnsi" w:hAnsiTheme="majorHAnsi" w:cstheme="majorHAnsi"/>
          <w:b/>
          <w:bCs/>
        </w:rPr>
        <w:t>em</w:t>
      </w:r>
      <w:r w:rsidR="0099179D" w:rsidRPr="0099179D">
        <w:rPr>
          <w:rFonts w:asciiTheme="majorHAnsi" w:hAnsiTheme="majorHAnsi" w:cstheme="majorHAnsi"/>
          <w:b/>
          <w:bCs/>
        </w:rPr>
        <w:t xml:space="preserve"> Petráč</w:t>
      </w:r>
      <w:r w:rsidR="0099179D">
        <w:rPr>
          <w:rFonts w:asciiTheme="majorHAnsi" w:hAnsiTheme="majorHAnsi" w:cstheme="majorHAnsi"/>
          <w:b/>
          <w:bCs/>
        </w:rPr>
        <w:t>kem</w:t>
      </w:r>
      <w:r w:rsidR="0099179D" w:rsidRPr="0099179D">
        <w:rPr>
          <w:rFonts w:asciiTheme="majorHAnsi" w:hAnsiTheme="majorHAnsi" w:cstheme="majorHAnsi"/>
          <w:b/>
          <w:bCs/>
        </w:rPr>
        <w:t>, CSc.</w:t>
      </w:r>
      <w:r w:rsidRPr="0099179D">
        <w:rPr>
          <w:rFonts w:asciiTheme="majorHAnsi" w:hAnsiTheme="majorHAnsi" w:cstheme="majorHAnsi"/>
          <w:b/>
          <w:bCs/>
        </w:rPr>
        <w:br/>
      </w:r>
      <w:r w:rsidRPr="0099179D">
        <w:rPr>
          <w:rFonts w:asciiTheme="majorHAnsi" w:hAnsiTheme="majorHAnsi" w:cstheme="majorHAnsi"/>
        </w:rPr>
        <w:t xml:space="preserve">č. účtu: </w:t>
      </w:r>
      <w:r w:rsidRPr="0099179D">
        <w:rPr>
          <w:rFonts w:asciiTheme="majorHAnsi" w:hAnsiTheme="majorHAnsi" w:cstheme="majorHAnsi"/>
          <w:b/>
          <w:bCs/>
        </w:rPr>
        <w:br/>
      </w:r>
      <w:r w:rsidRPr="0099179D">
        <w:rPr>
          <w:rFonts w:asciiTheme="majorHAnsi" w:hAnsiTheme="majorHAnsi" w:cstheme="majorHAnsi"/>
        </w:rPr>
        <w:t>(dále jen „</w:t>
      </w:r>
      <w:r w:rsidRPr="0099179D">
        <w:rPr>
          <w:rFonts w:asciiTheme="majorHAnsi" w:hAnsiTheme="majorHAnsi" w:cstheme="majorHAnsi"/>
          <w:b/>
        </w:rPr>
        <w:t>Příjemce</w:t>
      </w:r>
      <w:r w:rsidRPr="0099179D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00AA9A3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99179D" w:rsidRPr="0099179D">
        <w:rPr>
          <w:rStyle w:val="displayonly"/>
          <w:rFonts w:asciiTheme="majorHAnsi" w:hAnsiTheme="majorHAnsi" w:cstheme="majorHAnsi"/>
          <w:b/>
          <w:bCs/>
        </w:rPr>
        <w:t>20-22092S</w:t>
      </w:r>
      <w:proofErr w:type="gramEnd"/>
      <w:r w:rsidR="0099179D">
        <w:rPr>
          <w:rStyle w:val="displayonly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33CB9FB8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99179D" w:rsidRPr="0099179D">
        <w:rPr>
          <w:rStyle w:val="displayonly"/>
          <w:rFonts w:asciiTheme="majorHAnsi" w:hAnsiTheme="majorHAnsi" w:cstheme="majorHAnsi"/>
          <w:b/>
          <w:bCs/>
        </w:rPr>
        <w:t>20-22092S</w:t>
      </w:r>
      <w:proofErr w:type="gramEnd"/>
      <w:r w:rsidR="0099179D">
        <w:rPr>
          <w:rStyle w:val="displayonly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6CBB849C" w:rsidR="00F17D07" w:rsidRPr="000B5A97" w:rsidRDefault="00F17D07" w:rsidP="00F95E0B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0B5A97">
        <w:rPr>
          <w:rFonts w:asciiTheme="majorHAnsi" w:hAnsiTheme="majorHAnsi" w:cstheme="majorHAnsi"/>
        </w:rPr>
        <w:tab/>
      </w:r>
      <w:proofErr w:type="spellStart"/>
      <w:r w:rsidR="000B5A97" w:rsidRPr="000B5A97">
        <w:rPr>
          <w:rFonts w:asciiTheme="majorHAnsi" w:hAnsiTheme="majorHAnsi" w:cstheme="majorHAnsi"/>
          <w:b/>
          <w:bCs/>
        </w:rPr>
        <w:t>Víceškálová</w:t>
      </w:r>
      <w:proofErr w:type="spellEnd"/>
      <w:r w:rsidR="000B5A97" w:rsidRPr="000B5A97">
        <w:rPr>
          <w:rFonts w:asciiTheme="majorHAnsi" w:hAnsiTheme="majorHAnsi" w:cstheme="majorHAnsi"/>
          <w:b/>
          <w:bCs/>
        </w:rPr>
        <w:t xml:space="preserve"> termodynamika: okrajové podmínky, integrace a aplikace</w:t>
      </w:r>
    </w:p>
    <w:p w14:paraId="55BCF4AD" w14:textId="6172994F" w:rsidR="00F17D07" w:rsidRPr="000B5A97" w:rsidRDefault="00F17D07" w:rsidP="00F95E0B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0B5A97">
        <w:rPr>
          <w:rFonts w:asciiTheme="majorHAnsi" w:hAnsiTheme="majorHAnsi" w:cstheme="majorHAnsi"/>
          <w:i/>
        </w:rPr>
        <w:t>řešitel Projektu:</w:t>
      </w:r>
      <w:r w:rsidRPr="000B5A97">
        <w:rPr>
          <w:rFonts w:asciiTheme="majorHAnsi" w:hAnsiTheme="majorHAnsi" w:cstheme="majorHAnsi"/>
          <w:i/>
        </w:rPr>
        <w:tab/>
      </w:r>
      <w:r w:rsidR="000B5A97" w:rsidRPr="000B5A97">
        <w:rPr>
          <w:rFonts w:asciiTheme="majorHAnsi" w:hAnsiTheme="majorHAnsi" w:cstheme="majorHAnsi"/>
          <w:b/>
          <w:bCs/>
        </w:rPr>
        <w:t>doc. Ing. Václav Klika,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7BCBE5D8" w:rsidR="00F17D07" w:rsidRPr="000B5A9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0B5A97">
        <w:rPr>
          <w:rFonts w:asciiTheme="majorHAnsi" w:hAnsiTheme="majorHAnsi" w:cstheme="majorHAnsi"/>
        </w:rPr>
        <w:t>na</w:t>
      </w:r>
      <w:r w:rsidR="00F95E0B" w:rsidRPr="000B5A97">
        <w:rPr>
          <w:rFonts w:asciiTheme="majorHAnsi" w:hAnsiTheme="majorHAnsi" w:cstheme="majorHAnsi"/>
        </w:rPr>
        <w:t> </w:t>
      </w:r>
      <w:r w:rsidRPr="000B5A97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B5A97" w:rsidRPr="000B5A97">
        <w:rPr>
          <w:rFonts w:asciiTheme="majorHAnsi" w:hAnsiTheme="majorHAnsi" w:cstheme="majorHAnsi"/>
        </w:rPr>
        <w:t>23</w:t>
      </w:r>
      <w:r w:rsidRPr="000B5A97">
        <w:rPr>
          <w:rFonts w:asciiTheme="majorHAnsi" w:hAnsiTheme="majorHAnsi" w:cstheme="majorHAnsi"/>
        </w:rPr>
        <w:t xml:space="preserve"> do</w:t>
      </w:r>
      <w:r w:rsidR="004B5119" w:rsidRPr="000B5A97">
        <w:rPr>
          <w:rFonts w:asciiTheme="majorHAnsi" w:hAnsiTheme="majorHAnsi" w:cstheme="majorHAnsi"/>
        </w:rPr>
        <w:t> </w:t>
      </w:r>
      <w:r w:rsidRPr="000B5A97">
        <w:rPr>
          <w:rFonts w:asciiTheme="majorHAnsi" w:hAnsiTheme="majorHAnsi" w:cstheme="majorHAnsi"/>
        </w:rPr>
        <w:t>30. 6. 20</w:t>
      </w:r>
      <w:r w:rsidR="000B5A97" w:rsidRPr="000B5A97">
        <w:rPr>
          <w:rFonts w:asciiTheme="majorHAnsi" w:hAnsiTheme="majorHAnsi" w:cstheme="majorHAnsi"/>
        </w:rPr>
        <w:t>23</w:t>
      </w:r>
      <w:r w:rsidRPr="000B5A97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3F5580B1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0B5A97">
        <w:rPr>
          <w:rFonts w:asciiTheme="majorHAnsi" w:hAnsiTheme="majorHAnsi" w:cstheme="majorHAnsi"/>
        </w:rPr>
        <w:t>Za období od 1. 1. 20</w:t>
      </w:r>
      <w:r w:rsidR="000B5A97" w:rsidRPr="000B5A97">
        <w:rPr>
          <w:rFonts w:asciiTheme="majorHAnsi" w:hAnsiTheme="majorHAnsi" w:cstheme="majorHAnsi"/>
        </w:rPr>
        <w:t>23</w:t>
      </w:r>
      <w:r w:rsidRPr="000B5A97">
        <w:rPr>
          <w:rFonts w:asciiTheme="majorHAnsi" w:hAnsiTheme="majorHAnsi" w:cstheme="majorHAnsi"/>
        </w:rPr>
        <w:t xml:space="preserve"> do 30. 6. 20</w:t>
      </w:r>
      <w:r w:rsidR="000B5A97" w:rsidRPr="000B5A97">
        <w:rPr>
          <w:rFonts w:asciiTheme="majorHAnsi" w:hAnsiTheme="majorHAnsi" w:cstheme="majorHAnsi"/>
        </w:rPr>
        <w:t>23</w:t>
      </w:r>
      <w:r w:rsidRPr="000B5A97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16C0B368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B5A97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99179D" w:rsidRPr="000B5A97">
        <w:rPr>
          <w:rStyle w:val="displayonly"/>
          <w:rFonts w:asciiTheme="majorHAnsi" w:hAnsiTheme="majorHAnsi" w:cstheme="majorHAnsi"/>
          <w:b/>
          <w:bCs/>
        </w:rPr>
        <w:t>20-22092S</w:t>
      </w:r>
      <w:proofErr w:type="gramEnd"/>
      <w:r w:rsidR="0099179D" w:rsidRPr="000B5A97">
        <w:rPr>
          <w:rStyle w:val="displayonly"/>
        </w:rPr>
        <w:t xml:space="preserve"> </w:t>
      </w:r>
      <w:r w:rsidRPr="000B5A97">
        <w:rPr>
          <w:rFonts w:asciiTheme="majorHAnsi" w:hAnsiTheme="majorHAnsi" w:cstheme="majorHAnsi"/>
        </w:rPr>
        <w:t xml:space="preserve">mění na </w:t>
      </w:r>
      <w:r w:rsidR="000B5A97" w:rsidRPr="000B5A97">
        <w:rPr>
          <w:rFonts w:asciiTheme="majorHAnsi" w:hAnsiTheme="majorHAnsi" w:cstheme="majorHAnsi"/>
          <w:b/>
          <w:bCs/>
        </w:rPr>
        <w:t>30. 6. 2023</w:t>
      </w:r>
      <w:r w:rsidR="000B5A97" w:rsidRPr="000B5A97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79AF5533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0B5A97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6820977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1FA0927F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0B5A97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1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9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B5A97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25009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52FD7"/>
    <w:rsid w:val="009675FD"/>
    <w:rsid w:val="0099179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46E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displayonly">
    <w:name w:val="display_only"/>
    <w:basedOn w:val="Standardnpsmoodstavce"/>
    <w:rsid w:val="0099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518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cp:lastPrinted>2022-11-03T11:03:00Z</cp:lastPrinted>
  <dcterms:created xsi:type="dcterms:W3CDTF">2022-11-15T09:02:00Z</dcterms:created>
  <dcterms:modified xsi:type="dcterms:W3CDTF">2022-11-15T09:02:00Z</dcterms:modified>
</cp:coreProperties>
</file>