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2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12677B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Umíme to,</w:t>
            </w:r>
            <w:r w:rsidR="005F739C">
              <w:rPr>
                <w:rFonts w:ascii="Arial" w:hAnsi="Arial" w:cs="Arial"/>
                <w:szCs w:val="24"/>
              </w:rPr>
              <w:t xml:space="preserve"> s.r.o.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12677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Cyrilská 508/7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12677B" w:rsidP="0012677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60200</w:t>
            </w:r>
            <w:r w:rsidR="005F739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Brno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 w:rsidP="0012677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IČO: </w:t>
            </w:r>
            <w:r w:rsidR="0012677B">
              <w:rPr>
                <w:rFonts w:ascii="Arial" w:hAnsi="Arial" w:cs="Arial"/>
                <w:szCs w:val="24"/>
              </w:rPr>
              <w:t>09181920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proofErr w:type="spellStart"/>
            <w:r w:rsidR="0012677B">
              <w:rPr>
                <w:rFonts w:ascii="Tahoma" w:hAnsi="Tahoma" w:cs="Tahoma"/>
                <w:szCs w:val="24"/>
              </w:rPr>
              <w:t>Fio</w:t>
            </w:r>
            <w:proofErr w:type="spellEnd"/>
            <w:r w:rsidR="0012677B">
              <w:rPr>
                <w:rFonts w:ascii="Tahoma" w:hAnsi="Tahoma" w:cs="Tahoma"/>
                <w:szCs w:val="24"/>
              </w:rPr>
              <w:t xml:space="preserve"> banka</w:t>
            </w:r>
          </w:p>
          <w:p w:rsidR="009F14C4" w:rsidRPr="005F739C" w:rsidRDefault="005F739C" w:rsidP="0012677B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="0012677B">
              <w:rPr>
                <w:rFonts w:ascii="Tahoma" w:hAnsi="Tahoma" w:cs="Tahoma"/>
                <w:b/>
                <w:szCs w:val="24"/>
              </w:rPr>
              <w:t>2301814613</w:t>
            </w:r>
            <w:r w:rsidRPr="005F739C">
              <w:rPr>
                <w:rFonts w:ascii="Tahoma" w:hAnsi="Tahoma" w:cs="Tahoma"/>
                <w:b/>
                <w:szCs w:val="24"/>
              </w:rPr>
              <w:t>/</w:t>
            </w:r>
            <w:r w:rsidR="0012677B">
              <w:rPr>
                <w:rFonts w:ascii="Tahoma" w:hAnsi="Tahoma" w:cs="Tahoma"/>
                <w:b/>
                <w:szCs w:val="24"/>
              </w:rPr>
              <w:t>2010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12677B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Školní multilicence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12677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385903">
              <w:rPr>
                <w:rFonts w:ascii="Arial" w:hAnsi="Arial" w:cs="Arial"/>
                <w:b/>
                <w:bCs/>
              </w:rPr>
              <w:t>2</w:t>
            </w:r>
            <w:r w:rsidR="0012677B">
              <w:rPr>
                <w:rFonts w:ascii="Arial" w:hAnsi="Arial" w:cs="Arial"/>
                <w:b/>
                <w:bCs/>
              </w:rPr>
              <w:t>9</w:t>
            </w:r>
            <w:r w:rsidR="007E5DB6">
              <w:rPr>
                <w:rFonts w:ascii="Arial" w:hAnsi="Arial" w:cs="Arial"/>
                <w:b/>
                <w:bCs/>
              </w:rPr>
              <w:t xml:space="preserve">. </w:t>
            </w:r>
            <w:r w:rsidR="0012677B">
              <w:rPr>
                <w:rFonts w:ascii="Arial" w:hAnsi="Arial" w:cs="Arial"/>
                <w:b/>
                <w:bCs/>
              </w:rPr>
              <w:t>9</w:t>
            </w:r>
            <w:r w:rsidR="007E5DB6">
              <w:rPr>
                <w:rFonts w:ascii="Arial" w:hAnsi="Arial" w:cs="Arial"/>
                <w:b/>
                <w:bCs/>
              </w:rPr>
              <w:t>. 20</w:t>
            </w:r>
            <w:r w:rsidR="0012677B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12677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</w:t>
            </w:r>
            <w:r w:rsidR="0012677B">
              <w:rPr>
                <w:rFonts w:ascii="Arial" w:hAnsi="Arial" w:cs="Arial"/>
                <w:b/>
                <w:bCs/>
              </w:rPr>
              <w:t>30.9</w:t>
            </w:r>
            <w:r w:rsidR="00385903">
              <w:rPr>
                <w:rFonts w:ascii="Arial" w:hAnsi="Arial" w:cs="Arial"/>
                <w:b/>
                <w:bCs/>
              </w:rPr>
              <w:t xml:space="preserve">.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12677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12677B">
              <w:rPr>
                <w:rFonts w:ascii="Arial" w:hAnsi="Arial" w:cs="Arial"/>
                <w:b/>
              </w:rPr>
              <w:t>20. 9. 2022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126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 </w:t>
            </w:r>
            <w:r w:rsidR="0012677B">
              <w:rPr>
                <w:rFonts w:ascii="Arial" w:hAnsi="Arial" w:cs="Arial"/>
              </w:rPr>
              <w:t>20. 9. 2022</w:t>
            </w:r>
            <w:bookmarkStart w:id="0" w:name="_GoBack"/>
            <w:bookmarkEnd w:id="0"/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2677B"/>
    <w:rsid w:val="0016616E"/>
    <w:rsid w:val="001862B8"/>
    <w:rsid w:val="001A59FD"/>
    <w:rsid w:val="00325B94"/>
    <w:rsid w:val="00385903"/>
    <w:rsid w:val="004B7D1B"/>
    <w:rsid w:val="005F739C"/>
    <w:rsid w:val="006F59C9"/>
    <w:rsid w:val="007E5DB6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8386D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4ABA3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F495-75E7-4448-91F7-733DF3F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.dot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2</cp:revision>
  <cp:lastPrinted>2008-09-12T10:57:00Z</cp:lastPrinted>
  <dcterms:created xsi:type="dcterms:W3CDTF">2022-11-04T12:02:00Z</dcterms:created>
  <dcterms:modified xsi:type="dcterms:W3CDTF">2022-11-04T12:02:00Z</dcterms:modified>
</cp:coreProperties>
</file>