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CC7C" w14:textId="4648E92F" w:rsidR="00DD3A61" w:rsidRPr="00B562F9" w:rsidRDefault="000728AE" w:rsidP="00B562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>Veřejnoprávní smlouva o poskytnutí účelové dotace</w:t>
      </w:r>
    </w:p>
    <w:p w14:paraId="2905FCDD" w14:textId="4376A0BA" w:rsidR="00A40077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7A02ACAE" w:rsidR="002B14EB" w:rsidRDefault="00412DAC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>
        <w:rPr>
          <w:rFonts w:ascii="Times New Roman" w:hAnsi="Times New Roman"/>
          <w:bCs/>
          <w:sz w:val="22"/>
          <w:szCs w:val="22"/>
        </w:rPr>
        <w:t>astoupeno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412DAC">
        <w:rPr>
          <w:rFonts w:ascii="Times New Roman" w:hAnsi="Times New Roman"/>
          <w:bCs/>
          <w:sz w:val="22"/>
          <w:szCs w:val="22"/>
        </w:rPr>
        <w:t>náměstkem primátora Mgr. Janem Dohnalem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732C56" w:rsidRPr="00732C56">
        <w:rPr>
          <w:rFonts w:ascii="Times New Roman" w:hAnsi="Times New Roman"/>
          <w:bCs/>
          <w:sz w:val="22"/>
          <w:szCs w:val="22"/>
        </w:rPr>
        <w:t>na základě plné moci</w:t>
      </w:r>
      <w:r w:rsidR="002B14EB"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4193E869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8206FF">
        <w:rPr>
          <w:rFonts w:ascii="Times New Roman" w:hAnsi="Times New Roman"/>
          <w:sz w:val="22"/>
          <w:szCs w:val="22"/>
        </w:rPr>
        <w:t>53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680D0CEF" w14:textId="77777777" w:rsidR="008206FF" w:rsidRDefault="008206FF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8206FF">
        <w:rPr>
          <w:rFonts w:ascii="Times New Roman" w:hAnsi="Times New Roman"/>
          <w:b/>
          <w:bCs/>
          <w:sz w:val="22"/>
          <w:szCs w:val="22"/>
        </w:rPr>
        <w:t xml:space="preserve">SK Vítkovice 1926 - </w:t>
      </w:r>
      <w:proofErr w:type="spellStart"/>
      <w:r w:rsidRPr="008206FF">
        <w:rPr>
          <w:rFonts w:ascii="Times New Roman" w:hAnsi="Times New Roman"/>
          <w:b/>
          <w:bCs/>
          <w:sz w:val="22"/>
          <w:szCs w:val="22"/>
        </w:rPr>
        <w:t>Ridera</w:t>
      </w:r>
      <w:proofErr w:type="spellEnd"/>
      <w:r w:rsidRPr="008206FF">
        <w:rPr>
          <w:rFonts w:ascii="Times New Roman" w:hAnsi="Times New Roman"/>
          <w:b/>
          <w:bCs/>
          <w:sz w:val="22"/>
          <w:szCs w:val="22"/>
        </w:rPr>
        <w:t>, z.s.</w:t>
      </w:r>
    </w:p>
    <w:p w14:paraId="17D096FF" w14:textId="15B60D5B" w:rsidR="008206FF" w:rsidRDefault="008206FF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8206FF">
        <w:rPr>
          <w:rFonts w:ascii="Times New Roman" w:hAnsi="Times New Roman"/>
          <w:sz w:val="22"/>
          <w:szCs w:val="22"/>
        </w:rPr>
        <w:t>Z</w:t>
      </w:r>
      <w:r w:rsidR="00B833F9">
        <w:rPr>
          <w:rFonts w:ascii="Times New Roman" w:hAnsi="Times New Roman"/>
          <w:sz w:val="22"/>
          <w:szCs w:val="22"/>
        </w:rPr>
        <w:t>á</w:t>
      </w:r>
      <w:r w:rsidRPr="008206FF">
        <w:rPr>
          <w:rFonts w:ascii="Times New Roman" w:hAnsi="Times New Roman"/>
          <w:sz w:val="22"/>
          <w:szCs w:val="22"/>
        </w:rPr>
        <w:t xml:space="preserve">vodní 2885/86, 703 00 Ostrava - Vítkovice </w:t>
      </w:r>
    </w:p>
    <w:p w14:paraId="58C3BCA9" w14:textId="0FE666C3" w:rsidR="00EB7C2F" w:rsidRPr="000A4F5A" w:rsidRDefault="000A4F5A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  <w:r w:rsidRPr="0052255C">
        <w:rPr>
          <w:rFonts w:ascii="Times New Roman" w:hAnsi="Times New Roman"/>
          <w:sz w:val="22"/>
          <w:szCs w:val="22"/>
        </w:rPr>
        <w:t>z</w:t>
      </w:r>
      <w:r w:rsidR="002B14EB" w:rsidRPr="0052255C">
        <w:rPr>
          <w:rFonts w:ascii="Times New Roman" w:hAnsi="Times New Roman"/>
          <w:sz w:val="22"/>
          <w:szCs w:val="22"/>
        </w:rPr>
        <w:t xml:space="preserve">astoupen </w:t>
      </w:r>
      <w:r w:rsidR="0007068D">
        <w:rPr>
          <w:rFonts w:ascii="Times New Roman" w:hAnsi="Times New Roman"/>
          <w:sz w:val="22"/>
          <w:szCs w:val="22"/>
        </w:rPr>
        <w:t xml:space="preserve">předsedou představenstva Ing. Romanem </w:t>
      </w:r>
      <w:proofErr w:type="spellStart"/>
      <w:r w:rsidR="0007068D">
        <w:rPr>
          <w:rFonts w:ascii="Times New Roman" w:hAnsi="Times New Roman"/>
          <w:sz w:val="22"/>
          <w:szCs w:val="22"/>
        </w:rPr>
        <w:t>Vankem</w:t>
      </w:r>
      <w:proofErr w:type="spellEnd"/>
      <w:r w:rsidR="0007068D">
        <w:rPr>
          <w:rFonts w:ascii="Times New Roman" w:hAnsi="Times New Roman"/>
          <w:sz w:val="22"/>
          <w:szCs w:val="22"/>
        </w:rPr>
        <w:t xml:space="preserve"> a členem představenstva Pavlem Klimkem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6B0449D4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8206FF" w:rsidRPr="008206FF">
        <w:rPr>
          <w:rFonts w:ascii="Times New Roman" w:hAnsi="Times New Roman"/>
          <w:sz w:val="22"/>
          <w:szCs w:val="22"/>
        </w:rPr>
        <w:t>01826531</w:t>
      </w:r>
    </w:p>
    <w:p w14:paraId="497AAA3F" w14:textId="590B3A70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8206FF" w:rsidRPr="008206FF">
        <w:rPr>
          <w:rFonts w:ascii="Times New Roman" w:hAnsi="Times New Roman"/>
          <w:sz w:val="22"/>
          <w:szCs w:val="22"/>
        </w:rPr>
        <w:t>01826531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C0DBB" w:rsidRPr="008A2B76">
        <w:rPr>
          <w:rFonts w:ascii="Times New Roman" w:hAnsi="Times New Roman"/>
          <w:sz w:val="22"/>
          <w:szCs w:val="22"/>
        </w:rPr>
        <w:t>ne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63300CEA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proofErr w:type="spellStart"/>
      <w:r w:rsidR="006018A7">
        <w:rPr>
          <w:rFonts w:ascii="Times New Roman" w:hAnsi="Times New Roman"/>
          <w:sz w:val="22"/>
          <w:szCs w:val="22"/>
        </w:rPr>
        <w:t>xxxxxxxxxxxxxxxxxxxxx</w:t>
      </w:r>
      <w:proofErr w:type="spellEnd"/>
      <w:r w:rsidR="00EB7C2F" w:rsidRPr="008A2B76">
        <w:rPr>
          <w:rFonts w:cs="Arial"/>
        </w:rPr>
        <w:tab/>
      </w:r>
    </w:p>
    <w:p w14:paraId="6B3DCAED" w14:textId="55A8FAEB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6018A7">
        <w:rPr>
          <w:rFonts w:ascii="Times New Roman" w:hAnsi="Times New Roman"/>
          <w:sz w:val="22"/>
          <w:szCs w:val="22"/>
        </w:rPr>
        <w:t>xxxxxxxxxxxxxxxxxxxxxx</w:t>
      </w:r>
      <w:proofErr w:type="spellEnd"/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5DB890B2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0E254D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4A179DF1" w14:textId="11F8E0EB" w:rsidR="00FF58A1" w:rsidRPr="00B562F9" w:rsidRDefault="0089632D" w:rsidP="006A080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lastRenderedPageBreak/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18E8B9FB" w14:textId="61400785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5F66FE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Default="00485467" w:rsidP="000E254D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3BBDB0D6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8206FF" w:rsidRPr="008206FF">
        <w:rPr>
          <w:rFonts w:ascii="Times New Roman" w:hAnsi="Times New Roman"/>
          <w:b/>
          <w:bCs/>
          <w:sz w:val="22"/>
          <w:szCs w:val="22"/>
        </w:rPr>
        <w:t>Sportovní aktivity pro školy a školky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0E254D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78BEA4DB" w14:textId="77777777" w:rsidR="008206FF" w:rsidRPr="008206FF" w:rsidRDefault="008206FF" w:rsidP="008206FF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206FF">
        <w:rPr>
          <w:rFonts w:ascii="Times New Roman" w:hAnsi="Times New Roman"/>
          <w:bCs/>
          <w:iCs/>
          <w:sz w:val="22"/>
          <w:szCs w:val="22"/>
        </w:rPr>
        <w:t xml:space="preserve">technické zajištění realizace projektu - </w:t>
      </w:r>
      <w:r w:rsidRPr="00495967">
        <w:rPr>
          <w:rFonts w:ascii="Times New Roman" w:hAnsi="Times New Roman"/>
          <w:b/>
          <w:iCs/>
          <w:sz w:val="22"/>
          <w:szCs w:val="22"/>
        </w:rPr>
        <w:t>tenisové sítě na kurty;</w:t>
      </w:r>
    </w:p>
    <w:p w14:paraId="44C756B3" w14:textId="77777777" w:rsidR="008206FF" w:rsidRPr="008206FF" w:rsidRDefault="008206FF" w:rsidP="008206FF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206FF">
        <w:rPr>
          <w:rFonts w:ascii="Times New Roman" w:hAnsi="Times New Roman"/>
          <w:bCs/>
          <w:iCs/>
          <w:sz w:val="22"/>
          <w:szCs w:val="22"/>
        </w:rPr>
        <w:t>nájem a podnájem sportoviště včetně služeb s nájmem a podnájmem spojených;</w:t>
      </w:r>
    </w:p>
    <w:p w14:paraId="2E55F5A8" w14:textId="77777777" w:rsidR="008206FF" w:rsidRPr="008206FF" w:rsidRDefault="008206FF" w:rsidP="008206FF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206FF">
        <w:rPr>
          <w:rFonts w:ascii="Times New Roman" w:hAnsi="Times New Roman"/>
          <w:bCs/>
          <w:iCs/>
          <w:sz w:val="22"/>
          <w:szCs w:val="22"/>
        </w:rPr>
        <w:t xml:space="preserve">odměny z dohod o pracích konaných mimo pracovní poměr včetně zákonných odvodů maximální sazba do 300 Kč za hodinu + zákonné odvody, maximálně však do výše 40 tis. Kč na osobu a měsíc </w:t>
      </w:r>
      <w:r w:rsidRPr="008206FF">
        <w:rPr>
          <w:rFonts w:ascii="Times New Roman" w:hAnsi="Times New Roman"/>
          <w:b/>
          <w:iCs/>
          <w:sz w:val="22"/>
          <w:szCs w:val="22"/>
        </w:rPr>
        <w:t>- trenéři, instruktor;</w:t>
      </w:r>
    </w:p>
    <w:p w14:paraId="32BE05B3" w14:textId="77777777" w:rsidR="008206FF" w:rsidRPr="008206FF" w:rsidRDefault="008206FF" w:rsidP="008206FF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206FF">
        <w:rPr>
          <w:rFonts w:ascii="Times New Roman" w:hAnsi="Times New Roman"/>
          <w:bCs/>
          <w:iCs/>
          <w:sz w:val="22"/>
          <w:szCs w:val="22"/>
        </w:rPr>
        <w:t>doprava prokazatelně spojená s realizací projektu;</w:t>
      </w:r>
    </w:p>
    <w:p w14:paraId="60DE10F5" w14:textId="353F5F23" w:rsidR="00154F18" w:rsidRPr="008206FF" w:rsidRDefault="008206FF" w:rsidP="008206FF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8206FF">
        <w:rPr>
          <w:rFonts w:ascii="Times New Roman" w:hAnsi="Times New Roman"/>
          <w:bCs/>
          <w:iCs/>
          <w:sz w:val="22"/>
          <w:szCs w:val="22"/>
        </w:rPr>
        <w:t>sportovní materiál a vybavení včetně možného potisku, věcné ceny do maximální výše 1 000 Kč na osobu.</w:t>
      </w:r>
    </w:p>
    <w:p w14:paraId="25FC8C1D" w14:textId="77777777" w:rsidR="004E2B6B" w:rsidRPr="00154F18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6497F01A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33E2FECC" w14:textId="77777777" w:rsidR="004E2B6B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3EDF464A" w:rsidR="00DC4AB3" w:rsidRP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 </w:t>
      </w:r>
      <w:r w:rsidRPr="0007068D">
        <w:rPr>
          <w:rFonts w:ascii="Times New Roman" w:hAnsi="Times New Roman"/>
          <w:sz w:val="22"/>
          <w:szCs w:val="22"/>
        </w:rPr>
        <w:t>době od</w:t>
      </w:r>
      <w:r w:rsidR="00372919" w:rsidRPr="0007068D">
        <w:rPr>
          <w:rFonts w:ascii="Times New Roman" w:hAnsi="Times New Roman"/>
          <w:sz w:val="22"/>
          <w:szCs w:val="22"/>
        </w:rPr>
        <w:t xml:space="preserve"> </w:t>
      </w:r>
      <w:r w:rsidR="00EC0316" w:rsidRPr="0007068D">
        <w:rPr>
          <w:rFonts w:ascii="Times New Roman" w:hAnsi="Times New Roman"/>
          <w:b/>
          <w:bCs/>
          <w:sz w:val="22"/>
          <w:szCs w:val="22"/>
        </w:rPr>
        <w:t>1.</w:t>
      </w:r>
      <w:r w:rsidR="0007068D" w:rsidRPr="0007068D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07068D">
        <w:rPr>
          <w:rFonts w:ascii="Times New Roman" w:hAnsi="Times New Roman"/>
          <w:b/>
          <w:bCs/>
          <w:sz w:val="22"/>
          <w:szCs w:val="22"/>
        </w:rPr>
        <w:t>.2022</w:t>
      </w:r>
      <w:r w:rsidRPr="0007068D">
        <w:rPr>
          <w:rFonts w:ascii="Times New Roman" w:hAnsi="Times New Roman"/>
          <w:sz w:val="22"/>
          <w:szCs w:val="22"/>
        </w:rPr>
        <w:t xml:space="preserve"> do</w:t>
      </w:r>
      <w:r w:rsidR="00372919" w:rsidRPr="0007068D">
        <w:rPr>
          <w:rFonts w:ascii="Times New Roman" w:hAnsi="Times New Roman"/>
          <w:sz w:val="22"/>
          <w:szCs w:val="22"/>
        </w:rPr>
        <w:t xml:space="preserve"> </w:t>
      </w:r>
      <w:r w:rsidR="0007068D" w:rsidRPr="0007068D">
        <w:rPr>
          <w:rFonts w:ascii="Times New Roman" w:hAnsi="Times New Roman"/>
          <w:b/>
          <w:bCs/>
          <w:sz w:val="22"/>
          <w:szCs w:val="22"/>
        </w:rPr>
        <w:t>15</w:t>
      </w:r>
      <w:r w:rsidR="000572EA" w:rsidRPr="0007068D">
        <w:rPr>
          <w:rFonts w:ascii="Times New Roman" w:hAnsi="Times New Roman"/>
          <w:b/>
          <w:bCs/>
          <w:sz w:val="22"/>
          <w:szCs w:val="22"/>
        </w:rPr>
        <w:t>.1</w:t>
      </w:r>
      <w:r w:rsidR="00B833F9">
        <w:rPr>
          <w:rFonts w:ascii="Times New Roman" w:hAnsi="Times New Roman"/>
          <w:b/>
          <w:bCs/>
          <w:sz w:val="22"/>
          <w:szCs w:val="22"/>
        </w:rPr>
        <w:t>2</w:t>
      </w:r>
      <w:r w:rsidR="000572EA" w:rsidRPr="0007068D">
        <w:rPr>
          <w:rFonts w:ascii="Times New Roman" w:hAnsi="Times New Roman"/>
          <w:b/>
          <w:bCs/>
          <w:sz w:val="22"/>
          <w:szCs w:val="22"/>
        </w:rPr>
        <w:t>.2022.</w:t>
      </w:r>
    </w:p>
    <w:p w14:paraId="27934871" w14:textId="77777777" w:rsidR="0034440D" w:rsidRDefault="0034440D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622D8BF4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2A428A">
        <w:rPr>
          <w:rFonts w:ascii="Times New Roman" w:hAnsi="Times New Roman"/>
          <w:sz w:val="22"/>
          <w:szCs w:val="22"/>
        </w:rPr>
        <w:t xml:space="preserve">celkové </w:t>
      </w:r>
      <w:r w:rsidR="00795E5C" w:rsidRPr="008206FF">
        <w:rPr>
          <w:rFonts w:ascii="Times New Roman" w:hAnsi="Times New Roman"/>
          <w:sz w:val="22"/>
          <w:szCs w:val="22"/>
        </w:rPr>
        <w:t xml:space="preserve">výši </w:t>
      </w:r>
      <w:r w:rsidR="008206FF" w:rsidRPr="008206FF">
        <w:rPr>
          <w:rFonts w:ascii="Times New Roman" w:hAnsi="Times New Roman"/>
          <w:b/>
          <w:sz w:val="22"/>
          <w:szCs w:val="22"/>
        </w:rPr>
        <w:t>6</w:t>
      </w:r>
      <w:r w:rsidR="006C5262" w:rsidRPr="008206FF">
        <w:rPr>
          <w:rFonts w:ascii="Times New Roman" w:hAnsi="Times New Roman"/>
          <w:b/>
          <w:sz w:val="22"/>
          <w:szCs w:val="22"/>
        </w:rPr>
        <w:t>0</w:t>
      </w:r>
      <w:r w:rsidR="006460C1" w:rsidRPr="008206FF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8206FF">
        <w:rPr>
          <w:rFonts w:ascii="Times New Roman" w:hAnsi="Times New Roman"/>
          <w:b/>
          <w:sz w:val="22"/>
          <w:szCs w:val="22"/>
        </w:rPr>
        <w:t>,-</w:t>
      </w:r>
      <w:r w:rsidR="00C65402" w:rsidRPr="008206FF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8206FF">
        <w:rPr>
          <w:rFonts w:ascii="Times New Roman" w:hAnsi="Times New Roman"/>
          <w:b/>
          <w:sz w:val="22"/>
          <w:szCs w:val="22"/>
        </w:rPr>
        <w:t>Kč</w:t>
      </w:r>
      <w:r w:rsidR="00795E5C" w:rsidRPr="008206FF">
        <w:rPr>
          <w:rFonts w:ascii="Times New Roman" w:hAnsi="Times New Roman"/>
          <w:sz w:val="22"/>
          <w:szCs w:val="22"/>
        </w:rPr>
        <w:t xml:space="preserve"> </w:t>
      </w:r>
      <w:r w:rsidR="00E44814" w:rsidRPr="008206FF">
        <w:rPr>
          <w:rFonts w:ascii="Times New Roman" w:hAnsi="Times New Roman"/>
          <w:sz w:val="22"/>
          <w:szCs w:val="22"/>
        </w:rPr>
        <w:t>(</w:t>
      </w:r>
      <w:r w:rsidR="00795E5C" w:rsidRPr="008206FF">
        <w:rPr>
          <w:rFonts w:ascii="Times New Roman" w:hAnsi="Times New Roman"/>
          <w:sz w:val="22"/>
          <w:szCs w:val="22"/>
        </w:rPr>
        <w:t>slovy</w:t>
      </w:r>
      <w:r w:rsidR="00E44814" w:rsidRPr="008206FF">
        <w:rPr>
          <w:rFonts w:ascii="Times New Roman" w:hAnsi="Times New Roman"/>
          <w:sz w:val="22"/>
          <w:szCs w:val="22"/>
        </w:rPr>
        <w:t>:</w:t>
      </w:r>
      <w:r w:rsidR="00795E5C" w:rsidRPr="008206F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06FF" w:rsidRPr="008206FF">
        <w:rPr>
          <w:rFonts w:ascii="Times New Roman" w:hAnsi="Times New Roman"/>
          <w:sz w:val="22"/>
          <w:szCs w:val="22"/>
        </w:rPr>
        <w:t>šedesát</w:t>
      </w:r>
      <w:r w:rsidR="006C5262" w:rsidRPr="008206FF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8206FF">
        <w:rPr>
          <w:rFonts w:ascii="Times New Roman" w:hAnsi="Times New Roman"/>
          <w:sz w:val="22"/>
          <w:szCs w:val="22"/>
        </w:rPr>
        <w:t xml:space="preserve"> </w:t>
      </w:r>
      <w:r w:rsidR="00795E5C" w:rsidRPr="008206FF">
        <w:rPr>
          <w:rFonts w:ascii="Times New Roman" w:hAnsi="Times New Roman"/>
          <w:sz w:val="22"/>
          <w:szCs w:val="22"/>
        </w:rPr>
        <w:t>korun če</w:t>
      </w:r>
      <w:r w:rsidRPr="008206FF">
        <w:rPr>
          <w:rFonts w:ascii="Times New Roman" w:hAnsi="Times New Roman"/>
          <w:sz w:val="22"/>
          <w:szCs w:val="22"/>
        </w:rPr>
        <w:t>ských</w:t>
      </w:r>
      <w:r w:rsidR="00E44814" w:rsidRPr="008206FF">
        <w:rPr>
          <w:rFonts w:ascii="Times New Roman" w:hAnsi="Times New Roman"/>
          <w:sz w:val="22"/>
          <w:szCs w:val="22"/>
        </w:rPr>
        <w:t>)</w:t>
      </w:r>
      <w:r w:rsidRPr="008206FF">
        <w:rPr>
          <w:rFonts w:ascii="Times New Roman" w:hAnsi="Times New Roman"/>
          <w:sz w:val="22"/>
          <w:szCs w:val="22"/>
        </w:rPr>
        <w:t>.</w:t>
      </w:r>
      <w:r w:rsidRPr="00D85D62">
        <w:rPr>
          <w:rFonts w:ascii="Times New Roman" w:hAnsi="Times New Roman"/>
          <w:sz w:val="22"/>
          <w:szCs w:val="22"/>
        </w:rPr>
        <w:t xml:space="preserve">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70A737A8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7068D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07068D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07068D">
        <w:rPr>
          <w:rFonts w:ascii="Times New Roman" w:hAnsi="Times New Roman"/>
          <w:b/>
          <w:sz w:val="22"/>
          <w:szCs w:val="22"/>
        </w:rPr>
        <w:t>1.</w:t>
      </w:r>
      <w:r w:rsidR="0007068D" w:rsidRPr="0007068D">
        <w:rPr>
          <w:rFonts w:ascii="Times New Roman" w:hAnsi="Times New Roman"/>
          <w:b/>
          <w:sz w:val="22"/>
          <w:szCs w:val="22"/>
        </w:rPr>
        <w:t>9</w:t>
      </w:r>
      <w:r w:rsidR="00EC0316" w:rsidRPr="0007068D">
        <w:rPr>
          <w:rFonts w:ascii="Times New Roman" w:hAnsi="Times New Roman"/>
          <w:b/>
          <w:sz w:val="22"/>
          <w:szCs w:val="22"/>
        </w:rPr>
        <w:t>.2022</w:t>
      </w:r>
      <w:r w:rsidRPr="0007068D">
        <w:rPr>
          <w:rFonts w:ascii="Times New Roman" w:hAnsi="Times New Roman"/>
          <w:b/>
          <w:sz w:val="22"/>
          <w:szCs w:val="22"/>
        </w:rPr>
        <w:t xml:space="preserve"> do </w:t>
      </w:r>
      <w:r w:rsidR="0007068D" w:rsidRPr="0007068D">
        <w:rPr>
          <w:rFonts w:ascii="Times New Roman" w:hAnsi="Times New Roman"/>
          <w:b/>
          <w:sz w:val="22"/>
          <w:szCs w:val="22"/>
        </w:rPr>
        <w:t>15</w:t>
      </w:r>
      <w:r w:rsidR="003D03DB" w:rsidRPr="0007068D">
        <w:rPr>
          <w:rFonts w:ascii="Times New Roman" w:hAnsi="Times New Roman"/>
          <w:b/>
          <w:sz w:val="22"/>
          <w:szCs w:val="22"/>
        </w:rPr>
        <w:t>.1</w:t>
      </w:r>
      <w:r w:rsidR="00B833F9">
        <w:rPr>
          <w:rFonts w:ascii="Times New Roman" w:hAnsi="Times New Roman"/>
          <w:b/>
          <w:sz w:val="22"/>
          <w:szCs w:val="22"/>
        </w:rPr>
        <w:t>2</w:t>
      </w:r>
      <w:r w:rsidR="003D03DB" w:rsidRPr="0007068D">
        <w:rPr>
          <w:rFonts w:ascii="Times New Roman" w:hAnsi="Times New Roman"/>
          <w:b/>
          <w:sz w:val="22"/>
          <w:szCs w:val="22"/>
        </w:rPr>
        <w:t>.2022</w:t>
      </w:r>
      <w:r w:rsidR="00CD1D08" w:rsidRPr="0007068D">
        <w:rPr>
          <w:rFonts w:ascii="Times New Roman" w:hAnsi="Times New Roman"/>
          <w:sz w:val="22"/>
          <w:szCs w:val="22"/>
        </w:rPr>
        <w:t xml:space="preserve"> a </w:t>
      </w:r>
      <w:r w:rsidR="00C67CDD" w:rsidRPr="0007068D">
        <w:rPr>
          <w:rFonts w:ascii="Times New Roman" w:hAnsi="Times New Roman"/>
          <w:sz w:val="22"/>
          <w:szCs w:val="22"/>
        </w:rPr>
        <w:t>za účelem</w:t>
      </w:r>
      <w:r w:rsidR="00C67CDD" w:rsidRPr="002D450E">
        <w:rPr>
          <w:rFonts w:ascii="Times New Roman" w:hAnsi="Times New Roman"/>
          <w:sz w:val="22"/>
          <w:szCs w:val="22"/>
        </w:rPr>
        <w:t xml:space="preserve">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505CD5C4" w:rsidR="00F91B77" w:rsidRPr="000E254D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07068D">
        <w:rPr>
          <w:rFonts w:ascii="Times New Roman" w:hAnsi="Times New Roman"/>
          <w:sz w:val="22"/>
          <w:szCs w:val="22"/>
        </w:rPr>
        <w:t xml:space="preserve">hrazeny od </w:t>
      </w:r>
      <w:r w:rsidR="00EC0316" w:rsidRPr="0007068D">
        <w:rPr>
          <w:rFonts w:ascii="Times New Roman" w:hAnsi="Times New Roman"/>
          <w:b/>
          <w:bCs/>
          <w:sz w:val="22"/>
          <w:szCs w:val="22"/>
        </w:rPr>
        <w:t>1.</w:t>
      </w:r>
      <w:r w:rsidR="0007068D" w:rsidRPr="0007068D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07068D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2F8F734B" w:rsidR="00F91B77" w:rsidRPr="00B146F9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13A74963" w14:textId="123BB6F5" w:rsidR="00B146F9" w:rsidRDefault="009A6CDB" w:rsidP="00B562F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06D51F21" w14:textId="77777777" w:rsidR="005247BA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065AA26" w14:textId="13D94BC0" w:rsidR="00B146F9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650A313A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lastRenderedPageBreak/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12C3B4C2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 xml:space="preserve">Předložit poskytovateli </w:t>
      </w:r>
      <w:r w:rsidRPr="0007068D">
        <w:rPr>
          <w:rFonts w:ascii="Times New Roman" w:hAnsi="Times New Roman"/>
          <w:sz w:val="22"/>
          <w:szCs w:val="22"/>
        </w:rPr>
        <w:t xml:space="preserve">nejpozději </w:t>
      </w:r>
      <w:r w:rsidRPr="0007068D">
        <w:rPr>
          <w:rFonts w:ascii="Times New Roman" w:hAnsi="Times New Roman"/>
          <w:b/>
          <w:sz w:val="22"/>
          <w:szCs w:val="22"/>
        </w:rPr>
        <w:t xml:space="preserve">do </w:t>
      </w:r>
      <w:r w:rsidR="0007068D" w:rsidRPr="0007068D">
        <w:rPr>
          <w:rFonts w:ascii="Times New Roman" w:hAnsi="Times New Roman"/>
          <w:b/>
          <w:sz w:val="22"/>
          <w:szCs w:val="22"/>
        </w:rPr>
        <w:t>30</w:t>
      </w:r>
      <w:r w:rsidR="00110045" w:rsidRPr="0007068D">
        <w:rPr>
          <w:rFonts w:ascii="Times New Roman" w:hAnsi="Times New Roman"/>
          <w:b/>
          <w:sz w:val="22"/>
          <w:szCs w:val="22"/>
        </w:rPr>
        <w:t>.1</w:t>
      </w:r>
      <w:r w:rsidR="00B833F9">
        <w:rPr>
          <w:rFonts w:ascii="Times New Roman" w:hAnsi="Times New Roman"/>
          <w:b/>
          <w:sz w:val="22"/>
          <w:szCs w:val="22"/>
        </w:rPr>
        <w:t>2</w:t>
      </w:r>
      <w:r w:rsidR="00110045" w:rsidRPr="0007068D">
        <w:rPr>
          <w:rFonts w:ascii="Times New Roman" w:hAnsi="Times New Roman"/>
          <w:b/>
          <w:sz w:val="22"/>
          <w:szCs w:val="22"/>
        </w:rPr>
        <w:t>.2022</w:t>
      </w:r>
      <w:r w:rsidRPr="0007068D">
        <w:rPr>
          <w:rFonts w:ascii="Times New Roman" w:hAnsi="Times New Roman"/>
          <w:sz w:val="22"/>
          <w:szCs w:val="22"/>
        </w:rPr>
        <w:t xml:space="preserve"> </w:t>
      </w:r>
      <w:r w:rsidR="00550DBF" w:rsidRPr="0007068D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15F53D13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8206FF">
        <w:rPr>
          <w:rFonts w:ascii="Times New Roman" w:hAnsi="Times New Roman"/>
          <w:sz w:val="22"/>
          <w:szCs w:val="22"/>
        </w:rPr>
        <w:t xml:space="preserve">symbol </w:t>
      </w:r>
      <w:r w:rsidR="00FD4788" w:rsidRPr="008206FF">
        <w:rPr>
          <w:rFonts w:ascii="Times New Roman" w:hAnsi="Times New Roman"/>
          <w:sz w:val="22"/>
          <w:szCs w:val="22"/>
        </w:rPr>
        <w:t>17</w:t>
      </w:r>
      <w:r w:rsidR="008206FF" w:rsidRPr="008206FF">
        <w:rPr>
          <w:rFonts w:ascii="Times New Roman" w:hAnsi="Times New Roman"/>
          <w:sz w:val="22"/>
          <w:szCs w:val="22"/>
        </w:rPr>
        <w:t>53</w:t>
      </w:r>
      <w:r w:rsidR="00FD4788" w:rsidRPr="008206FF">
        <w:rPr>
          <w:rFonts w:ascii="Times New Roman" w:hAnsi="Times New Roman"/>
          <w:sz w:val="22"/>
          <w:szCs w:val="22"/>
        </w:rPr>
        <w:t>2022</w:t>
      </w:r>
      <w:r w:rsidRPr="008206FF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</w:t>
      </w:r>
      <w:r w:rsidRPr="008155E8">
        <w:rPr>
          <w:rFonts w:ascii="Times New Roman" w:hAnsi="Times New Roman"/>
          <w:sz w:val="22"/>
          <w:szCs w:val="22"/>
        </w:rPr>
        <w:lastRenderedPageBreak/>
        <w:t xml:space="preserve">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11145214" w14:textId="69634BD6" w:rsidR="007F4073" w:rsidRPr="000E254D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0E254D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2F73128" w14:textId="47F45CEF" w:rsidR="00C92D74" w:rsidRPr="000E254D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25AA57B" w14:textId="77777777" w:rsidR="002A1DA3" w:rsidRDefault="002A1DA3" w:rsidP="006A0802">
      <w:pPr>
        <w:pStyle w:val="JVS2"/>
        <w:jc w:val="both"/>
      </w:pPr>
    </w:p>
    <w:p w14:paraId="463AEAA8" w14:textId="325D5A36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0E254D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lastRenderedPageBreak/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8534B06" w14:textId="1FD06721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0E71FC1A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E11988" w14:textId="04FFBD19" w:rsidR="00795E5C" w:rsidRPr="002A1DA3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2A1DA3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A21E6CB" w14:textId="7777777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219FB564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10AD77D1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B46500">
        <w:rPr>
          <w:rFonts w:ascii="Times New Roman" w:hAnsi="Times New Roman"/>
          <w:sz w:val="22"/>
          <w:szCs w:val="22"/>
        </w:rPr>
        <w:t>usnesením</w:t>
      </w:r>
      <w:r w:rsidR="000E30B3" w:rsidRPr="00B46500">
        <w:rPr>
          <w:rFonts w:ascii="Times New Roman" w:hAnsi="Times New Roman"/>
          <w:sz w:val="22"/>
          <w:szCs w:val="22"/>
        </w:rPr>
        <w:t xml:space="preserve"> </w:t>
      </w:r>
      <w:r w:rsidR="006338B2" w:rsidRPr="00B46500">
        <w:rPr>
          <w:rFonts w:ascii="Times New Roman" w:hAnsi="Times New Roman"/>
          <w:sz w:val="22"/>
          <w:szCs w:val="22"/>
        </w:rPr>
        <w:t>č.</w:t>
      </w:r>
      <w:r w:rsidR="00FF58A1" w:rsidRPr="00B46500">
        <w:rPr>
          <w:rFonts w:ascii="Times New Roman" w:hAnsi="Times New Roman"/>
          <w:sz w:val="22"/>
          <w:szCs w:val="22"/>
        </w:rPr>
        <w:t xml:space="preserve"> </w:t>
      </w:r>
      <w:r w:rsidR="00B46500" w:rsidRPr="00B46500">
        <w:rPr>
          <w:rFonts w:ascii="Times New Roman" w:hAnsi="Times New Roman"/>
          <w:sz w:val="22"/>
          <w:szCs w:val="22"/>
        </w:rPr>
        <w:t xml:space="preserve">2123/ZM1822/35 </w:t>
      </w:r>
      <w:r w:rsidR="006338B2" w:rsidRPr="00B46500">
        <w:rPr>
          <w:rFonts w:ascii="Times New Roman" w:hAnsi="Times New Roman"/>
          <w:sz w:val="22"/>
          <w:szCs w:val="22"/>
        </w:rPr>
        <w:t>ze dne</w:t>
      </w:r>
      <w:r w:rsidR="006338B2" w:rsidRPr="004A50AA">
        <w:rPr>
          <w:rFonts w:ascii="Times New Roman" w:hAnsi="Times New Roman"/>
          <w:sz w:val="22"/>
          <w:szCs w:val="22"/>
        </w:rPr>
        <w:t xml:space="preserve"> </w:t>
      </w:r>
      <w:r w:rsidR="00AF5729">
        <w:rPr>
          <w:rFonts w:ascii="Times New Roman" w:hAnsi="Times New Roman"/>
          <w:sz w:val="22"/>
          <w:szCs w:val="22"/>
        </w:rPr>
        <w:t>22.06.2022.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0365941" w14:textId="77777777" w:rsidR="00B562F9" w:rsidRDefault="00B562F9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37AEA17" w14:textId="0BF8BB4E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3246199B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</w:t>
      </w:r>
      <w:r w:rsidR="00412DAC">
        <w:rPr>
          <w:rFonts w:ascii="Times New Roman" w:hAnsi="Times New Roman"/>
          <w:b/>
          <w:sz w:val="22"/>
          <w:szCs w:val="22"/>
        </w:rPr>
        <w:t>Jan Dohnal</w:t>
      </w:r>
      <w:r w:rsidRPr="00696CD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 w:rsidR="0007068D" w:rsidRPr="0007068D">
        <w:rPr>
          <w:rFonts w:ascii="Times New Roman" w:hAnsi="Times New Roman"/>
          <w:b/>
          <w:bCs/>
          <w:sz w:val="22"/>
          <w:szCs w:val="22"/>
        </w:rPr>
        <w:t xml:space="preserve">Ing. Roman </w:t>
      </w:r>
      <w:proofErr w:type="spellStart"/>
      <w:r w:rsidR="0007068D" w:rsidRPr="0007068D">
        <w:rPr>
          <w:rFonts w:ascii="Times New Roman" w:hAnsi="Times New Roman"/>
          <w:b/>
          <w:bCs/>
          <w:sz w:val="22"/>
          <w:szCs w:val="22"/>
        </w:rPr>
        <w:t>Vank</w:t>
      </w:r>
      <w:proofErr w:type="spellEnd"/>
    </w:p>
    <w:p w14:paraId="6E8BBBCF" w14:textId="30D87D2B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náměst</w:t>
      </w:r>
      <w:r w:rsidR="00412DAC">
        <w:rPr>
          <w:rFonts w:ascii="Times New Roman" w:hAnsi="Times New Roman"/>
          <w:sz w:val="22"/>
          <w:szCs w:val="22"/>
        </w:rPr>
        <w:t>e</w:t>
      </w:r>
      <w:r w:rsidRPr="00696CD2">
        <w:rPr>
          <w:rFonts w:ascii="Times New Roman" w:hAnsi="Times New Roman"/>
          <w:sz w:val="22"/>
          <w:szCs w:val="22"/>
        </w:rPr>
        <w:t xml:space="preserve">k primátora </w:t>
      </w:r>
      <w:r>
        <w:rPr>
          <w:rFonts w:ascii="Times New Roman" w:hAnsi="Times New Roman"/>
          <w:sz w:val="22"/>
          <w:szCs w:val="22"/>
        </w:rPr>
        <w:tab/>
      </w:r>
      <w:r w:rsidR="007D5807" w:rsidRPr="0007068D">
        <w:rPr>
          <w:rFonts w:ascii="Times New Roman" w:hAnsi="Times New Roman"/>
          <w:bCs/>
          <w:sz w:val="22"/>
          <w:szCs w:val="22"/>
        </w:rPr>
        <w:t xml:space="preserve">předseda </w:t>
      </w:r>
      <w:r w:rsidR="0007068D" w:rsidRPr="0007068D">
        <w:rPr>
          <w:rFonts w:ascii="Times New Roman" w:hAnsi="Times New Roman"/>
          <w:bCs/>
          <w:sz w:val="22"/>
          <w:szCs w:val="22"/>
        </w:rPr>
        <w:t>představenstva</w:t>
      </w:r>
    </w:p>
    <w:p w14:paraId="3A655FCA" w14:textId="5E18AB10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367671E" w14:textId="60EBCFB9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18CE6B7" w14:textId="257BD3A6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1A7340A1" w14:textId="5283123D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5F9F61" w14:textId="34721153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170F62C3" w14:textId="444CA2DD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B10D1D3" w14:textId="468DCF4B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_______________________________</w:t>
      </w:r>
    </w:p>
    <w:p w14:paraId="49565792" w14:textId="106A6863" w:rsid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D336A77" w14:textId="49063863" w:rsidR="0007068D" w:rsidRPr="0007068D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7068D">
        <w:rPr>
          <w:rFonts w:ascii="Times New Roman" w:hAnsi="Times New Roman"/>
          <w:b/>
          <w:sz w:val="22"/>
          <w:szCs w:val="22"/>
        </w:rPr>
        <w:t>Pavel Klimek</w:t>
      </w:r>
    </w:p>
    <w:p w14:paraId="334001E1" w14:textId="0EAE0A34" w:rsidR="0007068D" w:rsidRPr="00E463CE" w:rsidRDefault="0007068D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člen představenstva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B562F9">
          <w:type w:val="continuous"/>
          <w:pgSz w:w="11906" w:h="16838" w:code="9"/>
          <w:pgMar w:top="1440" w:right="1080" w:bottom="1440" w:left="1080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813A" w14:textId="77777777" w:rsidR="00554E3B" w:rsidRDefault="00554E3B">
      <w:r>
        <w:separator/>
      </w:r>
    </w:p>
  </w:endnote>
  <w:endnote w:type="continuationSeparator" w:id="0">
    <w:p w14:paraId="19984687" w14:textId="77777777" w:rsidR="00554E3B" w:rsidRDefault="0055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3BF18559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8206FF" w:rsidRPr="008206FF">
      <w:rPr>
        <w:rStyle w:val="slostrnky"/>
        <w:rFonts w:cs="Arial"/>
        <w:b/>
        <w:iCs/>
        <w:color w:val="003C69"/>
        <w:sz w:val="18"/>
        <w:szCs w:val="22"/>
      </w:rPr>
      <w:t>Sportovní aktivity pro školy a školky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F2C1" w14:textId="77777777" w:rsidR="00554E3B" w:rsidRDefault="00554E3B">
      <w:r>
        <w:separator/>
      </w:r>
    </w:p>
  </w:footnote>
  <w:footnote w:type="continuationSeparator" w:id="0">
    <w:p w14:paraId="3A6EF585" w14:textId="77777777" w:rsidR="00554E3B" w:rsidRDefault="0055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11CA9187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8206FF">
      <w:rPr>
        <w:rFonts w:cs="Arial"/>
        <w:b/>
        <w:color w:val="00ADD0"/>
      </w:rPr>
      <w:t>53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182C"/>
    <w:multiLevelType w:val="hybridMultilevel"/>
    <w:tmpl w:val="0136E12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9"/>
  </w:num>
  <w:num w:numId="3" w16cid:durableId="2084834153">
    <w:abstractNumId w:val="3"/>
  </w:num>
  <w:num w:numId="4" w16cid:durableId="770392901">
    <w:abstractNumId w:val="10"/>
  </w:num>
  <w:num w:numId="5" w16cid:durableId="768546004">
    <w:abstractNumId w:val="7"/>
  </w:num>
  <w:num w:numId="6" w16cid:durableId="1284385003">
    <w:abstractNumId w:val="11"/>
  </w:num>
  <w:num w:numId="7" w16cid:durableId="671106170">
    <w:abstractNumId w:val="12"/>
  </w:num>
  <w:num w:numId="8" w16cid:durableId="294873808">
    <w:abstractNumId w:val="1"/>
  </w:num>
  <w:num w:numId="9" w16cid:durableId="591741078">
    <w:abstractNumId w:val="4"/>
  </w:num>
  <w:num w:numId="10" w16cid:durableId="1609779192">
    <w:abstractNumId w:val="2"/>
  </w:num>
  <w:num w:numId="11" w16cid:durableId="299531791">
    <w:abstractNumId w:val="5"/>
  </w:num>
  <w:num w:numId="12" w16cid:durableId="74783331">
    <w:abstractNumId w:val="8"/>
  </w:num>
  <w:num w:numId="13" w16cid:durableId="185395816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068D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D0655"/>
    <w:rsid w:val="000D7D89"/>
    <w:rsid w:val="000E0586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7EE2"/>
    <w:rsid w:val="001F0358"/>
    <w:rsid w:val="001F0787"/>
    <w:rsid w:val="001F6405"/>
    <w:rsid w:val="001F74DA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1DA3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B51C6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4D2D"/>
    <w:rsid w:val="003E6567"/>
    <w:rsid w:val="003F74C6"/>
    <w:rsid w:val="003F7BCB"/>
    <w:rsid w:val="00404866"/>
    <w:rsid w:val="004076A8"/>
    <w:rsid w:val="00407ECB"/>
    <w:rsid w:val="00412018"/>
    <w:rsid w:val="00412DAC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59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4E3B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A7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07988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580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6FF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6500"/>
    <w:rsid w:val="00B47EEC"/>
    <w:rsid w:val="00B50A7C"/>
    <w:rsid w:val="00B558BC"/>
    <w:rsid w:val="00B562F9"/>
    <w:rsid w:val="00B57D95"/>
    <w:rsid w:val="00B60617"/>
    <w:rsid w:val="00B64BAE"/>
    <w:rsid w:val="00B72519"/>
    <w:rsid w:val="00B775E2"/>
    <w:rsid w:val="00B8006B"/>
    <w:rsid w:val="00B81D27"/>
    <w:rsid w:val="00B833F9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22461"/>
    <w:rsid w:val="00C22E3F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7038"/>
    <w:rsid w:val="00CE7A96"/>
    <w:rsid w:val="00CF2D24"/>
    <w:rsid w:val="00CF3C6D"/>
    <w:rsid w:val="00CF401A"/>
    <w:rsid w:val="00CF4899"/>
    <w:rsid w:val="00CF5CD2"/>
    <w:rsid w:val="00CF67E3"/>
    <w:rsid w:val="00CF6E34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85D6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7E8D"/>
    <w:rsid w:val="00F211A7"/>
    <w:rsid w:val="00F22DDC"/>
    <w:rsid w:val="00F249C1"/>
    <w:rsid w:val="00F3047A"/>
    <w:rsid w:val="00F3088A"/>
    <w:rsid w:val="00F34D36"/>
    <w:rsid w:val="00F410B3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3196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65</cp:revision>
  <cp:lastPrinted>2022-05-13T07:44:00Z</cp:lastPrinted>
  <dcterms:created xsi:type="dcterms:W3CDTF">2022-05-26T08:27:00Z</dcterms:created>
  <dcterms:modified xsi:type="dcterms:W3CDTF">2022-11-14T08:24:00Z</dcterms:modified>
</cp:coreProperties>
</file>