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STATNI FOND DORA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500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INFRASTRUKTURY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5346" w:val="left"/>
          <w:tab w:pos="6589" w:val="left"/>
        </w:tabs>
        <w:bidi w:val="0"/>
        <w:spacing w:before="0" w:after="0" w:line="240" w:lineRule="auto"/>
        <w:ind w:left="488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  <w:tab/>
        <w:t>_</w:t>
        <w:tab/>
        <w:t>vr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k SMLOUVĚ</w:t>
      </w:r>
      <w:bookmarkEnd w:id="0"/>
      <w:bookmarkEnd w:id="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zajištění výkonu technického dozoru stavebníka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staveništi „ III/3923 Vaneč mosty ev. č. 3923-2,3923-3, 3923-4 “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Číslo smlouvy objednatele: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097/2022-KSÚSV</w:t>
      </w:r>
    </w:p>
    <w:tbl>
      <w:tblPr>
        <w:tblpPr w:leftFromText="10" w:rightFromText="0" w:topFromText="293" w:bottomFromText="0" w:horzAnchor="page" w:tblpX="1160" w:vertAnchor="text" w:tblpY="8453"/>
        <w:jc w:val="left"/>
        <w:tblLayout w:type="fixed"/>
      </w:tblPr>
      <w:tblGrid>
        <w:gridCol w:w="2035"/>
        <w:gridCol w:w="5621"/>
      </w:tblGrid>
      <w:tr>
        <w:trPr>
          <w:tblHeader/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11678534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CZ11678534 - nejsem plátce DPH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5181600</wp:posOffset>
                </wp:positionV>
                <wp:extent cx="521335" cy="18288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133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Č. účtu: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7.5pt;margin-top:408.pt;width:41.049999999999997pt;height:14.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Č. účtu: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74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</w:p>
    <w:tbl>
      <w:tblPr>
        <w:tblOverlap w:val="never"/>
        <w:jc w:val="left"/>
        <w:tblLayout w:type="fixed"/>
      </w:tblPr>
      <w:tblGrid>
        <w:gridCol w:w="1694"/>
        <w:gridCol w:w="6773"/>
      </w:tblGrid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strany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widowControl w:val="0"/>
        <w:spacing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Osoby pověřené jednat jménem objednatele ve věcech</w:t>
      </w:r>
    </w:p>
    <w:tbl>
      <w:tblPr>
        <w:tblOverlap w:val="never"/>
        <w:jc w:val="left"/>
        <w:tblLayout w:type="fixed"/>
      </w:tblPr>
      <w:tblGrid>
        <w:gridCol w:w="1694"/>
        <w:gridCol w:w="6768"/>
      </w:tblGrid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ředitel organizace</w:t>
            </w:r>
          </w:p>
        </w:tc>
      </w:tr>
    </w:tbl>
    <w:p>
      <w:pPr>
        <w:widowControl w:val="0"/>
        <w:spacing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technických:</w:t>
      </w:r>
    </w:p>
    <w:tbl>
      <w:tblPr>
        <w:tblOverlap w:val="never"/>
        <w:jc w:val="left"/>
        <w:tblLayout w:type="fixed"/>
      </w:tblPr>
      <w:tblGrid>
        <w:gridCol w:w="1694"/>
        <w:gridCol w:w="6768"/>
      </w:tblGrid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</w:tbl>
    <w:p>
      <w:pPr>
        <w:widowControl w:val="0"/>
        <w:spacing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tbl>
      <w:tblPr>
        <w:tblOverlap w:val="never"/>
        <w:jc w:val="left"/>
        <w:tblLayout w:type="fixed"/>
      </w:tblPr>
      <w:tblGrid>
        <w:gridCol w:w="1694"/>
        <w:gridCol w:w="6768"/>
      </w:tblGrid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widowControl w:val="0"/>
        <w:spacing w:after="3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035"/>
        <w:gridCol w:w="5621"/>
      </w:tblGrid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Stadora s.r.o.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Houškova 1166/8, Komín, 624 00 Brno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Martinem Račanským - jednatelem společnosti</w:t>
            </w: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035"/>
        <w:gridCol w:w="5621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56" w:h="350" w:hSpace="14" w:vSpace="1152" w:wrap="notBeside" w:vAnchor="text" w:hAnchor="text" w:x="15" w:y="11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56" w:h="350" w:hSpace="14" w:vSpace="1152" w:wrap="notBeside" w:vAnchor="text" w:hAnchor="text" w:x="15" w:y="11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Banka Creditas a.s., pobočka Brno</w:t>
            </w:r>
          </w:p>
        </w:tc>
      </w:tr>
    </w:tbl>
    <w:p>
      <w:pPr>
        <w:pStyle w:val="Style4"/>
        <w:keepNext w:val="0"/>
        <w:keepLines w:val="0"/>
        <w:framePr w:w="7699" w:h="1219" w:hSpace="2683" w:wrap="notBeside" w:vAnchor="text" w:hAnchor="text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 Krajského soudu v Brně, oddíl C vložka 124241 Osoby pověřené jednat jménem zhotovitele ve věcech</w:t>
      </w:r>
    </w:p>
    <w:p>
      <w:pPr>
        <w:pStyle w:val="Style4"/>
        <w:keepNext w:val="0"/>
        <w:keepLines w:val="0"/>
        <w:framePr w:w="7699" w:h="1219" w:hSpace="2683" w:wrap="notBeside" w:vAnchor="text" w:hAnchor="text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Smluvních:</w:t>
      </w:r>
    </w:p>
    <w:p>
      <w:pPr>
        <w:pStyle w:val="Style4"/>
        <w:keepNext w:val="0"/>
        <w:keepLines w:val="0"/>
        <w:framePr w:w="7699" w:h="1219" w:hSpace="2683" w:wrap="notBeside" w:vAnchor="text" w:hAnchor="text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Technických:</w:t>
      </w:r>
    </w:p>
    <w:p>
      <w:pPr>
        <w:widowControl w:val="0"/>
        <w:spacing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TDS“)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STATNI FOND DORA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INFRASTRUKTURY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tomto Dodatku č. 1 z důvodu nutnosti navýšení počtu návštěv TDS na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staveništi a počtu hodin strávených při kontrole dokumentace v kanceláři oproti předpokládanému rozsahu hodin dle Kalkulace odměny TDS uvedené v Příloze č. 1 Smlouvy o zajištění výkonu technického dozoru stavebníka na staveništi č. objednatele 097/2022-KSÚSV ze dne 3. 5. 2022.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této souvislosti se navyšuje počet hodin TDS takto: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7718" w:val="left"/>
        </w:tabs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Práce spojené s výkonem TDS v kanceláři (bez nároku na cestovného)</w:t>
        <w:tab/>
        <w:t>+ 9 hodin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7718" w:val="left"/>
        </w:tabs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b) Práce spojené s výkonem TDS na staveništi (bez nároku cestovného)</w:t>
        <w:tab/>
        <w:t>+ 8 hodin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6" w:val="left"/>
        </w:tabs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souvislosti s navýšením počtu hodin výkonu TDS dochází k navýšení celkové ceny díla dle cen uvedených v odst. 5.1. b) Výkon TDS - práce spojené s prováděním stavby, takto: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mc:AlternateContent>
          <mc:Choice Requires="wps">
            <w:drawing>
              <wp:anchor distT="0" distB="1310640" distL="114300" distR="151130" simplePos="0" relativeHeight="125829378" behindDoc="0" locked="0" layoutInCell="1" allowOverlap="1">
                <wp:simplePos x="0" y="0"/>
                <wp:positionH relativeFrom="page">
                  <wp:posOffset>5292725</wp:posOffset>
                </wp:positionH>
                <wp:positionV relativeFrom="paragraph">
                  <wp:posOffset>12700</wp:posOffset>
                </wp:positionV>
                <wp:extent cx="926465" cy="21336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6465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129 500,00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16.75pt;margin-top:1.pt;width:72.950000000000003pt;height:16.800000000000001pt;z-index:-125829375;mso-wrap-distance-left:9.pt;mso-wrap-distance-right:11.9pt;mso-wrap-distance-bottom:103.2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129 500,00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259080" distB="1051560" distL="251460" distR="169545" simplePos="0" relativeHeight="125829380" behindDoc="0" locked="0" layoutInCell="1" allowOverlap="1">
                <wp:simplePos x="0" y="0"/>
                <wp:positionH relativeFrom="page">
                  <wp:posOffset>5429885</wp:posOffset>
                </wp:positionH>
                <wp:positionV relativeFrom="paragraph">
                  <wp:posOffset>271780</wp:posOffset>
                </wp:positionV>
                <wp:extent cx="770890" cy="21336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089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7 650,00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27.55000000000001pt;margin-top:21.399999999999999pt;width:60.700000000000003pt;height:16.800000000000001pt;z-index:-125829373;mso-wrap-distance-left:19.800000000000001pt;mso-wrap-distance-top:20.399999999999999pt;mso-wrap-distance-right:13.35pt;mso-wrap-distance-bottom:82.799999999999997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7 650,00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521335" distB="789305" distL="251460" distR="172085" simplePos="0" relativeHeight="125829382" behindDoc="0" locked="0" layoutInCell="1" allowOverlap="1">
                <wp:simplePos x="0" y="0"/>
                <wp:positionH relativeFrom="page">
                  <wp:posOffset>5429885</wp:posOffset>
                </wp:positionH>
                <wp:positionV relativeFrom="paragraph">
                  <wp:posOffset>534035</wp:posOffset>
                </wp:positionV>
                <wp:extent cx="768350" cy="21336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835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7 600,00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27.55000000000001pt;margin-top:42.049999999999997pt;width:60.5pt;height:16.800000000000001pt;z-index:-125829371;mso-wrap-distance-left:19.800000000000001pt;mso-wrap-distance-top:41.049999999999997pt;mso-wrap-distance-right:13.550000000000001pt;mso-wrap-distance-bottom:62.149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7 600,00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786130" distB="524510" distL="114300" distR="151130" simplePos="0" relativeHeight="125829384" behindDoc="0" locked="0" layoutInCell="1" allowOverlap="1">
                <wp:simplePos x="0" y="0"/>
                <wp:positionH relativeFrom="page">
                  <wp:posOffset>5292725</wp:posOffset>
                </wp:positionH>
                <wp:positionV relativeFrom="paragraph">
                  <wp:posOffset>798830</wp:posOffset>
                </wp:positionV>
                <wp:extent cx="926465" cy="21336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6465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144 750,00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16.75pt;margin-top:62.899999999999999pt;width:72.950000000000003pt;height:16.800000000000001pt;z-index:-125829369;mso-wrap-distance-left:9.pt;mso-wrap-distance-top:61.899999999999999pt;mso-wrap-distance-right:11.9pt;mso-wrap-distance-bottom:41.299999999999997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144 750,00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1045210" distB="265430" distL="217805" distR="584200" simplePos="0" relativeHeight="125829386" behindDoc="0" locked="0" layoutInCell="1" allowOverlap="1">
                <wp:simplePos x="0" y="0"/>
                <wp:positionH relativeFrom="page">
                  <wp:posOffset>5396230</wp:posOffset>
                </wp:positionH>
                <wp:positionV relativeFrom="paragraph">
                  <wp:posOffset>1057910</wp:posOffset>
                </wp:positionV>
                <wp:extent cx="389890" cy="21336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989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0,0Kč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24.89999999999998pt;margin-top:83.299999999999997pt;width:30.699999999999999pt;height:16.800000000000001pt;z-index:-125829367;mso-wrap-distance-left:17.149999999999999pt;mso-wrap-distance-top:82.299999999999997pt;mso-wrap-distance-right:46.pt;mso-wrap-distance-bottom:20.899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0,0Kč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1310640" distB="0" distL="147955" distR="114300" simplePos="0" relativeHeight="125829388" behindDoc="0" locked="0" layoutInCell="1" allowOverlap="1">
                <wp:simplePos x="0" y="0"/>
                <wp:positionH relativeFrom="page">
                  <wp:posOffset>5326380</wp:posOffset>
                </wp:positionH>
                <wp:positionV relativeFrom="paragraph">
                  <wp:posOffset>1323340</wp:posOffset>
                </wp:positionV>
                <wp:extent cx="929640" cy="213360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964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144 750,00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19.39999999999998pt;margin-top:104.2pt;width:73.200000000000003pt;height:16.800000000000001pt;z-index:-125829365;mso-wrap-distance-left:11.65pt;mso-wrap-distance-top:103.2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144 750,00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cena díla bez DPH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Vícepráce: a) práce spojené s výkonem TDS v kanceláři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8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b) práce spojené s výkonem TDS na stavbě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Nově sjednaná cena dle Dodatku č. 1 bez DPH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DPH 21%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Nově sjednaná cena včetně DPH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6" w:val="left"/>
        </w:tabs>
        <w:bidi w:val="0"/>
        <w:spacing w:before="0" w:after="7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Ostatní ujednání Smlouvy nedotčené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Dodatkem č. 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zůstávají v platnosti v původním znění.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6" w:val="left"/>
        </w:tabs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stávající smlouvy.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6" w:val="left"/>
        </w:tabs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elektronické podobě, přičemž obě smluvní strany obdrží její elektronický originál.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6" w:val="left"/>
        </w:tabs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platný 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6" w:val="left"/>
        </w:tabs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účinný dnem jejího uveřejnění v registru smluv.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6" w:val="left"/>
        </w:tabs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podléhá zveřejnění dle zákona č. 340/2015 Sb. o zvláštních podmínkách účinnosti některých smluv, uveřejňování těchto smluv a o registru smluv (zákon o registru smluv), v platném a účinném znění.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STATNI FOND DORA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INFRASTRUKTURY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584200" distB="0" distL="0" distR="0" simplePos="0" relativeHeight="125829390" behindDoc="0" locked="0" layoutInCell="1" allowOverlap="1">
                <wp:simplePos x="0" y="0"/>
                <wp:positionH relativeFrom="page">
                  <wp:posOffset>1263650</wp:posOffset>
                </wp:positionH>
                <wp:positionV relativeFrom="paragraph">
                  <wp:posOffset>584200</wp:posOffset>
                </wp:positionV>
                <wp:extent cx="1463040" cy="21336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304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Brně, dne: viz podpis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99.5pt;margin-top:46.pt;width:115.2pt;height:16.800000000000001pt;z-index:-125829363;mso-wrap-distance-left:0;mso-wrap-distance-top:46.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Brně, dne: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84200" distB="0" distL="0" distR="0" simplePos="0" relativeHeight="125829392" behindDoc="0" locked="0" layoutInCell="1" allowOverlap="1">
                <wp:simplePos x="0" y="0"/>
                <wp:positionH relativeFrom="page">
                  <wp:posOffset>4299585</wp:posOffset>
                </wp:positionH>
                <wp:positionV relativeFrom="paragraph">
                  <wp:posOffset>584200</wp:posOffset>
                </wp:positionV>
                <wp:extent cx="1591310" cy="21336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9131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Jihlavě, dne: viz podpis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38.55000000000001pt;margin-top:46.pt;width:125.3pt;height:16.800000000000001pt;z-index:-125829361;mso-wrap-distance-left:0;mso-wrap-distance-top:46.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Jihlavě, dne: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3245"/>
        <w:gridCol w:w="4411"/>
      </w:tblGrid>
      <w:tr>
        <w:trPr>
          <w:trHeight w:val="72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Ing. Martinem Račanský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Jednatel společnosti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Ing. Radovan Necid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, ředitel organizace</w:t>
            </w:r>
          </w:p>
        </w:tc>
      </w:tr>
    </w:tbl>
    <w:p>
      <w:pPr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2240" w:h="15840"/>
          <w:pgMar w:top="1141" w:left="1145" w:right="713" w:bottom="1385" w:header="0" w:footer="3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547"/>
        <w:gridCol w:w="5827"/>
        <w:gridCol w:w="1507"/>
        <w:gridCol w:w="1637"/>
      </w:tblGrid>
      <w:tr>
        <w:trPr>
          <w:trHeight w:val="480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Příloha č. 1</w:t>
            </w:r>
          </w:p>
        </w:tc>
      </w:tr>
      <w:tr>
        <w:trPr>
          <w:trHeight w:val="53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cs-CZ" w:eastAsia="cs-CZ" w:bidi="cs-CZ"/>
              </w:rPr>
              <w:t>Kalkulace odměny TDS - dodatek č.1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Název akce: "III/3923 Vaneč mosty ev. č. 3923-2, 3923-3, 3923-4"</w:t>
            </w:r>
          </w:p>
        </w:tc>
      </w:tr>
      <w:tr>
        <w:trPr>
          <w:trHeight w:val="3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 prací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v Kč</w:t>
            </w:r>
          </w:p>
        </w:tc>
      </w:tr>
      <w:tr>
        <w:trPr>
          <w:trHeight w:val="3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46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D8E4BC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A. Výkon TDS - práce před zahájením a po dokončení stavby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za práci před zahájením stavby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Účastník uvede nabídkovou cenu TDS za práce spojené se zahájením stavby, dle specifikace v čl. 3.1 Smlouvy.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za práci po dokončení stavby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Účastník uvede nabídkovou cenu TDS za práce spojené s dokončením stavby, dle specifikace v čl. 3.3. Smlouvy.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A. Cena za výkon TDS před zahájením a po dokončení stavby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8E4BC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8E4BC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 Kč</w:t>
            </w:r>
          </w:p>
        </w:tc>
      </w:tr>
      <w:tr>
        <w:trPr>
          <w:trHeight w:val="75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D8E4BC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B. Výkon TDS - práce spojené s prováděním stavby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Účastník uvede nabídkovou cenu TDS za práce spojené s prováděním stavby, dle specifikace v čl. 3.2 Smlouvy.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 1 hodinu (60 minut)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 za 9 hodin *</w:t>
            </w: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Práce spojené s výkonem TDS v kanceláři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- předpokládané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bez nároku na cestové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v předpokládaném rozsahu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10 hodin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850,0 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7 650,00 Kč</w:t>
            </w:r>
          </w:p>
        </w:tc>
      </w:tr>
      <w:tr>
        <w:trPr>
          <w:trHeight w:val="5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Práce spojené s výkonem TDS na staveništi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předpokládané náklady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včetně cestovného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- v předpokládaném rozsahu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 návštěvy/týden á 3 hodiny, celkem 20 týdnů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(vzorec pro výpočet hodin 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návštěvy x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hod. výkonu TDS x 20 týdnů = 120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hodin výkonu TDS celkem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 5 0 , 0 0 K 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 za 8 hodin *</w:t>
            </w:r>
          </w:p>
        </w:tc>
      </w:tr>
      <w:tr>
        <w:trPr>
          <w:trHeight w:val="88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 6 0 0 , 0 0 K č</w:t>
            </w:r>
          </w:p>
        </w:tc>
      </w:tr>
      <w:tr>
        <w:trPr>
          <w:trHeight w:val="49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B. Cena za výkon TDS při provádění stavby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8E4BC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8E4BC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15 250,00 Kč</w:t>
            </w:r>
          </w:p>
        </w:tc>
      </w:tr>
      <w:tr>
        <w:trPr>
          <w:trHeight w:val="49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3D79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CELKEM BEZ DPH (A + B)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3D79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3D79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15 250,00 Kč</w:t>
            </w:r>
          </w:p>
        </w:tc>
      </w:tr>
      <w:tr>
        <w:trPr>
          <w:trHeight w:val="47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3D79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DPH 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3D79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3D79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 Kč</w:t>
            </w:r>
          </w:p>
        </w:tc>
      </w:tr>
      <w:tr>
        <w:trPr>
          <w:trHeight w:val="63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C3D79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CELKEM VČETNĚ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3D79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3D79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15 250,00 Kč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48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Tabulka pro zpracování ceny plnění bude jako příloha nedílnou součástí Smlouvy o zajištění výkonu TDS na staveništi.</w:t>
      </w:r>
    </w:p>
    <w:p>
      <w:pPr>
        <w:widowControl w:val="0"/>
        <w:spacing w:after="339" w:line="1" w:lineRule="exact"/>
      </w:pP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Položka č. 1 - </w:t>
      </w:r>
      <w:r>
        <w:rPr>
          <w:b w:val="0"/>
          <w:bCs w:val="0"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Cena za práci před zahájením stavby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bude uvedena ve Smlouvě o zajištění výkonu TDS.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Položka č. 2 - </w:t>
      </w:r>
      <w:r>
        <w:rPr>
          <w:b w:val="0"/>
          <w:bCs w:val="0"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Cena za práci po dokončení stavby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bude uvedena ve Smlouvě o zajištění výkonu TDS.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Položka č. 3 - </w:t>
      </w:r>
      <w:r>
        <w:rPr>
          <w:b w:val="0"/>
          <w:bCs w:val="0"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Cena za práci v kanceláři při provádění stavby v rozsahu 1 hodiny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bude uvedena ve Smlouvě o zajištění výkonu TDS a bude sloužit pro fakturaci výkonu TDS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skutečnosti.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Položka č. 4 - </w:t>
      </w:r>
      <w:r>
        <w:rPr>
          <w:b w:val="0"/>
          <w:bCs w:val="0"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Cena za práci na staveništi při provádění stavby v rozsahu 1 hodiny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bude uvedena ve Smlouvě o zajištění výkonu TDS a bude sloužit pro fakturaci výkonu TDS dle doložené skutečnosti.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*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Cena za práci na staveništi při provádění stavby (pol. č. 3 a č. 4)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celkovém předpokládaném rozsahu 10 hodin v kanceláři a 120 hodin na staveništi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 uvedena pouze pro rovnocenné hodnocení podaných nabídek.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Smlouvě o zajištění výkonu TDS uvedena nebude.</w:t>
      </w:r>
    </w:p>
    <w:sectPr>
      <w:headerReference w:type="default" r:id="rId7"/>
      <w:footerReference w:type="default" r:id="rId8"/>
      <w:footnotePr>
        <w:pos w:val="pageBottom"/>
        <w:numFmt w:val="decimal"/>
        <w:numRestart w:val="continuous"/>
      </w:footnotePr>
      <w:pgSz w:w="12240" w:h="15840"/>
      <w:pgMar w:top="859" w:left="1178" w:right="1543" w:bottom="2486" w:header="431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754380</wp:posOffset>
              </wp:positionH>
              <wp:positionV relativeFrom="page">
                <wp:posOffset>9496425</wp:posOffset>
              </wp:positionV>
              <wp:extent cx="2419985" cy="26225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19985" cy="2622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Dodatek č. 1</w:t>
                          </w:r>
                        </w:p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k Smlouvě o zajištění výkonu TDS - KSÚSV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59.399999999999999pt;margin-top:747.75pt;width:190.55000000000001pt;height:20.649999999999999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č. 1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k Smlouvě o zajištění výkonu TDS - KSÚSV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6600190</wp:posOffset>
              </wp:positionH>
              <wp:positionV relativeFrom="page">
                <wp:posOffset>9496425</wp:posOffset>
              </wp:positionV>
              <wp:extent cx="667385" cy="10985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738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519.70000000000005pt;margin-top:747.75pt;width:52.549999999999997pt;height:8.6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732790</wp:posOffset>
              </wp:positionH>
              <wp:positionV relativeFrom="page">
                <wp:posOffset>9451975</wp:posOffset>
              </wp:positionV>
              <wp:extent cx="6577330" cy="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73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700000000000003pt;margin-top:744.25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8479790</wp:posOffset>
              </wp:positionV>
              <wp:extent cx="5422265" cy="97790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22265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** </w:t>
                          </w: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u w:val="single"/>
                              <w:shd w:val="clear" w:color="auto" w:fill="auto"/>
                              <w:lang w:val="cs-CZ" w:eastAsia="cs-CZ" w:bidi="cs-CZ"/>
                            </w:rPr>
                            <w:t>Cena celkem (vč. DPH)</w:t>
                          </w: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bude použita k hodnocení podaných nabídek, </w:t>
                          </w: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ve Smlouvě o zajištění výkonu TDS uvedena nebude.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63.pt;margin-top:667.70000000000005pt;width:426.94999999999999pt;height:7.7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** </w:t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u w:val="single"/>
                        <w:shd w:val="clear" w:color="auto" w:fill="auto"/>
                        <w:lang w:val="cs-CZ" w:eastAsia="cs-CZ" w:bidi="cs-CZ"/>
                      </w:rPr>
                      <w:t>Cena celkem (vč. DPH)</w:t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bude použita k hodnocení podaných nabídek, </w:t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ve Smlouvě o zajištění výkonu TDS uvedena nebude.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3458210</wp:posOffset>
              </wp:positionH>
              <wp:positionV relativeFrom="page">
                <wp:posOffset>386715</wp:posOffset>
              </wp:positionV>
              <wp:extent cx="987425" cy="27432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87425" cy="2743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D3864"/>
                              <w:spacing w:val="0"/>
                              <w:w w:val="100"/>
                              <w:position w:val="0"/>
                              <w:sz w:val="56"/>
                              <w:szCs w:val="56"/>
                              <w:shd w:val="clear" w:color="auto" w:fill="auto"/>
                              <w:lang w:val="cs-CZ" w:eastAsia="cs-CZ" w:bidi="cs-CZ"/>
                            </w:rPr>
                            <w:t>Q sfdi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72.30000000000001pt;margin-top:30.449999999999999pt;width:77.75pt;height:21.6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6"/>
                        <w:szCs w:val="56"/>
                      </w:rPr>
                    </w:pPr>
                    <w:r>
                      <w:rPr>
                        <w:rFonts w:ascii="Arial" w:eastAsia="Arial" w:hAnsi="Arial" w:cs="Arial"/>
                        <w:color w:val="1D3864"/>
                        <w:spacing w:val="0"/>
                        <w:w w:val="100"/>
                        <w:position w:val="0"/>
                        <w:sz w:val="56"/>
                        <w:szCs w:val="56"/>
                        <w:shd w:val="clear" w:color="auto" w:fill="auto"/>
                        <w:lang w:val="cs-CZ" w:eastAsia="cs-CZ" w:bidi="cs-CZ"/>
                      </w:rPr>
                      <w:t>Q sfdi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3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5">
    <w:name w:val="Titulek tabulky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7">
    <w:name w:val="Základní text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color w:val="838A91"/>
      <w:sz w:val="8"/>
      <w:szCs w:val="8"/>
      <w:u w:val="none"/>
    </w:rPr>
  </w:style>
  <w:style w:type="character" w:customStyle="1" w:styleId="CharStyle12">
    <w:name w:val="Záhlaví nebo zápatí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Základní text (4)_"/>
    <w:basedOn w:val="DefaultParagraphFont"/>
    <w:link w:val="Style16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20">
    <w:name w:val="Nadpis #1_"/>
    <w:basedOn w:val="DefaultParagraphFont"/>
    <w:link w:val="Style19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38">
    <w:name w:val="Základní text (2)_"/>
    <w:basedOn w:val="DefaultParagraphFont"/>
    <w:link w:val="Style37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4">
    <w:name w:val="Titulek tabulky"/>
    <w:basedOn w:val="Normal"/>
    <w:link w:val="CharStyle5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FFFFFF"/>
      <w:spacing w:after="2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color w:val="838A91"/>
      <w:sz w:val="8"/>
      <w:szCs w:val="8"/>
      <w:u w:val="none"/>
    </w:rPr>
  </w:style>
  <w:style w:type="paragraph" w:customStyle="1" w:styleId="Style11">
    <w:name w:val="Záhlaví nebo zápatí (2)"/>
    <w:basedOn w:val="Normal"/>
    <w:link w:val="CharStyle1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Základní text (4)"/>
    <w:basedOn w:val="Normal"/>
    <w:link w:val="CharStyle17"/>
    <w:pPr>
      <w:widowControl w:val="0"/>
      <w:shd w:val="clear" w:color="auto" w:fill="FFFFFF"/>
      <w:spacing w:after="200"/>
      <w:ind w:left="2440"/>
    </w:pPr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Style19">
    <w:name w:val="Nadpis #1"/>
    <w:basedOn w:val="Normal"/>
    <w:link w:val="CharStyle20"/>
    <w:pPr>
      <w:widowControl w:val="0"/>
      <w:shd w:val="clear" w:color="auto" w:fill="FFFFFF"/>
      <w:spacing w:after="100" w:line="180" w:lineRule="auto"/>
      <w:jc w:val="center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37">
    <w:name w:val="Základní text (2)"/>
    <w:basedOn w:val="Normal"/>
    <w:link w:val="CharStyle38"/>
    <w:pPr>
      <w:widowControl w:val="0"/>
      <w:shd w:val="clear" w:color="auto" w:fill="FFFFFF"/>
      <w:spacing w:after="40" w:line="276" w:lineRule="auto"/>
    </w:pPr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