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C" w:rsidRDefault="005253BC" w:rsidP="005253BC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1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>
        <w:rPr>
          <w:rFonts w:ascii="Arial" w:hAnsi="Arial" w:cs="Arial"/>
          <w:b/>
          <w:w w:val="80"/>
          <w:sz w:val="28"/>
          <w:szCs w:val="28"/>
        </w:rPr>
        <w:t>490192492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</w:p>
    <w:p w:rsidR="005253BC" w:rsidRDefault="005253BC" w:rsidP="005253BC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>CODEXIS GREEN</w:t>
      </w:r>
      <w:r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:rsidR="005253BC" w:rsidRDefault="005253BC" w:rsidP="005253BC">
      <w:pPr>
        <w:jc w:val="center"/>
        <w:rPr>
          <w:rFonts w:ascii="Arial" w:hAnsi="Arial" w:cs="Arial"/>
          <w:b/>
          <w:w w:val="80"/>
          <w:sz w:val="26"/>
          <w:szCs w:val="26"/>
        </w:rPr>
      </w:pPr>
    </w:p>
    <w:p w:rsidR="005253BC" w:rsidRPr="00D6211B" w:rsidRDefault="005253BC" w:rsidP="005253BC">
      <w:pPr>
        <w:jc w:val="right"/>
        <w:rPr>
          <w:rFonts w:ascii="Arial" w:hAnsi="Arial" w:cs="Arial"/>
          <w:b/>
          <w:color w:val="7F7F7F" w:themeColor="text1" w:themeTint="80"/>
          <w:w w:val="80"/>
          <w:sz w:val="28"/>
          <w:szCs w:val="28"/>
        </w:rPr>
      </w:pPr>
      <w:r w:rsidRPr="00D6211B">
        <w:rPr>
          <w:rFonts w:ascii="Arial" w:hAnsi="Arial" w:cs="Arial"/>
          <w:b/>
          <w:color w:val="7F7F7F" w:themeColor="text1" w:themeTint="80"/>
          <w:w w:val="80"/>
          <w:sz w:val="26"/>
          <w:szCs w:val="26"/>
        </w:rPr>
        <w:t xml:space="preserve"> </w:t>
      </w:r>
      <w:r w:rsidRPr="00D6211B">
        <w:rPr>
          <w:rFonts w:ascii="Arial" w:hAnsi="Arial" w:cs="Arial"/>
          <w:b/>
          <w:color w:val="7F7F7F" w:themeColor="text1" w:themeTint="80"/>
          <w:w w:val="80"/>
          <w:sz w:val="28"/>
          <w:szCs w:val="28"/>
        </w:rPr>
        <w:t xml:space="preserve">Dok. </w:t>
      </w:r>
      <w:proofErr w:type="gramStart"/>
      <w:r w:rsidRPr="00D6211B">
        <w:rPr>
          <w:rFonts w:ascii="Arial" w:hAnsi="Arial" w:cs="Arial"/>
          <w:b/>
          <w:color w:val="7F7F7F" w:themeColor="text1" w:themeTint="80"/>
          <w:w w:val="80"/>
          <w:sz w:val="28"/>
          <w:szCs w:val="28"/>
        </w:rPr>
        <w:t>č.</w:t>
      </w:r>
      <w:proofErr w:type="gramEnd"/>
      <w:r w:rsidRPr="00D6211B">
        <w:rPr>
          <w:rFonts w:ascii="Arial" w:hAnsi="Arial" w:cs="Arial"/>
          <w:b/>
          <w:color w:val="7F7F7F" w:themeColor="text1" w:themeTint="80"/>
          <w:w w:val="80"/>
          <w:sz w:val="28"/>
          <w:szCs w:val="28"/>
        </w:rPr>
        <w:t xml:space="preserve"> 492220374</w:t>
      </w:r>
    </w:p>
    <w:p w:rsidR="005253BC" w:rsidRPr="00CF7AFB" w:rsidRDefault="005253BC" w:rsidP="005253BC">
      <w:pPr>
        <w:jc w:val="center"/>
        <w:rPr>
          <w:rFonts w:ascii="Arial" w:hAnsi="Arial" w:cs="Arial"/>
          <w:b/>
          <w:sz w:val="28"/>
        </w:rPr>
      </w:pPr>
    </w:p>
    <w:p w:rsidR="005253BC" w:rsidRPr="00CF7AFB" w:rsidRDefault="005253BC" w:rsidP="005253B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5253BC" w:rsidRPr="00CF7AFB" w:rsidRDefault="005253BC" w:rsidP="005253B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:rsidR="005253BC" w:rsidRDefault="005253BC" w:rsidP="005253BC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702 00  Ostrava-Moravská Ostrava</w:t>
      </w: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proofErr w:type="gram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</w:t>
      </w:r>
      <w:proofErr w:type="gramEnd"/>
      <w:r>
        <w:rPr>
          <w:rFonts w:cs="Arial"/>
          <w:sz w:val="18"/>
          <w:szCs w:val="18"/>
        </w:rPr>
        <w:t xml:space="preserve">: </w:t>
      </w:r>
      <w:bookmarkStart w:id="0" w:name="_GoBack"/>
      <w:bookmarkEnd w:id="0"/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 obchod@atlasgroup.cz</w:t>
      </w: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proofErr w:type="gram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</w:t>
      </w:r>
      <w:proofErr w:type="gramEnd"/>
      <w:r>
        <w:rPr>
          <w:rFonts w:cs="Arial"/>
          <w:sz w:val="18"/>
          <w:szCs w:val="18"/>
        </w:rPr>
        <w:t xml:space="preserve"> C3293</w:t>
      </w: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5253BC" w:rsidRPr="00CF7AFB" w:rsidRDefault="005253BC" w:rsidP="005253B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 (dále jen „dodavatel“)</w:t>
      </w:r>
    </w:p>
    <w:p w:rsidR="005253BC" w:rsidRPr="00CF7AFB" w:rsidRDefault="005253BC" w:rsidP="005253B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5253BC" w:rsidRPr="00CF7AFB" w:rsidRDefault="005253BC" w:rsidP="005253B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Geologický ústav AV ČR, v. v. i.</w:t>
      </w:r>
    </w:p>
    <w:p w:rsidR="005253BC" w:rsidRPr="00CF7AFB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Rozvojová 269</w:t>
      </w:r>
      <w:r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165 00</w:t>
      </w:r>
      <w:r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Praha - Lysolaje</w:t>
      </w:r>
    </w:p>
    <w:p w:rsidR="005253BC" w:rsidRPr="00CF7AFB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67985831</w:t>
      </w:r>
      <w:r w:rsidRPr="00CF7AFB">
        <w:rPr>
          <w:rFonts w:cs="Arial"/>
          <w:sz w:val="18"/>
          <w:szCs w:val="18"/>
        </w:rPr>
        <w:t xml:space="preserve">, DIČ: </w:t>
      </w:r>
      <w:r>
        <w:rPr>
          <w:rFonts w:cs="Arial"/>
          <w:sz w:val="18"/>
          <w:szCs w:val="18"/>
        </w:rPr>
        <w:t>CZ67985831</w:t>
      </w:r>
    </w:p>
    <w:p w:rsidR="005253BC" w:rsidRPr="00CF7AFB" w:rsidRDefault="005253BC" w:rsidP="005253B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e-mail: </w:t>
      </w:r>
    </w:p>
    <w:p w:rsidR="005253BC" w:rsidRPr="00CF7AFB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zastoupen</w:t>
      </w:r>
      <w:r>
        <w:rPr>
          <w:rFonts w:cs="Arial"/>
          <w:sz w:val="18"/>
          <w:szCs w:val="18"/>
        </w:rPr>
        <w:t>ý</w:t>
      </w:r>
      <w:r w:rsidRPr="00CF7AFB">
        <w:rPr>
          <w:rFonts w:cs="Arial"/>
          <w:sz w:val="18"/>
          <w:szCs w:val="18"/>
        </w:rPr>
        <w:t>: …………………………………</w:t>
      </w:r>
      <w:r>
        <w:rPr>
          <w:rFonts w:cs="Arial"/>
          <w:sz w:val="18"/>
          <w:szCs w:val="18"/>
        </w:rPr>
        <w:t>……….</w:t>
      </w: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253BC" w:rsidRDefault="005253BC" w:rsidP="005253B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253BC" w:rsidRDefault="005253BC" w:rsidP="005253BC">
      <w:pPr>
        <w:pStyle w:val="Strany"/>
        <w:numPr>
          <w:ilvl w:val="0"/>
          <w:numId w:val="3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</w:t>
      </w:r>
      <w:r>
        <w:rPr>
          <w:rFonts w:cs="Arial"/>
          <w:b/>
          <w:sz w:val="18"/>
          <w:szCs w:val="18"/>
          <w:u w:val="single"/>
        </w:rPr>
        <w:t>odst.</w:t>
      </w:r>
      <w:r w:rsidRPr="00C17081">
        <w:rPr>
          <w:rFonts w:cs="Arial"/>
          <w:b/>
          <w:sz w:val="18"/>
          <w:szCs w:val="18"/>
          <w:u w:val="single"/>
        </w:rPr>
        <w:t xml:space="preserve"> </w:t>
      </w:r>
      <w:r>
        <w:rPr>
          <w:rFonts w:cs="Arial"/>
          <w:b/>
          <w:sz w:val="18"/>
          <w:szCs w:val="18"/>
          <w:u w:val="single"/>
        </w:rPr>
        <w:t>2.1</w:t>
      </w:r>
      <w:r w:rsidRPr="00C17081">
        <w:rPr>
          <w:rFonts w:cs="Arial"/>
          <w:b/>
          <w:sz w:val="18"/>
          <w:szCs w:val="18"/>
          <w:u w:val="single"/>
        </w:rPr>
        <w:t xml:space="preserve"> a</w:t>
      </w:r>
      <w:r>
        <w:rPr>
          <w:rFonts w:cs="Arial"/>
          <w:b/>
          <w:sz w:val="18"/>
          <w:szCs w:val="18"/>
          <w:u w:val="single"/>
        </w:rPr>
        <w:t xml:space="preserve"> čl.</w:t>
      </w:r>
      <w:r w:rsidRPr="00C17081">
        <w:rPr>
          <w:rFonts w:cs="Arial"/>
          <w:b/>
          <w:sz w:val="18"/>
          <w:szCs w:val="18"/>
          <w:u w:val="single"/>
        </w:rPr>
        <w:t xml:space="preserve"> 7 výše </w:t>
      </w:r>
      <w:r w:rsidRPr="00587354">
        <w:rPr>
          <w:rFonts w:cs="Arial"/>
          <w:b/>
          <w:sz w:val="18"/>
          <w:szCs w:val="18"/>
          <w:u w:val="single"/>
        </w:rPr>
        <w:t xml:space="preserve">citované smlouvy uzavřené dne </w:t>
      </w:r>
      <w:proofErr w:type="gramStart"/>
      <w:r>
        <w:rPr>
          <w:rFonts w:cs="Arial"/>
          <w:b/>
          <w:sz w:val="18"/>
          <w:szCs w:val="18"/>
          <w:u w:val="single"/>
        </w:rPr>
        <w:t>28.11.2019</w:t>
      </w:r>
      <w:proofErr w:type="gramEnd"/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:rsidR="005253BC" w:rsidRDefault="005253BC" w:rsidP="005253BC">
      <w:pPr>
        <w:pStyle w:val="Strany"/>
        <w:spacing w:before="0"/>
        <w:ind w:right="0"/>
        <w:rPr>
          <w:rFonts w:cs="Arial"/>
          <w:b/>
          <w:sz w:val="18"/>
          <w:szCs w:val="18"/>
          <w:u w:val="single"/>
        </w:rPr>
      </w:pPr>
    </w:p>
    <w:p w:rsidR="005253BC" w:rsidRPr="00A84745" w:rsidRDefault="005253BC" w:rsidP="005253BC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:rsidR="005253BC" w:rsidRPr="00A84745" w:rsidRDefault="005253BC" w:rsidP="005253BC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 xml:space="preserve">2.1 Dodavatel se touto smlouvou zavazuje po dobu trvání této smlouvy poskytnout odběrateli </w:t>
      </w:r>
      <w:r>
        <w:rPr>
          <w:rFonts w:ascii="Arial" w:hAnsi="Arial"/>
          <w:b/>
          <w:bCs/>
          <w:sz w:val="18"/>
          <w:szCs w:val="18"/>
        </w:rPr>
        <w:t>1</w:t>
      </w:r>
      <w:r w:rsidRPr="00E5170A">
        <w:rPr>
          <w:rFonts w:ascii="Arial" w:hAnsi="Arial"/>
          <w:b/>
          <w:bCs/>
          <w:sz w:val="18"/>
          <w:szCs w:val="18"/>
        </w:rPr>
        <w:t xml:space="preserve"> přístup</w:t>
      </w:r>
      <w:r>
        <w:rPr>
          <w:rFonts w:ascii="Arial" w:hAnsi="Arial"/>
          <w:b/>
          <w:bCs/>
          <w:sz w:val="18"/>
          <w:szCs w:val="18"/>
        </w:rPr>
        <w:t xml:space="preserve"> s možností vytvoření až 10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A84745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 včetně doplňků LIBERIS, MONITOR Personalistika a Sledované dokumenty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a 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 xml:space="preserve">. 2.2 této smlouvy a odběratel se zavazuje za tuto licenci a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:rsidR="005253BC" w:rsidRPr="00C17081" w:rsidRDefault="005253BC" w:rsidP="005253BC">
      <w:pPr>
        <w:pStyle w:val="Strany"/>
        <w:spacing w:before="0"/>
        <w:ind w:right="0"/>
        <w:rPr>
          <w:rFonts w:cs="Arial"/>
          <w:b/>
          <w:sz w:val="18"/>
          <w:szCs w:val="18"/>
          <w:u w:val="single"/>
        </w:rPr>
      </w:pPr>
    </w:p>
    <w:p w:rsidR="005253BC" w:rsidRPr="00C17081" w:rsidRDefault="005253BC" w:rsidP="005253B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5253BC" w:rsidRPr="00CF7AFB" w:rsidRDefault="005253BC" w:rsidP="005253BC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:rsidR="005253BC" w:rsidRDefault="005253BC" w:rsidP="005253BC">
      <w:pPr>
        <w:pStyle w:val="Seznam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do </w:t>
      </w:r>
      <w:proofErr w:type="gramStart"/>
      <w:r>
        <w:rPr>
          <w:rFonts w:ascii="Arial" w:hAnsi="Arial" w:cs="Arial"/>
          <w:sz w:val="18"/>
          <w:szCs w:val="18"/>
        </w:rPr>
        <w:t>30.11.2025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5253BC" w:rsidRPr="00D6211B" w:rsidRDefault="005253BC" w:rsidP="005253BC">
      <w:pPr>
        <w:pStyle w:val="Seznam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6211B">
        <w:rPr>
          <w:rFonts w:ascii="Arial" w:hAnsi="Arial" w:cs="Arial"/>
          <w:sz w:val="18"/>
          <w:szCs w:val="18"/>
        </w:rPr>
        <w:t xml:space="preserve">Před uplynutím sjednané doby trvání lze tuto smlouvu po dohodě obou smluvních stran prodloužit formou písemného dodatku. </w:t>
      </w:r>
    </w:p>
    <w:p w:rsidR="005253BC" w:rsidRDefault="005253BC" w:rsidP="005253BC">
      <w:pPr>
        <w:pStyle w:val="Seznam"/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6F0569">
        <w:rPr>
          <w:rFonts w:ascii="Arial" w:hAnsi="Arial" w:cs="Arial"/>
          <w:sz w:val="18"/>
          <w:szCs w:val="18"/>
        </w:rPr>
        <w:t xml:space="preserve">Písemné oznámení </w:t>
      </w:r>
      <w:r w:rsidRPr="00D6211B">
        <w:rPr>
          <w:rFonts w:ascii="Arial" w:hAnsi="Arial" w:cs="Arial"/>
          <w:sz w:val="18"/>
          <w:szCs w:val="18"/>
        </w:rPr>
        <w:t>podle předchozího odstavce musí být zasláno druhé smluvní straně formou doporučeného dopisu na kontaktní adresu uvedenou v záhlaví této smlouvy.</w:t>
      </w:r>
    </w:p>
    <w:p w:rsidR="005253BC" w:rsidRDefault="005253BC" w:rsidP="005253BC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color w:val="FF0000"/>
          <w:sz w:val="18"/>
          <w:szCs w:val="18"/>
        </w:rPr>
      </w:pPr>
    </w:p>
    <w:p w:rsidR="005253BC" w:rsidRDefault="005253BC" w:rsidP="005253BC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color w:val="FF0000"/>
          <w:sz w:val="18"/>
          <w:szCs w:val="18"/>
        </w:rPr>
      </w:pPr>
    </w:p>
    <w:p w:rsidR="005253BC" w:rsidRPr="00D6211B" w:rsidRDefault="005253BC" w:rsidP="005253BC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color w:val="FF0000"/>
          <w:sz w:val="18"/>
          <w:szCs w:val="18"/>
        </w:rPr>
      </w:pPr>
    </w:p>
    <w:p w:rsidR="005253BC" w:rsidRPr="00CF7AFB" w:rsidRDefault="005253BC" w:rsidP="005253BC">
      <w:pPr>
        <w:pStyle w:val="Zkladntext"/>
        <w:numPr>
          <w:ilvl w:val="1"/>
          <w:numId w:val="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5253BC" w:rsidRPr="00CF7AFB" w:rsidRDefault="005253BC" w:rsidP="005253BC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lastRenderedPageBreak/>
        <w:t>7.4.1</w:t>
      </w:r>
      <w:r w:rsidRPr="00CF7AF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5253BC" w:rsidRDefault="005253BC" w:rsidP="005253B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7.4.2</w:t>
      </w:r>
      <w:r w:rsidRPr="00CF7AF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5253BC" w:rsidRDefault="005253BC" w:rsidP="005253B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7.4.3</w:t>
      </w:r>
      <w:r w:rsidRPr="00B817DA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5253BC" w:rsidRDefault="005253BC" w:rsidP="005253B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5253BC" w:rsidRPr="00C17081" w:rsidRDefault="005253BC" w:rsidP="005253B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253BC" w:rsidRPr="00C17081" w:rsidRDefault="005253BC" w:rsidP="005253BC">
      <w:pPr>
        <w:pStyle w:val="Strany"/>
        <w:numPr>
          <w:ilvl w:val="0"/>
          <w:numId w:val="3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5253BC" w:rsidRPr="00C17081" w:rsidRDefault="005253BC" w:rsidP="005253B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5253BC" w:rsidRPr="00C17081" w:rsidRDefault="005253BC" w:rsidP="005253BC">
      <w:pPr>
        <w:pStyle w:val="Seznam"/>
        <w:numPr>
          <w:ilvl w:val="1"/>
          <w:numId w:val="1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5253BC" w:rsidRPr="00C17081" w:rsidRDefault="005253BC" w:rsidP="005253BC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>
        <w:rPr>
          <w:rFonts w:ascii="Arial" w:hAnsi="Arial" w:cs="Arial"/>
          <w:sz w:val="18"/>
          <w:szCs w:val="18"/>
        </w:rPr>
        <w:t xml:space="preserve"> a účinnosti od </w:t>
      </w:r>
      <w:proofErr w:type="gramStart"/>
      <w:r>
        <w:rPr>
          <w:rFonts w:ascii="Arial" w:hAnsi="Arial" w:cs="Arial"/>
          <w:sz w:val="18"/>
          <w:szCs w:val="18"/>
        </w:rPr>
        <w:t>1.12.2022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5253BC" w:rsidRPr="00C17081" w:rsidRDefault="005253BC" w:rsidP="005253BC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C17081">
        <w:rPr>
          <w:rFonts w:ascii="Arial" w:hAnsi="Arial" w:cs="Arial"/>
          <w:sz w:val="18"/>
          <w:szCs w:val="18"/>
        </w:rPr>
        <w:t>paré</w:t>
      </w:r>
      <w:proofErr w:type="spellEnd"/>
      <w:r w:rsidRPr="00C17081">
        <w:rPr>
          <w:rFonts w:ascii="Arial" w:hAnsi="Arial" w:cs="Arial"/>
          <w:sz w:val="18"/>
          <w:szCs w:val="18"/>
        </w:rPr>
        <w:t xml:space="preserve">. </w:t>
      </w:r>
    </w:p>
    <w:p w:rsidR="005253BC" w:rsidRPr="00CF7AFB" w:rsidRDefault="005253BC" w:rsidP="005253BC">
      <w:pPr>
        <w:rPr>
          <w:rFonts w:ascii="Arial" w:hAnsi="Arial" w:cs="Arial"/>
          <w:sz w:val="18"/>
          <w:szCs w:val="18"/>
        </w:rPr>
      </w:pPr>
    </w:p>
    <w:p w:rsidR="005253BC" w:rsidRPr="00CF7AFB" w:rsidRDefault="005253BC" w:rsidP="005253BC">
      <w:pPr>
        <w:rPr>
          <w:rFonts w:ascii="Arial" w:hAnsi="Arial" w:cs="Arial"/>
          <w:sz w:val="18"/>
          <w:szCs w:val="18"/>
        </w:rPr>
      </w:pPr>
    </w:p>
    <w:p w:rsidR="005253BC" w:rsidRPr="00CF7AFB" w:rsidRDefault="005253BC" w:rsidP="005253B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proofErr w:type="gramStart"/>
      <w:r>
        <w:rPr>
          <w:rFonts w:ascii="Arial" w:hAnsi="Arial" w:cs="Arial"/>
          <w:sz w:val="18"/>
          <w:szCs w:val="18"/>
        </w:rPr>
        <w:t>9.11.2022</w:t>
      </w:r>
      <w:proofErr w:type="gramEnd"/>
    </w:p>
    <w:p w:rsidR="005253BC" w:rsidRPr="00CF7AFB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Pr="00CF7AFB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Pr="00CF7AFB" w:rsidRDefault="005253BC" w:rsidP="005253B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253BC" w:rsidRPr="00CF7AFB" w:rsidRDefault="005253BC" w:rsidP="005253B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:rsidR="005253BC" w:rsidRPr="00CF7AFB" w:rsidRDefault="005253BC" w:rsidP="005253B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:rsidR="005253BC" w:rsidRPr="00CF7AFB" w:rsidRDefault="005253BC" w:rsidP="005253B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:rsidR="005253BC" w:rsidRDefault="005253BC" w:rsidP="005253BC">
      <w:pPr>
        <w:rPr>
          <w:rFonts w:ascii="Arial" w:hAnsi="Arial" w:cs="Arial"/>
          <w:sz w:val="16"/>
          <w:szCs w:val="16"/>
        </w:rPr>
      </w:pPr>
    </w:p>
    <w:p w:rsidR="005253BC" w:rsidRPr="001502EC" w:rsidRDefault="005253BC" w:rsidP="005253BC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5253BC" w:rsidRDefault="005253BC" w:rsidP="005253BC">
      <w:pPr>
        <w:rPr>
          <w:rFonts w:ascii="Arial" w:hAnsi="Arial" w:cs="Arial"/>
          <w:color w:val="333333"/>
          <w:sz w:val="16"/>
          <w:szCs w:val="16"/>
        </w:rPr>
      </w:pPr>
    </w:p>
    <w:p w:rsidR="005253BC" w:rsidRDefault="005253BC" w:rsidP="005253BC">
      <w:pPr>
        <w:rPr>
          <w:rFonts w:ascii="Arial" w:hAnsi="Arial" w:cs="Arial"/>
          <w:color w:val="333333"/>
          <w:sz w:val="16"/>
          <w:szCs w:val="16"/>
        </w:rPr>
      </w:pPr>
    </w:p>
    <w:p w:rsidR="005253BC" w:rsidRPr="001502EC" w:rsidRDefault="005253BC" w:rsidP="005253BC">
      <w:pPr>
        <w:rPr>
          <w:rFonts w:ascii="Arial" w:hAnsi="Arial" w:cs="Arial"/>
          <w:color w:val="333333"/>
          <w:sz w:val="16"/>
          <w:szCs w:val="16"/>
        </w:rPr>
      </w:pPr>
    </w:p>
    <w:p w:rsidR="005253BC" w:rsidRPr="001737E2" w:rsidRDefault="005253BC" w:rsidP="005253BC">
      <w:pPr>
        <w:rPr>
          <w:rFonts w:ascii="Arial" w:hAnsi="Arial" w:cs="Arial"/>
          <w:color w:val="333333"/>
          <w:sz w:val="16"/>
          <w:szCs w:val="16"/>
        </w:rPr>
      </w:pPr>
    </w:p>
    <w:p w:rsidR="005253BC" w:rsidRPr="005E5EDC" w:rsidRDefault="005253BC" w:rsidP="005253BC">
      <w:pPr>
        <w:rPr>
          <w:szCs w:val="16"/>
        </w:rPr>
      </w:pPr>
    </w:p>
    <w:p w:rsidR="009D7F7F" w:rsidRDefault="009D7F7F"/>
    <w:sectPr w:rsidR="009D7F7F" w:rsidSect="005253BC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948" w:right="1418" w:bottom="2041" w:left="1418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8E" w:rsidRDefault="00064132" w:rsidP="00123C8E">
    <w:pPr>
      <w:pStyle w:val="Zhlav"/>
    </w:pPr>
  </w:p>
  <w:p w:rsidR="00123C8E" w:rsidRDefault="00064132" w:rsidP="00123C8E"/>
  <w:p w:rsidR="00123C8E" w:rsidRDefault="00064132" w:rsidP="00123C8E">
    <w:pPr>
      <w:pStyle w:val="Zpat"/>
    </w:pPr>
  </w:p>
  <w:p w:rsidR="00123C8E" w:rsidRDefault="00064132" w:rsidP="00123C8E"/>
  <w:p w:rsidR="00123C8E" w:rsidRPr="005C1885" w:rsidRDefault="00064132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197AE" wp14:editId="566496F9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C2B37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 xml:space="preserve">, </w:t>
    </w:r>
    <w:r w:rsidRPr="005C1885">
      <w:rPr>
        <w:rFonts w:ascii="Arial" w:hAnsi="Arial" w:cs="Arial"/>
        <w:color w:val="706F6F"/>
        <w:sz w:val="15"/>
        <w:szCs w:val="15"/>
      </w:rPr>
      <w:t>člen skupiny ATLAS GROUP</w:t>
    </w:r>
  </w:p>
  <w:p w:rsidR="00ED5421" w:rsidRPr="00D97468" w:rsidRDefault="00064132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253BC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8E" w:rsidRDefault="00064132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123C8E" w:rsidRDefault="00064132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ED5421" w:rsidRPr="0002337A" w:rsidRDefault="00064132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E51731" wp14:editId="7FB7916F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FB546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76" w:rsidRDefault="00064132">
    <w:pPr>
      <w:pStyle w:val="Zhlav"/>
    </w:pPr>
  </w:p>
  <w:p w:rsidR="00783E76" w:rsidRDefault="00064132">
    <w:pPr>
      <w:pStyle w:val="Zhlav"/>
    </w:pPr>
  </w:p>
  <w:p w:rsidR="00783E76" w:rsidRDefault="00064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21" w:rsidRDefault="00064132">
    <w:pPr>
      <w:pStyle w:val="Zhlav"/>
    </w:pPr>
    <w:r w:rsidRPr="001F1928">
      <w:rPr>
        <w:noProof/>
      </w:rPr>
      <w:drawing>
        <wp:anchor distT="0" distB="0" distL="114300" distR="114300" simplePos="0" relativeHeight="251660288" behindDoc="0" locked="0" layoutInCell="1" allowOverlap="1" wp14:anchorId="6C00A11A" wp14:editId="6F3149B2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C"/>
    <w:rsid w:val="00064132"/>
    <w:rsid w:val="005253BC"/>
    <w:rsid w:val="009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786"/>
  <w15:chartTrackingRefBased/>
  <w15:docId w15:val="{2257F021-D7F4-42CA-8186-F90CC46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53BC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53BC"/>
    <w:rPr>
      <w:rFonts w:ascii="Tahoma" w:eastAsia="Times New Roman" w:hAnsi="Tahoma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5253BC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253BC"/>
    <w:rPr>
      <w:rFonts w:ascii="Tahoma" w:eastAsia="Times New Roman" w:hAnsi="Tahoma" w:cs="Times New Roman"/>
      <w:sz w:val="12"/>
      <w:szCs w:val="24"/>
      <w:lang w:val="x-none" w:eastAsia="x-none"/>
    </w:rPr>
  </w:style>
  <w:style w:type="character" w:styleId="Hypertextovodkaz">
    <w:name w:val="Hyperlink"/>
    <w:rsid w:val="005253BC"/>
    <w:rPr>
      <w:color w:val="0000FF"/>
      <w:u w:val="single"/>
    </w:rPr>
  </w:style>
  <w:style w:type="paragraph" w:styleId="Zhlav">
    <w:name w:val="header"/>
    <w:basedOn w:val="Normln"/>
    <w:link w:val="ZhlavChar"/>
    <w:rsid w:val="00525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53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25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53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y">
    <w:name w:val="Strany"/>
    <w:basedOn w:val="Normln"/>
    <w:rsid w:val="005253BC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5253BC"/>
    <w:pPr>
      <w:spacing w:before="100" w:beforeAutospacing="1" w:after="100" w:afterAutospacing="1"/>
    </w:pPr>
  </w:style>
  <w:style w:type="paragraph" w:styleId="Seznam">
    <w:name w:val="List"/>
    <w:basedOn w:val="Normln"/>
    <w:rsid w:val="005253BC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Fišera Ladislav GEO</dc:creator>
  <cp:keywords/>
  <dc:description/>
  <cp:lastModifiedBy>Fišera Ladislav GEO</cp:lastModifiedBy>
  <cp:revision>2</cp:revision>
  <dcterms:created xsi:type="dcterms:W3CDTF">2022-11-11T07:55:00Z</dcterms:created>
  <dcterms:modified xsi:type="dcterms:W3CDTF">2022-11-11T07:59:00Z</dcterms:modified>
</cp:coreProperties>
</file>