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36" w:rsidRPr="00376F0E" w:rsidRDefault="00B97036" w:rsidP="000C10DB">
      <w:pPr>
        <w:pStyle w:val="Nadpis1"/>
        <w:ind w:right="-284"/>
        <w:jc w:val="center"/>
        <w:rPr>
          <w:rFonts w:ascii="Arial" w:hAnsi="Arial" w:cs="Arial"/>
          <w:sz w:val="22"/>
          <w:szCs w:val="22"/>
        </w:rPr>
      </w:pPr>
    </w:p>
    <w:p w:rsidR="00042DFD" w:rsidRDefault="00042DFD" w:rsidP="00042DFD">
      <w:pPr>
        <w:jc w:val="center"/>
        <w:rPr>
          <w:b/>
          <w:sz w:val="28"/>
          <w:szCs w:val="28"/>
        </w:rPr>
      </w:pPr>
      <w:r w:rsidRPr="00F778F5">
        <w:rPr>
          <w:b/>
          <w:sz w:val="28"/>
          <w:szCs w:val="28"/>
        </w:rPr>
        <w:t>Kupní smlouva</w:t>
      </w:r>
      <w:r>
        <w:rPr>
          <w:b/>
          <w:sz w:val="28"/>
          <w:szCs w:val="28"/>
        </w:rPr>
        <w:t xml:space="preserve"> č. CTU/20</w:t>
      </w:r>
      <w:r w:rsidR="0085077F">
        <w:rPr>
          <w:b/>
          <w:sz w:val="28"/>
          <w:szCs w:val="28"/>
        </w:rPr>
        <w:t>2</w:t>
      </w:r>
      <w:r w:rsidR="009571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_0</w:t>
      </w:r>
      <w:r w:rsidR="00035278">
        <w:rPr>
          <w:b/>
          <w:sz w:val="28"/>
          <w:szCs w:val="28"/>
        </w:rPr>
        <w:t>76</w:t>
      </w:r>
    </w:p>
    <w:p w:rsidR="000C10DB" w:rsidRDefault="000C10DB" w:rsidP="000C10DB">
      <w:pPr>
        <w:pStyle w:val="Nadpis1"/>
        <w:ind w:right="-284"/>
        <w:jc w:val="center"/>
      </w:pPr>
      <w:r>
        <w:rPr>
          <w:rFonts w:ascii="Arial" w:hAnsi="Arial" w:cs="Arial"/>
          <w:szCs w:val="32"/>
        </w:rPr>
        <w:t xml:space="preserve">  </w:t>
      </w:r>
    </w:p>
    <w:p w:rsidR="000C10DB" w:rsidRDefault="000C10DB" w:rsidP="000C10DB"/>
    <w:p w:rsidR="000C10DB" w:rsidRDefault="000C10DB" w:rsidP="000C10DB">
      <w:pPr>
        <w:jc w:val="center"/>
        <w:rPr>
          <w:b/>
        </w:rPr>
      </w:pPr>
      <w:r>
        <w:rPr>
          <w:b/>
        </w:rPr>
        <w:t>uzavřená v souladu s § 2079 a násl. zákona č. 89/2012 Sb., občanský zákoník, ve znění pozdějších předpisů</w:t>
      </w:r>
    </w:p>
    <w:p w:rsidR="000C10DB" w:rsidRDefault="000C10DB" w:rsidP="000C10DB">
      <w:pPr>
        <w:ind w:right="-284"/>
        <w:jc w:val="center"/>
        <w:rPr>
          <w:bCs/>
          <w:szCs w:val="22"/>
        </w:rPr>
      </w:pPr>
    </w:p>
    <w:p w:rsidR="000C10DB" w:rsidRDefault="000C10DB" w:rsidP="000C10DB">
      <w:pPr>
        <w:pStyle w:val="Nadpis2"/>
        <w:numPr>
          <w:ilvl w:val="0"/>
          <w:numId w:val="0"/>
        </w:numPr>
        <w:ind w:right="-284"/>
        <w:jc w:val="both"/>
        <w:rPr>
          <w:rFonts w:ascii="Arial" w:hAnsi="Arial" w:cs="Arial"/>
          <w:sz w:val="20"/>
          <w:szCs w:val="22"/>
        </w:rPr>
      </w:pPr>
    </w:p>
    <w:p w:rsidR="000C10DB" w:rsidRDefault="000C10DB" w:rsidP="000C10DB"/>
    <w:p w:rsidR="000C10DB" w:rsidRDefault="000C10DB" w:rsidP="000C10DB"/>
    <w:p w:rsidR="000C10DB" w:rsidRDefault="000C10DB" w:rsidP="000C10DB">
      <w:pPr>
        <w:pStyle w:val="Nadpis2"/>
        <w:numPr>
          <w:ilvl w:val="0"/>
          <w:numId w:val="0"/>
        </w:numPr>
        <w:ind w:right="-284"/>
        <w:jc w:val="both"/>
        <w:rPr>
          <w:lang w:eastAsia="cs-CZ"/>
        </w:rPr>
      </w:pPr>
      <w:r>
        <w:rPr>
          <w:rFonts w:ascii="Arial" w:hAnsi="Arial" w:cs="Arial"/>
          <w:b w:val="0"/>
          <w:sz w:val="20"/>
          <w:szCs w:val="22"/>
        </w:rPr>
        <w:t>Smluvní strany</w:t>
      </w:r>
    </w:p>
    <w:p w:rsidR="000C10DB" w:rsidRDefault="000C10DB" w:rsidP="000C10DB">
      <w:pPr>
        <w:ind w:right="-284"/>
        <w:jc w:val="both"/>
        <w:rPr>
          <w:lang w:eastAsia="cs-CZ"/>
        </w:rPr>
      </w:pPr>
    </w:p>
    <w:p w:rsidR="000C10DB" w:rsidRPr="000C10DB" w:rsidRDefault="000C10DB" w:rsidP="000C10DB">
      <w:pPr>
        <w:ind w:right="-284"/>
        <w:jc w:val="both"/>
        <w:rPr>
          <w:b/>
          <w:bCs/>
        </w:rPr>
      </w:pPr>
      <w:r w:rsidRPr="000C10DB">
        <w:rPr>
          <w:b/>
          <w:lang w:eastAsia="cs-CZ"/>
        </w:rPr>
        <w:t>ČESKÁ REPUBLIKA – ČESKÝ TELEKOMUNIKAČNÍ ÚŘAD</w:t>
      </w:r>
    </w:p>
    <w:p w:rsidR="000C10DB" w:rsidRDefault="000C10DB" w:rsidP="000C10DB">
      <w:pPr>
        <w:ind w:right="-284"/>
        <w:jc w:val="both"/>
        <w:rPr>
          <w:bCs/>
        </w:rPr>
      </w:pPr>
      <w:r>
        <w:rPr>
          <w:bCs/>
        </w:rPr>
        <w:t>Se sídlem: Sokolovská 219, Praha 9</w:t>
      </w:r>
    </w:p>
    <w:p w:rsidR="000C10DB" w:rsidRDefault="000C10DB" w:rsidP="000C10DB">
      <w:pPr>
        <w:ind w:right="-284"/>
        <w:jc w:val="both"/>
        <w:rPr>
          <w:bCs/>
        </w:rPr>
      </w:pPr>
      <w:r>
        <w:rPr>
          <w:bCs/>
        </w:rPr>
        <w:t>IČ: 70106975</w:t>
      </w:r>
    </w:p>
    <w:p w:rsidR="000C10DB" w:rsidRDefault="000C10DB" w:rsidP="000C10DB">
      <w:pPr>
        <w:ind w:right="-284"/>
        <w:jc w:val="both"/>
      </w:pPr>
      <w:r>
        <w:rPr>
          <w:bCs/>
        </w:rPr>
        <w:t>DIČ: CZ70106975</w:t>
      </w:r>
    </w:p>
    <w:p w:rsidR="000C10DB" w:rsidRDefault="000B38AC" w:rsidP="000C10DB">
      <w:pPr>
        <w:ind w:right="-284"/>
        <w:jc w:val="both"/>
      </w:pPr>
      <w:r w:rsidRPr="000B38AC">
        <w:t xml:space="preserve">Zastoupený: </w:t>
      </w:r>
      <w:proofErr w:type="spellStart"/>
      <w:r w:rsidR="00135DB3">
        <w:t>xxxxx</w:t>
      </w:r>
      <w:proofErr w:type="spellEnd"/>
    </w:p>
    <w:p w:rsidR="00EA2951" w:rsidRPr="000B38AC" w:rsidRDefault="00EA2951" w:rsidP="000C10DB">
      <w:pPr>
        <w:ind w:right="-284"/>
        <w:jc w:val="both"/>
      </w:pPr>
    </w:p>
    <w:p w:rsidR="000B38AC" w:rsidRDefault="000B38AC" w:rsidP="000C10DB">
      <w:pPr>
        <w:ind w:right="-284"/>
        <w:jc w:val="both"/>
      </w:pPr>
    </w:p>
    <w:p w:rsidR="000C10DB" w:rsidRPr="000B38AC" w:rsidRDefault="000C10DB" w:rsidP="000C10DB">
      <w:pPr>
        <w:ind w:right="-284"/>
        <w:jc w:val="both"/>
      </w:pPr>
      <w:r w:rsidRPr="000B38AC">
        <w:t>dále jen „kupující“</w:t>
      </w:r>
    </w:p>
    <w:p w:rsidR="000C10DB" w:rsidRDefault="000C10DB" w:rsidP="000C10DB">
      <w:pPr>
        <w:ind w:right="-284"/>
        <w:jc w:val="both"/>
        <w:rPr>
          <w:sz w:val="22"/>
          <w:szCs w:val="22"/>
        </w:rPr>
      </w:pPr>
    </w:p>
    <w:p w:rsidR="000C10DB" w:rsidRDefault="000C10DB" w:rsidP="000C10DB">
      <w:pPr>
        <w:ind w:right="-284"/>
        <w:jc w:val="both"/>
        <w:rPr>
          <w:szCs w:val="22"/>
        </w:rPr>
      </w:pPr>
      <w:r>
        <w:rPr>
          <w:szCs w:val="22"/>
        </w:rPr>
        <w:t>a</w:t>
      </w:r>
    </w:p>
    <w:p w:rsidR="000C10DB" w:rsidRDefault="000C10DB" w:rsidP="000C10DB">
      <w:pPr>
        <w:ind w:right="-284"/>
        <w:jc w:val="both"/>
        <w:rPr>
          <w:szCs w:val="22"/>
        </w:rPr>
      </w:pPr>
    </w:p>
    <w:p w:rsidR="004C3613" w:rsidRPr="004C3613" w:rsidRDefault="004C3613" w:rsidP="000C10DB">
      <w:pPr>
        <w:ind w:right="-284"/>
        <w:jc w:val="both"/>
        <w:rPr>
          <w:rFonts w:eastAsia="Arial"/>
          <w:b/>
          <w:bCs/>
          <w:szCs w:val="22"/>
        </w:rPr>
      </w:pPr>
      <w:r w:rsidRPr="004C3613">
        <w:rPr>
          <w:rFonts w:eastAsia="Arial"/>
          <w:b/>
          <w:bCs/>
          <w:szCs w:val="22"/>
        </w:rPr>
        <w:t>B-</w:t>
      </w:r>
      <w:proofErr w:type="spellStart"/>
      <w:r w:rsidRPr="004C3613">
        <w:rPr>
          <w:rFonts w:eastAsia="Arial"/>
          <w:b/>
          <w:bCs/>
          <w:szCs w:val="22"/>
        </w:rPr>
        <w:t>Credit</w:t>
      </w:r>
      <w:proofErr w:type="spellEnd"/>
      <w:r w:rsidRPr="004C3613">
        <w:rPr>
          <w:rFonts w:eastAsia="Arial"/>
          <w:b/>
          <w:bCs/>
          <w:szCs w:val="22"/>
        </w:rPr>
        <w:t xml:space="preserve"> s. r. o.</w:t>
      </w:r>
    </w:p>
    <w:p w:rsidR="000C10DB" w:rsidRDefault="000C10DB" w:rsidP="000C10DB">
      <w:pPr>
        <w:ind w:right="-284"/>
        <w:jc w:val="both"/>
        <w:rPr>
          <w:szCs w:val="22"/>
        </w:rPr>
      </w:pPr>
      <w:r>
        <w:rPr>
          <w:szCs w:val="22"/>
        </w:rPr>
        <w:t>se sídlem</w:t>
      </w:r>
      <w:r w:rsidR="004C3613">
        <w:rPr>
          <w:szCs w:val="22"/>
        </w:rPr>
        <w:t xml:space="preserve">: </w:t>
      </w:r>
      <w:proofErr w:type="spellStart"/>
      <w:r w:rsidR="004C3613">
        <w:rPr>
          <w:szCs w:val="22"/>
        </w:rPr>
        <w:t>Jarošovská</w:t>
      </w:r>
      <w:proofErr w:type="spellEnd"/>
      <w:r w:rsidR="004C3613">
        <w:rPr>
          <w:szCs w:val="22"/>
        </w:rPr>
        <w:t xml:space="preserve"> 1278/II, 377 01 Jindřichův Hradec</w:t>
      </w:r>
    </w:p>
    <w:p w:rsidR="000C10DB" w:rsidRDefault="000C10DB" w:rsidP="000C10DB">
      <w:pPr>
        <w:ind w:right="-284"/>
        <w:jc w:val="both"/>
        <w:rPr>
          <w:szCs w:val="22"/>
        </w:rPr>
      </w:pPr>
      <w:proofErr w:type="gramStart"/>
      <w:r>
        <w:rPr>
          <w:szCs w:val="22"/>
        </w:rPr>
        <w:t xml:space="preserve">IČ:  </w:t>
      </w:r>
      <w:r w:rsidR="004C3613">
        <w:rPr>
          <w:szCs w:val="22"/>
        </w:rPr>
        <w:t>60066091</w:t>
      </w:r>
      <w:proofErr w:type="gramEnd"/>
    </w:p>
    <w:p w:rsidR="000C10DB" w:rsidRDefault="000C10DB" w:rsidP="000C10DB">
      <w:pPr>
        <w:ind w:right="-284"/>
        <w:jc w:val="both"/>
        <w:rPr>
          <w:szCs w:val="22"/>
        </w:rPr>
      </w:pPr>
      <w:proofErr w:type="gramStart"/>
      <w:r>
        <w:rPr>
          <w:szCs w:val="22"/>
        </w:rPr>
        <w:t xml:space="preserve">DIČ:  </w:t>
      </w:r>
      <w:r w:rsidR="004C3613">
        <w:rPr>
          <w:szCs w:val="22"/>
        </w:rPr>
        <w:t>CZ</w:t>
      </w:r>
      <w:proofErr w:type="gramEnd"/>
      <w:r w:rsidR="004C3613">
        <w:rPr>
          <w:szCs w:val="22"/>
        </w:rPr>
        <w:t>60066091</w:t>
      </w:r>
    </w:p>
    <w:p w:rsidR="000C10DB" w:rsidRDefault="004C3613" w:rsidP="000C10DB">
      <w:pPr>
        <w:ind w:right="-284"/>
        <w:jc w:val="both"/>
        <w:rPr>
          <w:szCs w:val="22"/>
        </w:rPr>
      </w:pPr>
      <w:r>
        <w:rPr>
          <w:szCs w:val="22"/>
        </w:rPr>
        <w:t>Z</w:t>
      </w:r>
      <w:r w:rsidR="000C10DB">
        <w:rPr>
          <w:szCs w:val="22"/>
        </w:rPr>
        <w:t>astoupená</w:t>
      </w:r>
      <w:r>
        <w:rPr>
          <w:szCs w:val="22"/>
        </w:rPr>
        <w:t xml:space="preserve"> </w:t>
      </w:r>
      <w:r w:rsidR="002D7DBD">
        <w:rPr>
          <w:szCs w:val="22"/>
        </w:rPr>
        <w:t>xxxxx</w:t>
      </w:r>
      <w:bookmarkStart w:id="0" w:name="_GoBack"/>
      <w:bookmarkEnd w:id="0"/>
    </w:p>
    <w:p w:rsidR="000C10DB" w:rsidRDefault="000C10DB" w:rsidP="000C10DB">
      <w:pPr>
        <w:ind w:right="-284"/>
        <w:jc w:val="both"/>
        <w:rPr>
          <w:szCs w:val="22"/>
        </w:rPr>
      </w:pPr>
      <w:r>
        <w:rPr>
          <w:szCs w:val="22"/>
        </w:rPr>
        <w:t>Zapsaný v</w:t>
      </w:r>
      <w:r w:rsidR="004C3613">
        <w:rPr>
          <w:szCs w:val="22"/>
        </w:rPr>
        <w:t> OR u Krajského soudu v Českých Budějovicích, oddíl C, vložka 3409</w:t>
      </w:r>
    </w:p>
    <w:p w:rsidR="000C10DB" w:rsidRDefault="000C10DB" w:rsidP="000C10DB">
      <w:pPr>
        <w:ind w:right="-284"/>
        <w:jc w:val="both"/>
        <w:rPr>
          <w:szCs w:val="22"/>
        </w:rPr>
      </w:pPr>
    </w:p>
    <w:p w:rsidR="000C10DB" w:rsidRDefault="000C10DB" w:rsidP="000C10DB">
      <w:pPr>
        <w:ind w:right="-284"/>
        <w:jc w:val="both"/>
        <w:rPr>
          <w:b/>
          <w:szCs w:val="22"/>
        </w:rPr>
      </w:pPr>
      <w:r>
        <w:rPr>
          <w:szCs w:val="22"/>
        </w:rPr>
        <w:t xml:space="preserve">dále jen „prodávající“ </w:t>
      </w:r>
    </w:p>
    <w:p w:rsidR="000C10DB" w:rsidRDefault="000C10DB" w:rsidP="000C10DB">
      <w:pPr>
        <w:ind w:right="-284"/>
        <w:jc w:val="both"/>
        <w:rPr>
          <w:b/>
          <w:szCs w:val="22"/>
        </w:rPr>
      </w:pPr>
    </w:p>
    <w:p w:rsidR="000C10DB" w:rsidRDefault="000C10DB" w:rsidP="000C10DB">
      <w:pPr>
        <w:ind w:right="-284"/>
        <w:jc w:val="both"/>
        <w:rPr>
          <w:szCs w:val="22"/>
        </w:rPr>
      </w:pPr>
      <w:r>
        <w:rPr>
          <w:szCs w:val="22"/>
        </w:rPr>
        <w:t>uzavřely níže uvedeného dne, měsíce a roku následující smlouvu:</w:t>
      </w:r>
    </w:p>
    <w:p w:rsidR="000C10DB" w:rsidRDefault="000C10DB" w:rsidP="000C10DB">
      <w:pPr>
        <w:ind w:right="-284"/>
        <w:jc w:val="both"/>
        <w:rPr>
          <w:szCs w:val="22"/>
        </w:rPr>
      </w:pPr>
    </w:p>
    <w:p w:rsidR="000C10DB" w:rsidRDefault="000C10DB" w:rsidP="000C10DB">
      <w:pPr>
        <w:ind w:right="-284"/>
        <w:jc w:val="both"/>
        <w:rPr>
          <w:b/>
          <w:sz w:val="22"/>
          <w:szCs w:val="22"/>
        </w:rPr>
      </w:pPr>
    </w:p>
    <w:p w:rsidR="000B38AC" w:rsidRPr="0043221B" w:rsidRDefault="0006799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I.</w:t>
      </w:r>
    </w:p>
    <w:p w:rsidR="0006799C" w:rsidRPr="0043221B" w:rsidRDefault="0006799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Předmět smlouvy</w:t>
      </w:r>
    </w:p>
    <w:p w:rsidR="0006799C" w:rsidRDefault="0006799C" w:rsidP="0043221B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Předmětem plnění této smlouvy je dodání </w:t>
      </w:r>
      <w:r w:rsidR="005F41D8">
        <w:t xml:space="preserve">kancelářského </w:t>
      </w:r>
      <w:r>
        <w:t>nábytku prodávajícím kupujícímu včetně jeho montáže v rozsahu a množství podle specifikac</w:t>
      </w:r>
      <w:r w:rsidR="004F2E8F">
        <w:t>í</w:t>
      </w:r>
      <w:r>
        <w:t xml:space="preserve"> v přílo</w:t>
      </w:r>
      <w:r w:rsidR="004F2E8F">
        <w:t>hách</w:t>
      </w:r>
      <w:r>
        <w:t xml:space="preserve"> č. 1</w:t>
      </w:r>
      <w:r w:rsidR="004F2E8F">
        <w:t xml:space="preserve"> </w:t>
      </w:r>
      <w:r>
        <w:t>smlouvy.</w:t>
      </w:r>
    </w:p>
    <w:p w:rsidR="00E14566" w:rsidRDefault="00E14566" w:rsidP="0043221B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Prodávající se zavazuje dodat kupujícímu </w:t>
      </w:r>
      <w:r w:rsidR="00653054">
        <w:t>k</w:t>
      </w:r>
      <w:r w:rsidR="009213D3">
        <w:t>ancelářský</w:t>
      </w:r>
      <w:r>
        <w:t xml:space="preserve"> nábytek nový, bez vad, vyhovující platným právním předpisům a normám ČN (EN), způsobil</w:t>
      </w:r>
      <w:r w:rsidR="00641129">
        <w:t>ý</w:t>
      </w:r>
      <w:r>
        <w:t xml:space="preserve"> k plnění účelu vybavení administrativního pracoviště a v jakosti odpovídající obvyklému či předpokládanému účelu použi</w:t>
      </w:r>
      <w:r w:rsidR="00641129">
        <w:t>tí</w:t>
      </w:r>
      <w:r>
        <w:t xml:space="preserve"> </w:t>
      </w:r>
      <w:r w:rsidR="00641129">
        <w:t xml:space="preserve">jako </w:t>
      </w:r>
      <w:r>
        <w:t>kancelářského nábytku u kupujícího.</w:t>
      </w:r>
    </w:p>
    <w:p w:rsidR="0006799C" w:rsidRDefault="0006799C" w:rsidP="0043221B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Kupující se zavazuje řádně a včas dodaný a smontovaný </w:t>
      </w:r>
      <w:r w:rsidR="00653054">
        <w:t>k</w:t>
      </w:r>
      <w:r w:rsidR="0085077F">
        <w:t>ancelářský</w:t>
      </w:r>
      <w:r>
        <w:t xml:space="preserve"> nábytek převzít a zaplatit prodávajícímu kupní cenu podle článku IV. této smlouvy.</w:t>
      </w:r>
    </w:p>
    <w:p w:rsidR="0043221B" w:rsidRDefault="0043221B" w:rsidP="0043221B">
      <w:pPr>
        <w:pStyle w:val="Odstavecseseznamem"/>
        <w:spacing w:before="120" w:after="120"/>
        <w:ind w:left="714"/>
        <w:contextualSpacing w:val="0"/>
        <w:jc w:val="both"/>
      </w:pPr>
    </w:p>
    <w:p w:rsidR="0006799C" w:rsidRPr="009D0A07" w:rsidRDefault="0006799C" w:rsidP="0043221B">
      <w:pPr>
        <w:jc w:val="center"/>
        <w:rPr>
          <w:b/>
        </w:rPr>
      </w:pPr>
      <w:r w:rsidRPr="009D0A07">
        <w:rPr>
          <w:b/>
        </w:rPr>
        <w:t>II.</w:t>
      </w:r>
    </w:p>
    <w:p w:rsidR="0006799C" w:rsidRPr="009D0A07" w:rsidRDefault="0006799C" w:rsidP="0043221B">
      <w:pPr>
        <w:jc w:val="center"/>
        <w:rPr>
          <w:b/>
        </w:rPr>
      </w:pPr>
      <w:r w:rsidRPr="009D0A07">
        <w:rPr>
          <w:b/>
        </w:rPr>
        <w:t>Doba plnění</w:t>
      </w:r>
    </w:p>
    <w:p w:rsidR="0006799C" w:rsidRPr="00C70433" w:rsidRDefault="0006799C" w:rsidP="0043221B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9D0A07">
        <w:t xml:space="preserve">Termín splnění předmětu této smlouvy je nejpozději do </w:t>
      </w:r>
      <w:r w:rsidR="0085077F">
        <w:t>1</w:t>
      </w:r>
      <w:r w:rsidR="00C70433">
        <w:t>5</w:t>
      </w:r>
      <w:r w:rsidR="006B7AAA" w:rsidRPr="009D0A07">
        <w:t xml:space="preserve"> </w:t>
      </w:r>
      <w:r w:rsidR="00E86E4F" w:rsidRPr="009D0A07">
        <w:t xml:space="preserve">dnů </w:t>
      </w:r>
      <w:r w:rsidRPr="009D0A07">
        <w:t xml:space="preserve">od podpisu této smlouvy oběma </w:t>
      </w:r>
      <w:r w:rsidRPr="00C70433">
        <w:t>smluvním</w:t>
      </w:r>
      <w:r w:rsidR="00EA2951" w:rsidRPr="00C70433">
        <w:t>i stranami.</w:t>
      </w:r>
      <w:r w:rsidR="009D0A07" w:rsidRPr="00C70433">
        <w:t xml:space="preserve"> </w:t>
      </w:r>
    </w:p>
    <w:p w:rsidR="009D0A07" w:rsidRPr="00C70433" w:rsidRDefault="00C70433" w:rsidP="009D0A07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C70433">
        <w:t>P</w:t>
      </w:r>
      <w:r w:rsidR="009D0A07" w:rsidRPr="00C70433">
        <w:t>lnění podle této smlouvy bud</w:t>
      </w:r>
      <w:r w:rsidRPr="00C70433">
        <w:t>e</w:t>
      </w:r>
      <w:r w:rsidR="009D0A07" w:rsidRPr="00C70433">
        <w:t xml:space="preserve"> zahájen</w:t>
      </w:r>
      <w:r w:rsidRPr="00C70433">
        <w:t>o</w:t>
      </w:r>
      <w:r w:rsidR="009D0A07" w:rsidRPr="00C70433">
        <w:t xml:space="preserve"> na základě výzvy objednatele k zahájení plnění. Výzva bude obsahovat datum zahájení plnění a bude zaslána nejpozději </w:t>
      </w:r>
      <w:r w:rsidRPr="00C70433">
        <w:t>5</w:t>
      </w:r>
      <w:r w:rsidR="009D0A07" w:rsidRPr="00C70433">
        <w:t xml:space="preserve"> pracovních dnů před datem zahájení plnění na e-mail dodavatele uvedený v článku III. odst. 3. Doba plnění j</w:t>
      </w:r>
      <w:r w:rsidRPr="00C70433">
        <w:t>e</w:t>
      </w:r>
      <w:r w:rsidR="009D0A07" w:rsidRPr="00C70433">
        <w:t xml:space="preserve"> </w:t>
      </w:r>
      <w:r>
        <w:br/>
      </w:r>
      <w:r w:rsidRPr="00C70433">
        <w:t>1</w:t>
      </w:r>
      <w:r w:rsidR="009D0A07" w:rsidRPr="00C70433">
        <w:t xml:space="preserve"> pracovní d</w:t>
      </w:r>
      <w:r w:rsidRPr="00C70433">
        <w:t>e</w:t>
      </w:r>
      <w:r w:rsidR="009D0A07" w:rsidRPr="00C70433">
        <w:t>n.</w:t>
      </w:r>
    </w:p>
    <w:p w:rsidR="00EA2951" w:rsidRPr="009D0A07" w:rsidRDefault="00EA2951" w:rsidP="0043221B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9D0A07">
        <w:t xml:space="preserve">Splněním předmětu této smlouvy se rozumí den protokolárního předání a převzetí řádně a včas dodaného </w:t>
      </w:r>
      <w:r w:rsidR="00653054" w:rsidRPr="009D0A07">
        <w:t>k</w:t>
      </w:r>
      <w:r w:rsidR="009213D3" w:rsidRPr="009D0A07">
        <w:t>ancelářského</w:t>
      </w:r>
      <w:r w:rsidR="00653054" w:rsidRPr="009D0A07">
        <w:t xml:space="preserve"> </w:t>
      </w:r>
      <w:r w:rsidRPr="009D0A07">
        <w:t>nábytku včetně řádného a včasného provedení jeho montáže.</w:t>
      </w:r>
    </w:p>
    <w:p w:rsidR="0006799C" w:rsidRDefault="0006799C" w:rsidP="0043221B">
      <w:pPr>
        <w:pStyle w:val="Odstavecseseznamem"/>
        <w:spacing w:before="120" w:after="120"/>
      </w:pPr>
    </w:p>
    <w:p w:rsidR="00AF294B" w:rsidRDefault="00AF294B" w:rsidP="0043221B">
      <w:pPr>
        <w:pStyle w:val="Odstavecseseznamem"/>
        <w:spacing w:before="120" w:after="120"/>
      </w:pPr>
    </w:p>
    <w:p w:rsidR="00AF294B" w:rsidRDefault="00AF294B" w:rsidP="0043221B">
      <w:pPr>
        <w:pStyle w:val="Odstavecseseznamem"/>
        <w:spacing w:before="120" w:after="120"/>
      </w:pPr>
    </w:p>
    <w:p w:rsidR="0006799C" w:rsidRDefault="0006799C" w:rsidP="0043221B">
      <w:pPr>
        <w:spacing w:before="120" w:after="120"/>
      </w:pPr>
    </w:p>
    <w:p w:rsidR="00EA2951" w:rsidRPr="0043221B" w:rsidRDefault="00EA2951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III.</w:t>
      </w:r>
    </w:p>
    <w:p w:rsidR="00EA2951" w:rsidRPr="0043221B" w:rsidRDefault="00EA2951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Místo plnění</w:t>
      </w:r>
      <w:r w:rsidR="00376F0E">
        <w:rPr>
          <w:b/>
          <w:sz w:val="22"/>
          <w:szCs w:val="22"/>
        </w:rPr>
        <w:t xml:space="preserve"> a kontaktní osoby</w:t>
      </w:r>
    </w:p>
    <w:p w:rsidR="004F2E8F" w:rsidRDefault="00EA2951" w:rsidP="00370053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</w:pPr>
      <w:r>
        <w:t xml:space="preserve">Místem plnění pro dodání a montáž </w:t>
      </w:r>
      <w:r w:rsidR="005F41D8">
        <w:t xml:space="preserve">kancelářského </w:t>
      </w:r>
      <w:r>
        <w:t>nábytku jsou určené prostory v</w:t>
      </w:r>
      <w:r w:rsidR="009571E8">
        <w:t> </w:t>
      </w:r>
      <w:r>
        <w:t>budov</w:t>
      </w:r>
      <w:r w:rsidR="009571E8">
        <w:t xml:space="preserve">ě </w:t>
      </w:r>
      <w:r>
        <w:t>na adres</w:t>
      </w:r>
      <w:r w:rsidR="009571E8">
        <w:t>e</w:t>
      </w:r>
      <w:r w:rsidR="009213D3">
        <w:t>:</w:t>
      </w:r>
      <w:r w:rsidR="009571E8">
        <w:t xml:space="preserve"> </w:t>
      </w:r>
      <w:r w:rsidR="009571E8" w:rsidRPr="00A67C66">
        <w:t>Ústí nad Labem, Mírové náměstí 3097/37</w:t>
      </w:r>
      <w:r w:rsidR="009571E8">
        <w:t>.</w:t>
      </w:r>
    </w:p>
    <w:p w:rsidR="00A67C66" w:rsidRDefault="00A67C66" w:rsidP="00A67C66">
      <w:pPr>
        <w:spacing w:before="120" w:after="120"/>
        <w:ind w:left="720"/>
        <w:jc w:val="both"/>
      </w:pPr>
      <w:r>
        <w:t xml:space="preserve">Specifika </w:t>
      </w:r>
      <w:r w:rsidR="009D0A07">
        <w:t xml:space="preserve">jednotlivých </w:t>
      </w:r>
      <w:r>
        <w:t>pracovišť pro montáž, dopravu aj. jsou uvedena v přílo</w:t>
      </w:r>
      <w:r w:rsidR="00FD4339">
        <w:t>ze</w:t>
      </w:r>
      <w:r>
        <w:t xml:space="preserve"> této smlouvy.</w:t>
      </w:r>
    </w:p>
    <w:p w:rsidR="00A67C66" w:rsidRDefault="00376F0E" w:rsidP="00A67C66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</w:pPr>
      <w:r>
        <w:t xml:space="preserve">Kontaktní osobou kupujícího pro převzetí předmětu plnění je </w:t>
      </w:r>
      <w:proofErr w:type="spellStart"/>
      <w:r w:rsidR="00135DB3">
        <w:t>xxxxx</w:t>
      </w:r>
      <w:proofErr w:type="spellEnd"/>
      <w:r>
        <w:t>, e-mail:</w:t>
      </w:r>
      <w:r w:rsidR="00135DB3">
        <w:t xml:space="preserve"> </w:t>
      </w:r>
      <w:proofErr w:type="spellStart"/>
      <w:r w:rsidR="00135DB3">
        <w:t>xxxxx</w:t>
      </w:r>
      <w:proofErr w:type="spellEnd"/>
      <w:r w:rsidR="0075483F">
        <w:t>, tel.:</w:t>
      </w:r>
      <w:r w:rsidR="00135DB3">
        <w:t xml:space="preserve"> </w:t>
      </w:r>
      <w:proofErr w:type="spellStart"/>
      <w:r w:rsidR="00135DB3">
        <w:t>xxxxx</w:t>
      </w:r>
      <w:proofErr w:type="spellEnd"/>
      <w:r w:rsidR="0075483F">
        <w:t>.</w:t>
      </w:r>
    </w:p>
    <w:p w:rsidR="00A67C66" w:rsidRPr="0075483F" w:rsidRDefault="0075483F" w:rsidP="00BB0A61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</w:pPr>
      <w:r>
        <w:t xml:space="preserve">Kontaktní osobou kupujícího pro montáž a dispozice umístění předmětu plnění je </w:t>
      </w:r>
      <w:proofErr w:type="spellStart"/>
      <w:r w:rsidR="00135DB3">
        <w:t>xxxxx</w:t>
      </w:r>
      <w:proofErr w:type="spellEnd"/>
      <w:r w:rsidR="00135DB3">
        <w:t>,</w:t>
      </w:r>
      <w:r w:rsidRPr="0075483F">
        <w:t xml:space="preserve"> </w:t>
      </w:r>
      <w:r w:rsidRPr="00BB0A61">
        <w:t>e-mail</w:t>
      </w:r>
      <w:r w:rsidRPr="0075483F">
        <w:t>:</w:t>
      </w:r>
      <w:r w:rsidR="00135DB3">
        <w:t xml:space="preserve"> </w:t>
      </w:r>
      <w:proofErr w:type="spellStart"/>
      <w:r w:rsidR="00135DB3">
        <w:t>xxxxxx</w:t>
      </w:r>
      <w:proofErr w:type="spellEnd"/>
      <w:r w:rsidRPr="0075483F">
        <w:t>,</w:t>
      </w:r>
      <w:r>
        <w:t xml:space="preserve"> tel.: </w:t>
      </w:r>
      <w:proofErr w:type="spellStart"/>
      <w:r w:rsidR="00135DB3">
        <w:t>xxxxx</w:t>
      </w:r>
      <w:proofErr w:type="spellEnd"/>
      <w:r w:rsidR="009213D3">
        <w:t>.</w:t>
      </w:r>
      <w:r>
        <w:t> </w:t>
      </w:r>
    </w:p>
    <w:p w:rsidR="00EA2951" w:rsidRDefault="00EA2951" w:rsidP="0043221B">
      <w:pPr>
        <w:spacing w:before="120" w:after="120"/>
      </w:pPr>
    </w:p>
    <w:p w:rsidR="00EA2951" w:rsidRPr="0043221B" w:rsidRDefault="00EA2951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IV.</w:t>
      </w:r>
    </w:p>
    <w:p w:rsidR="00EA2951" w:rsidRPr="0043221B" w:rsidRDefault="00EA2951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Cena</w:t>
      </w:r>
    </w:p>
    <w:p w:rsidR="00EA2951" w:rsidRDefault="00287F4C" w:rsidP="0043221B">
      <w:pPr>
        <w:spacing w:before="120" w:after="120"/>
        <w:ind w:left="284"/>
        <w:jc w:val="both"/>
      </w:pPr>
      <w:r>
        <w:t xml:space="preserve">Celková kupní cena za dodávku a montáž </w:t>
      </w:r>
      <w:r w:rsidR="005F41D8" w:rsidRPr="009213D3">
        <w:t>kancelářského</w:t>
      </w:r>
      <w:r w:rsidR="009213D3" w:rsidRPr="009213D3">
        <w:t xml:space="preserve"> </w:t>
      </w:r>
      <w:r>
        <w:t xml:space="preserve">nábytku ve výši </w:t>
      </w:r>
      <w:r w:rsidR="001C30F3">
        <w:t>72 600</w:t>
      </w:r>
      <w:r>
        <w:t xml:space="preserve"> vč. DPH je stanovena jako nejvýše přípustná</w:t>
      </w:r>
      <w:r w:rsidR="00042DFD">
        <w:t xml:space="preserve">, zahrnující veškeré náklady na dodávku předmětu plnění včetně dopravy, montáže, manipulace </w:t>
      </w:r>
      <w:r>
        <w:t>a záruky za jakost.</w:t>
      </w:r>
    </w:p>
    <w:p w:rsidR="00287F4C" w:rsidRDefault="00287F4C" w:rsidP="0043221B">
      <w:pPr>
        <w:spacing w:before="120" w:after="120"/>
      </w:pPr>
    </w:p>
    <w:p w:rsidR="00287F4C" w:rsidRPr="0043221B" w:rsidRDefault="00287F4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V.</w:t>
      </w:r>
    </w:p>
    <w:p w:rsidR="00287F4C" w:rsidRPr="0043221B" w:rsidRDefault="00287F4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Platební podmínky</w:t>
      </w:r>
    </w:p>
    <w:p w:rsidR="00287F4C" w:rsidRDefault="00287F4C" w:rsidP="0043221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 xml:space="preserve">Kupní cena za dodávku a montáž </w:t>
      </w:r>
      <w:r w:rsidR="00653054">
        <w:t>k</w:t>
      </w:r>
      <w:r w:rsidR="009213D3">
        <w:t>ancelářského</w:t>
      </w:r>
      <w:r w:rsidR="00653054">
        <w:t xml:space="preserve"> </w:t>
      </w:r>
      <w:r>
        <w:t xml:space="preserve">nábytku bude uhrazena na základě vystaveného daňového dokladu – faktury, jejíž přílohou musí být předávací protokol </w:t>
      </w:r>
      <w:r w:rsidRPr="00376F0E">
        <w:t>podepsaný kontaktními osobami obou smluvních stran</w:t>
      </w:r>
      <w:r>
        <w:t>.</w:t>
      </w:r>
    </w:p>
    <w:p w:rsidR="00287F4C" w:rsidRDefault="00287F4C" w:rsidP="0043221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Faktura vystavená prodávajícím musí obsahovat veškeré náležitosti daňového dokladu stanovené právními předpisy a dále číslo této smlouvy.</w:t>
      </w:r>
    </w:p>
    <w:p w:rsidR="00287F4C" w:rsidRDefault="00287F4C" w:rsidP="0043221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Splatnost faktury je stanovena na 15 kalendářních dní ode dne jejího doručení kupujícímu.</w:t>
      </w:r>
    </w:p>
    <w:p w:rsidR="00287F4C" w:rsidRDefault="00287F4C" w:rsidP="0043221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Pokud faktura nebude mít sjednané náležitosti podle této smlouvy, nebo bude-li obsahovat nesprávné údaje, nebo nebude-li k faktuře doložena požadovaná příloha, je kupující oprávněn fakturu vrátit se zdůvodněním prodávajícímu k doplnění nebo novému vystavení.</w:t>
      </w:r>
    </w:p>
    <w:p w:rsidR="0043221B" w:rsidRDefault="0043221B" w:rsidP="0043221B">
      <w:pPr>
        <w:pStyle w:val="Odstavecseseznamem"/>
        <w:spacing w:before="120" w:after="120"/>
        <w:ind w:left="714"/>
        <w:contextualSpacing w:val="0"/>
        <w:jc w:val="both"/>
      </w:pPr>
    </w:p>
    <w:p w:rsidR="00287F4C" w:rsidRPr="0043221B" w:rsidRDefault="00287F4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VI.</w:t>
      </w:r>
    </w:p>
    <w:p w:rsidR="00287F4C" w:rsidRPr="0043221B" w:rsidRDefault="00287F4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Sankce</w:t>
      </w:r>
    </w:p>
    <w:p w:rsidR="00287F4C" w:rsidRDefault="00287F4C" w:rsidP="0043221B">
      <w:pPr>
        <w:pStyle w:val="Odstavecseseznamem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>
        <w:t xml:space="preserve">Pro případ prodlení se splněním předmětu této smlouvy smluvní strany sjednávají slevu z kupní ceny bez DPH ve výši </w:t>
      </w:r>
      <w:r w:rsidR="0085077F">
        <w:t>5</w:t>
      </w:r>
      <w:r>
        <w:t>00</w:t>
      </w:r>
      <w:r w:rsidR="00376F0E">
        <w:t>,-</w:t>
      </w:r>
      <w:r>
        <w:t xml:space="preserve"> Kč za každý i započatý den prodlení.</w:t>
      </w:r>
    </w:p>
    <w:p w:rsidR="00287F4C" w:rsidRDefault="00287F4C" w:rsidP="0043221B">
      <w:pPr>
        <w:pStyle w:val="Odstavecseseznamem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>
        <w:t>V případě prodlení s úhradou peněžitého závazku jsou smluvní strany oprávněny požadovat úrok z prodlení ve výši stanovené nařízením vlády č. 351/2013 Sb.</w:t>
      </w:r>
    </w:p>
    <w:p w:rsidR="0043221B" w:rsidRDefault="0043221B" w:rsidP="0043221B">
      <w:pPr>
        <w:spacing w:before="120" w:after="120"/>
      </w:pPr>
    </w:p>
    <w:p w:rsidR="00287F4C" w:rsidRPr="0043221B" w:rsidRDefault="00287F4C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VII.</w:t>
      </w:r>
    </w:p>
    <w:p w:rsidR="00287F4C" w:rsidRPr="0043221B" w:rsidRDefault="00E14566" w:rsidP="0043221B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Práva a povinnosti smluvních stran</w:t>
      </w:r>
    </w:p>
    <w:p w:rsidR="00D52368" w:rsidRDefault="00D52368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 xml:space="preserve">Vlastnické právo ke smontovanému </w:t>
      </w:r>
      <w:r w:rsidR="005F41D8">
        <w:t xml:space="preserve">kancelářskému </w:t>
      </w:r>
      <w:r>
        <w:t xml:space="preserve">nábytku nabývá kupující podepsáním předávacího protokolu přebírající </w:t>
      </w:r>
      <w:r w:rsidRPr="00376F0E">
        <w:t>kontaktní osobou kupujícího</w:t>
      </w:r>
      <w:r>
        <w:t>.</w:t>
      </w:r>
    </w:p>
    <w:p w:rsidR="00D52368" w:rsidRDefault="00D52368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 xml:space="preserve">Nebezpečí škody na smontovaném </w:t>
      </w:r>
      <w:r w:rsidR="005F41D8">
        <w:t xml:space="preserve">kancelářském </w:t>
      </w:r>
      <w:r>
        <w:t xml:space="preserve">nábytku přechází z prodávajícího na kupujícího podepsáním předávacího protokolu </w:t>
      </w:r>
      <w:r w:rsidRPr="00376F0E">
        <w:t>kontaktními osobami smluvních stran</w:t>
      </w:r>
      <w:r>
        <w:t>.</w:t>
      </w:r>
    </w:p>
    <w:p w:rsidR="00CF3FA1" w:rsidRDefault="00287F4C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 xml:space="preserve">Kupující </w:t>
      </w:r>
      <w:r w:rsidR="00CF3FA1">
        <w:t>umožní prodávajícím</w:t>
      </w:r>
      <w:r w:rsidR="00E14566">
        <w:t>u přístup</w:t>
      </w:r>
      <w:r w:rsidR="00DC5ED8">
        <w:t xml:space="preserve"> </w:t>
      </w:r>
      <w:r w:rsidR="00E14566">
        <w:t xml:space="preserve">na určené místo plnění a zajistí </w:t>
      </w:r>
      <w:r w:rsidR="00CF3FA1">
        <w:t>prodávajícímu přístup ke zdroji elektrické energie a vody.</w:t>
      </w:r>
    </w:p>
    <w:p w:rsidR="00CF3FA1" w:rsidRDefault="00CF3FA1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>Prodávající je povinen při plnění předmětu této smlouvy dodržovat příslušné technické normy (ČSN, ČSN EN, ČSN ISO) stanov</w:t>
      </w:r>
      <w:r w:rsidR="00DA5DDE">
        <w:t>ené touto smlouvou za závazné a obecně závazné právní předpisy, zejména předpisy o bezpečnosti práce a ochraně zdraví při práci, požární ochraně, ekologické předpisy.</w:t>
      </w:r>
    </w:p>
    <w:p w:rsidR="00DA5DDE" w:rsidRDefault="00DA5DDE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>Prodávající je povinen ve všech prostorách místa plnění průběžně odstraňovat odpady a nečistoty vzniklé při plnění předmětu této smlouvy.</w:t>
      </w:r>
    </w:p>
    <w:p w:rsidR="00DA5DDE" w:rsidRDefault="00DA5DDE" w:rsidP="0043221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 xml:space="preserve">Prodávající je povinen řídit se při montáži </w:t>
      </w:r>
      <w:r w:rsidR="00653054">
        <w:t>k</w:t>
      </w:r>
      <w:r w:rsidR="009213D3">
        <w:t>ancelářského</w:t>
      </w:r>
      <w:r w:rsidR="00653054">
        <w:t xml:space="preserve"> </w:t>
      </w:r>
      <w:r>
        <w:t xml:space="preserve">nábytku </w:t>
      </w:r>
      <w:r w:rsidR="00DC5ED8">
        <w:t>pokyny</w:t>
      </w:r>
      <w:r>
        <w:t xml:space="preserve"> kupujícího s tím, že na případnou nevhodnou povahu p</w:t>
      </w:r>
      <w:r w:rsidR="00DC5ED8">
        <w:t>okynu</w:t>
      </w:r>
      <w:r>
        <w:t xml:space="preserve"> je prodávající povinen kupující</w:t>
      </w:r>
      <w:r w:rsidR="00DC5ED8">
        <w:t>ho</w:t>
      </w:r>
      <w:r>
        <w:t xml:space="preserve"> upozornit.</w:t>
      </w:r>
    </w:p>
    <w:p w:rsidR="00370053" w:rsidRDefault="00370053" w:rsidP="00370053">
      <w:pPr>
        <w:jc w:val="center"/>
        <w:rPr>
          <w:b/>
          <w:sz w:val="22"/>
          <w:szCs w:val="22"/>
        </w:rPr>
      </w:pPr>
    </w:p>
    <w:p w:rsidR="00370053" w:rsidRPr="0043221B" w:rsidRDefault="00370053" w:rsidP="00370053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VIII.</w:t>
      </w:r>
    </w:p>
    <w:p w:rsidR="00370053" w:rsidRPr="0043221B" w:rsidRDefault="00370053" w:rsidP="00370053">
      <w:pPr>
        <w:jc w:val="center"/>
        <w:rPr>
          <w:b/>
          <w:sz w:val="22"/>
          <w:szCs w:val="22"/>
        </w:rPr>
      </w:pPr>
      <w:r w:rsidRPr="0043221B">
        <w:rPr>
          <w:b/>
          <w:sz w:val="22"/>
          <w:szCs w:val="22"/>
        </w:rPr>
        <w:t>Technická specifikace předmětu plnění</w:t>
      </w:r>
    </w:p>
    <w:p w:rsidR="00370053" w:rsidRPr="0043221B" w:rsidRDefault="00370053" w:rsidP="00370053">
      <w:pPr>
        <w:pStyle w:val="Odstavecseseznamem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Style w:val="CharStyle7"/>
          <w:shd w:val="clear" w:color="auto" w:fill="auto"/>
        </w:rPr>
      </w:pPr>
      <w:r>
        <w:t xml:space="preserve">Použité materiály </w:t>
      </w:r>
      <w:r w:rsidRPr="00A909F7">
        <w:rPr>
          <w:rStyle w:val="CharStyle7"/>
          <w:color w:val="000000"/>
        </w:rPr>
        <w:t>a výrobky musí splňovat požadavky na bezpečný výrobek ve smyslu zákona č. 102/2001 Sb., v platném znění, o obecné bezpečnosti výrobků a o změně některých zákonů (zákon o obecné bezpečnosti výrobků).</w:t>
      </w:r>
    </w:p>
    <w:p w:rsidR="00370053" w:rsidRPr="0043221B" w:rsidRDefault="00370053" w:rsidP="00370053">
      <w:pPr>
        <w:pStyle w:val="Odstavecseseznamem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rStyle w:val="CharStyle7"/>
          <w:shd w:val="clear" w:color="auto" w:fill="auto"/>
        </w:rPr>
      </w:pPr>
      <w:r>
        <w:rPr>
          <w:rStyle w:val="CharStyle7"/>
          <w:color w:val="000000"/>
        </w:rPr>
        <w:t xml:space="preserve">Veškeré dřevo </w:t>
      </w:r>
      <w:r w:rsidRPr="00A909F7">
        <w:rPr>
          <w:rStyle w:val="CharStyle7"/>
          <w:color w:val="000000"/>
        </w:rPr>
        <w:t>a materiály na bázi dřeva musí pocházet ze zákonně vytěžené suroviny</w:t>
      </w:r>
      <w:r>
        <w:rPr>
          <w:rStyle w:val="CharStyle7"/>
          <w:color w:val="000000"/>
        </w:rPr>
        <w:t>.</w:t>
      </w:r>
    </w:p>
    <w:p w:rsidR="00376F0E" w:rsidRDefault="00376F0E" w:rsidP="00F42F46">
      <w:pPr>
        <w:jc w:val="center"/>
        <w:rPr>
          <w:b/>
          <w:sz w:val="22"/>
          <w:szCs w:val="22"/>
        </w:rPr>
      </w:pPr>
    </w:p>
    <w:p w:rsidR="00DA5DDE" w:rsidRPr="00F42F46" w:rsidRDefault="00370053" w:rsidP="00F42F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DA5DDE" w:rsidRPr="00F42F46">
        <w:rPr>
          <w:b/>
          <w:sz w:val="22"/>
          <w:szCs w:val="22"/>
        </w:rPr>
        <w:t>.</w:t>
      </w:r>
    </w:p>
    <w:p w:rsidR="00DA5DDE" w:rsidRPr="00F42F46" w:rsidRDefault="00DA5DDE" w:rsidP="00F42F46">
      <w:pPr>
        <w:jc w:val="center"/>
        <w:rPr>
          <w:b/>
          <w:sz w:val="22"/>
          <w:szCs w:val="22"/>
        </w:rPr>
      </w:pPr>
      <w:r w:rsidRPr="00F42F46">
        <w:rPr>
          <w:b/>
          <w:sz w:val="22"/>
          <w:szCs w:val="22"/>
        </w:rPr>
        <w:t>Záruka za jakost</w:t>
      </w:r>
    </w:p>
    <w:p w:rsidR="007D00BF" w:rsidRDefault="007D00BF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Vady zjevné při převzetí předmětu plnění je kupující povinen oznámit ihned při přejímce. Případné závady kupující uvede do protokolu o převzetí, v němž prodávající současně navrhne způsob vyřízení reklamace.</w:t>
      </w:r>
    </w:p>
    <w:p w:rsidR="00DA5DDE" w:rsidRDefault="00DA5DDE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 xml:space="preserve">Prodávající poskytuje na předmět plnění této smlouvy záruku za jakost po dobu 24 měsíců od uskutečnění dodávky. Záruční doba počíná běžet ode dne podepsání předávacího </w:t>
      </w:r>
      <w:r w:rsidRPr="00376F0E">
        <w:t>protokolu kontaktními osobami obou smluvních stran</w:t>
      </w:r>
      <w:r>
        <w:t>.</w:t>
      </w:r>
    </w:p>
    <w:p w:rsidR="00D52368" w:rsidRDefault="00D52368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Kupující je povinen u prodávajícího písemně (tj. i elektronicky) uplatnit zjištěné vady bez zbytečného odkladu poté, co je zjistil. Prodávající je povinen kupujícímu doručit písemné vyjádření (tj. i elektronicky) k reklamaci ve smyslu § 2117 občanského zákoníku s odkazem na § 2173 občanského zákoníku v době 5 pracovních dnů po jejím obdržení. Pokud během této doby nebude kupujícímu doručeno písemné vyjádření prodávajícího k reklamované vadě, platí, že prodávající uznává reklamaci v plném rozsahu.</w:t>
      </w:r>
    </w:p>
    <w:p w:rsidR="00DA5DDE" w:rsidRDefault="00DA5DDE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Reklamované vady na předmětu plnění se prodávající zavazuje odstranit bezplatně bez zbytečného odkladu po obdržení reklamace, nejpozději do 15 dnů, pokud nebude dohodnuto jinak.</w:t>
      </w:r>
    </w:p>
    <w:p w:rsidR="00DA5DDE" w:rsidRDefault="00DA5DDE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 xml:space="preserve">Bude-li to z povahy vady a zároveň </w:t>
      </w:r>
      <w:proofErr w:type="gramStart"/>
      <w:r>
        <w:t>s</w:t>
      </w:r>
      <w:proofErr w:type="gramEnd"/>
      <w:r>
        <w:t> estetického hlediska možné, reklamace bude vyřízena odstraněním vady opravou, jinak bude vadný nábytek prodávajícím vyměněn za bezvadný.</w:t>
      </w:r>
    </w:p>
    <w:p w:rsidR="00DA5DDE" w:rsidRDefault="00DA5DDE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Záruční doba se prodlužuje generálně, tj. na kompletní dodávku nábytku o dobu vyřizování reklamace.</w:t>
      </w:r>
    </w:p>
    <w:p w:rsidR="00DA5DDE" w:rsidRDefault="00DA5DDE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Prodávající neodpovídá za vady způsobené neodbornou manipulací kupujícím či třetí osobou.</w:t>
      </w:r>
    </w:p>
    <w:p w:rsidR="00DA5DDE" w:rsidRDefault="00A578A1" w:rsidP="00F42F46">
      <w:pPr>
        <w:pStyle w:val="Odstavecseseznamem"/>
        <w:numPr>
          <w:ilvl w:val="0"/>
          <w:numId w:val="10"/>
        </w:numPr>
        <w:spacing w:before="120" w:after="120"/>
        <w:ind w:left="714" w:hanging="357"/>
        <w:contextualSpacing w:val="0"/>
        <w:jc w:val="both"/>
      </w:pPr>
      <w:r>
        <w:t>V případě, že prodávající nebude schopen či ochoten odstranit reklamované vady</w:t>
      </w:r>
      <w:r w:rsidR="005754F9">
        <w:t>,</w:t>
      </w:r>
      <w:r>
        <w:t xml:space="preserve"> a to ani v přiměřené dodatečné lhůtě poskytnuté kupujícím, je kupující oprávněn nechat odstranit vady jinou odborně způsobilou osobou na náklady prodávajícího, aniž by tím došlo k narušení záruky za jakost.</w:t>
      </w:r>
    </w:p>
    <w:p w:rsidR="00AF294B" w:rsidRDefault="00AF294B" w:rsidP="0043221B">
      <w:pPr>
        <w:spacing w:before="120" w:after="120"/>
      </w:pPr>
    </w:p>
    <w:p w:rsidR="00287F4C" w:rsidRPr="00F42F46" w:rsidRDefault="00433092" w:rsidP="00F42F46">
      <w:pPr>
        <w:jc w:val="center"/>
        <w:rPr>
          <w:b/>
          <w:sz w:val="22"/>
          <w:szCs w:val="22"/>
        </w:rPr>
      </w:pPr>
      <w:r w:rsidRPr="00F42F46">
        <w:rPr>
          <w:b/>
          <w:sz w:val="22"/>
          <w:szCs w:val="22"/>
        </w:rPr>
        <w:t>X</w:t>
      </w:r>
      <w:r w:rsidR="0043221B" w:rsidRPr="00F42F46">
        <w:rPr>
          <w:b/>
          <w:sz w:val="22"/>
          <w:szCs w:val="22"/>
        </w:rPr>
        <w:t>.</w:t>
      </w:r>
    </w:p>
    <w:p w:rsidR="00433092" w:rsidRPr="00F42F46" w:rsidRDefault="00433092" w:rsidP="00F42F46">
      <w:pPr>
        <w:jc w:val="center"/>
        <w:rPr>
          <w:b/>
          <w:sz w:val="22"/>
          <w:szCs w:val="22"/>
        </w:rPr>
      </w:pPr>
      <w:r w:rsidRPr="00F42F46">
        <w:rPr>
          <w:b/>
          <w:sz w:val="22"/>
          <w:szCs w:val="22"/>
        </w:rPr>
        <w:t>Odpovědnost za škody</w:t>
      </w:r>
    </w:p>
    <w:p w:rsidR="00433092" w:rsidRDefault="00433092" w:rsidP="009F25A2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>Prodávající je odpovědný za vzniklou škodu, kterou způsobil kupujícímu nebo třetí osobě porušením zákonné povinnosti, smluvní povinnosti nebo porušením zásad dobrých mravů.</w:t>
      </w:r>
    </w:p>
    <w:p w:rsidR="00433092" w:rsidRDefault="00433092" w:rsidP="009F25A2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>Prodávající se zavazuje, bude-li to možné a účelné, k náhradě škody uvedením do předešlého stavu. Možnost a účelnost náhrady škody uvedením do předešlého stavu posoudí kupující a bez zbytečného odkladu rozhodne o náhradě škody buďto uvedením do předešlého stavu, přičemž současně stanoví způsob uvedení do předešlého stavu nebo o peněžní náhradě škody.</w:t>
      </w:r>
    </w:p>
    <w:p w:rsidR="00433092" w:rsidRDefault="00433092" w:rsidP="0043221B">
      <w:pPr>
        <w:spacing w:before="120" w:after="120"/>
      </w:pPr>
    </w:p>
    <w:p w:rsidR="009D0A07" w:rsidRDefault="009D0A07" w:rsidP="0043221B">
      <w:pPr>
        <w:spacing w:before="120" w:after="120"/>
      </w:pPr>
    </w:p>
    <w:p w:rsidR="009D0A07" w:rsidRDefault="009D0A07" w:rsidP="0043221B">
      <w:pPr>
        <w:spacing w:before="120" w:after="120"/>
      </w:pPr>
    </w:p>
    <w:p w:rsidR="009D0A07" w:rsidRDefault="009D0A07" w:rsidP="0043221B">
      <w:pPr>
        <w:spacing w:before="120" w:after="120"/>
      </w:pPr>
    </w:p>
    <w:p w:rsidR="00E14566" w:rsidRPr="00F42F46" w:rsidRDefault="00376F0E" w:rsidP="00F42F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370053">
        <w:rPr>
          <w:b/>
          <w:sz w:val="22"/>
          <w:szCs w:val="22"/>
        </w:rPr>
        <w:t>I</w:t>
      </w:r>
      <w:r w:rsidR="00E14566" w:rsidRPr="00F42F46">
        <w:rPr>
          <w:b/>
          <w:sz w:val="22"/>
          <w:szCs w:val="22"/>
        </w:rPr>
        <w:t>.</w:t>
      </w:r>
    </w:p>
    <w:p w:rsidR="00E14566" w:rsidRPr="00F42F46" w:rsidRDefault="00376F0E" w:rsidP="00F42F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E14566" w:rsidRPr="00F42F46">
        <w:rPr>
          <w:b/>
          <w:sz w:val="22"/>
          <w:szCs w:val="22"/>
        </w:rPr>
        <w:t xml:space="preserve"> ustanovení</w:t>
      </w:r>
    </w:p>
    <w:p w:rsidR="00E14566" w:rsidRDefault="00E14566" w:rsidP="00F42F4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</w:pPr>
      <w:r>
        <w:t>Otázky v této smlouvě neupravené nebo upravené jen částečně se řídí ustanovením občanského zákoníku, a předpisy souvisejícími, vždy v platném znění.</w:t>
      </w:r>
    </w:p>
    <w:p w:rsidR="00E14566" w:rsidRDefault="00E14566" w:rsidP="00F42F4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</w:pPr>
      <w:r>
        <w:t>Smlouva je vyhotovena ve dvou vyhotoveních, z nichž každá smluvní strana obdrží jedno vyhotovení.</w:t>
      </w:r>
    </w:p>
    <w:p w:rsidR="00E14566" w:rsidRDefault="00E14566" w:rsidP="00F42F4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</w:pPr>
      <w:r>
        <w:lastRenderedPageBreak/>
        <w:t>Smlouva může být doplňována nebo měněna pouze písemnými dodatky, podepsanými oběma smluvními stranami. Písemnou formu musí mít také veškeré jiné dohody smluvních stran souvisejících s touto smlouvou.</w:t>
      </w:r>
    </w:p>
    <w:p w:rsidR="00E14566" w:rsidRDefault="00E14566" w:rsidP="00F42F4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</w:pPr>
      <w:r>
        <w:t xml:space="preserve">Smlouva nabývá platnosti a účinnosti dnem podpisu </w:t>
      </w:r>
      <w:r w:rsidR="00E2254F">
        <w:t>oběma smluvními stranami.</w:t>
      </w:r>
    </w:p>
    <w:p w:rsidR="00E2254F" w:rsidRDefault="00E2254F" w:rsidP="00F42F46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</w:pPr>
      <w:r>
        <w:t>Smluvní strany prohlašují, že si text smlouvy řádně přečetly</w:t>
      </w:r>
      <w:r w:rsidR="005754F9">
        <w:t xml:space="preserve"> a</w:t>
      </w:r>
      <w:r>
        <w:t xml:space="preserve"> souhlasí s jejím obsahem. Smlouva nebyla sepsána v tísni ani pod nátlakem, vyjadřuje svobodnou vůli obou smluvních stran a není jednostranně nevýhodná pro žádnou smluvní stranu. Na důkaz svého souhlasu tuto smlouvu obě smluvní strany potvrzují svými podpisy.</w:t>
      </w:r>
    </w:p>
    <w:p w:rsidR="00E2254F" w:rsidRDefault="00E2254F" w:rsidP="00E2254F"/>
    <w:p w:rsidR="00E2254F" w:rsidRDefault="00E2254F" w:rsidP="00E2254F">
      <w:r>
        <w:t>Nedílnou součástí této smlouvy j</w:t>
      </w:r>
      <w:r w:rsidR="00FD4339">
        <w:t>e</w:t>
      </w:r>
      <w:r>
        <w:t>:</w:t>
      </w:r>
    </w:p>
    <w:p w:rsidR="00E2254F" w:rsidRDefault="00376F0E" w:rsidP="00E2254F">
      <w:r>
        <w:t>Příloh</w:t>
      </w:r>
      <w:r w:rsidR="00FD4339">
        <w:t>a</w:t>
      </w:r>
      <w:r>
        <w:t xml:space="preserve"> –</w:t>
      </w:r>
      <w:r w:rsidR="00E2254F">
        <w:t xml:space="preserve"> </w:t>
      </w:r>
      <w:r>
        <w:t>Podrobn</w:t>
      </w:r>
      <w:r w:rsidR="00A67C66">
        <w:t>é</w:t>
      </w:r>
      <w:r>
        <w:t xml:space="preserve"> s</w:t>
      </w:r>
      <w:r w:rsidR="00E2254F">
        <w:t>pecifikace předmětu plnění</w:t>
      </w:r>
      <w:r w:rsidR="002233F5">
        <w:t xml:space="preserve"> </w:t>
      </w:r>
    </w:p>
    <w:p w:rsidR="00E2254F" w:rsidRDefault="00E2254F" w:rsidP="00E2254F"/>
    <w:p w:rsidR="00AF294B" w:rsidRDefault="00AF294B" w:rsidP="00E2254F"/>
    <w:p w:rsidR="00D03B43" w:rsidRPr="00365B47" w:rsidRDefault="00D03B43" w:rsidP="00D03B43">
      <w:pPr>
        <w:rPr>
          <w:lang w:eastAsia="cs-CZ"/>
        </w:rPr>
      </w:pPr>
      <w:r w:rsidRPr="00365B47">
        <w:rPr>
          <w:lang w:eastAsia="cs-CZ"/>
        </w:rPr>
        <w:t>Kupující:</w:t>
      </w:r>
      <w:r w:rsidRPr="00365B47">
        <w:rPr>
          <w:lang w:eastAsia="cs-CZ"/>
        </w:rPr>
        <w:tab/>
      </w:r>
      <w:r w:rsidRPr="00365B47">
        <w:rPr>
          <w:lang w:eastAsia="cs-CZ"/>
        </w:rPr>
        <w:tab/>
      </w:r>
      <w:r w:rsidRPr="00365B47">
        <w:rPr>
          <w:lang w:eastAsia="cs-CZ"/>
        </w:rPr>
        <w:tab/>
      </w:r>
      <w:r w:rsidRPr="00365B47">
        <w:rPr>
          <w:lang w:eastAsia="cs-CZ"/>
        </w:rPr>
        <w:tab/>
      </w:r>
      <w:r w:rsidRPr="00365B47">
        <w:rPr>
          <w:lang w:eastAsia="cs-CZ"/>
        </w:rPr>
        <w:tab/>
        <w:t xml:space="preserve">       Prodávající: </w:t>
      </w:r>
    </w:p>
    <w:p w:rsidR="00D03B43" w:rsidRPr="00365B47" w:rsidRDefault="00D03B43" w:rsidP="00D03B43">
      <w:pPr>
        <w:rPr>
          <w:lang w:eastAsia="cs-CZ"/>
        </w:rPr>
      </w:pPr>
    </w:p>
    <w:tbl>
      <w:tblPr>
        <w:tblW w:w="9720" w:type="dxa"/>
        <w:tblInd w:w="1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D03B43" w:rsidRPr="00365B47" w:rsidTr="00DC5ED8">
        <w:trPr>
          <w:trHeight w:val="1370"/>
        </w:trPr>
        <w:tc>
          <w:tcPr>
            <w:tcW w:w="4680" w:type="dxa"/>
          </w:tcPr>
          <w:p w:rsidR="00D03B43" w:rsidRPr="00365B47" w:rsidRDefault="00D03B43" w:rsidP="00DC5ED8">
            <w:pPr>
              <w:rPr>
                <w:lang w:eastAsia="cs-CZ"/>
              </w:rPr>
            </w:pPr>
            <w:r w:rsidRPr="00365B47">
              <w:rPr>
                <w:lang w:eastAsia="cs-CZ"/>
              </w:rPr>
              <w:t xml:space="preserve">V Praze dne </w:t>
            </w:r>
            <w:r w:rsidR="00135DB3">
              <w:rPr>
                <w:lang w:eastAsia="cs-CZ"/>
              </w:rPr>
              <w:t>27. 10. 2022</w:t>
            </w: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  <w:r w:rsidRPr="00365B47">
              <w:rPr>
                <w:lang w:eastAsia="cs-CZ"/>
              </w:rPr>
              <w:t>.................................................</w:t>
            </w:r>
          </w:p>
        </w:tc>
        <w:tc>
          <w:tcPr>
            <w:tcW w:w="5040" w:type="dxa"/>
          </w:tcPr>
          <w:p w:rsidR="00D03B43" w:rsidRPr="00365B47" w:rsidRDefault="00D03B43" w:rsidP="00DC5ED8">
            <w:pPr>
              <w:rPr>
                <w:lang w:eastAsia="cs-CZ"/>
              </w:rPr>
            </w:pPr>
            <w:r w:rsidRPr="00365B47">
              <w:rPr>
                <w:lang w:eastAsia="cs-CZ"/>
              </w:rPr>
              <w:t>V</w:t>
            </w:r>
            <w:r w:rsidR="00135DB3">
              <w:rPr>
                <w:lang w:eastAsia="cs-CZ"/>
              </w:rPr>
              <w:t xml:space="preserve"> J. Hradci</w:t>
            </w:r>
            <w:r w:rsidRPr="00365B47">
              <w:rPr>
                <w:lang w:eastAsia="cs-CZ"/>
              </w:rPr>
              <w:t xml:space="preserve"> dne </w:t>
            </w:r>
            <w:r w:rsidR="00135DB3">
              <w:rPr>
                <w:lang w:eastAsia="cs-CZ"/>
              </w:rPr>
              <w:t>4. 11. 2022</w:t>
            </w: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</w:p>
          <w:p w:rsidR="00D03B43" w:rsidRPr="00365B47" w:rsidRDefault="00D03B43" w:rsidP="00DC5ED8">
            <w:pPr>
              <w:rPr>
                <w:lang w:eastAsia="cs-CZ"/>
              </w:rPr>
            </w:pPr>
            <w:r w:rsidRPr="00365B47">
              <w:rPr>
                <w:lang w:eastAsia="cs-CZ"/>
              </w:rPr>
              <w:t>..........................................................</w:t>
            </w:r>
          </w:p>
        </w:tc>
      </w:tr>
      <w:tr w:rsidR="00D03B43" w:rsidRPr="00365B47" w:rsidTr="00DC5ED8">
        <w:trPr>
          <w:trHeight w:val="1370"/>
        </w:trPr>
        <w:tc>
          <w:tcPr>
            <w:tcW w:w="4680" w:type="dxa"/>
          </w:tcPr>
          <w:p w:rsidR="00D03B43" w:rsidRPr="00365B47" w:rsidRDefault="00135DB3" w:rsidP="00DC5ED8">
            <w:proofErr w:type="spellStart"/>
            <w:r>
              <w:t>xxxxx</w:t>
            </w:r>
            <w:proofErr w:type="spellEnd"/>
          </w:p>
          <w:p w:rsidR="00D03B43" w:rsidRPr="00365B47" w:rsidRDefault="00D03B43" w:rsidP="00DC5ED8">
            <w:pPr>
              <w:rPr>
                <w:lang w:eastAsia="cs-CZ"/>
              </w:rPr>
            </w:pPr>
          </w:p>
        </w:tc>
        <w:tc>
          <w:tcPr>
            <w:tcW w:w="5040" w:type="dxa"/>
          </w:tcPr>
          <w:p w:rsidR="004C3613" w:rsidRPr="00365B47" w:rsidRDefault="002D7DBD" w:rsidP="00DC5ED8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</w:t>
            </w:r>
            <w:proofErr w:type="spellEnd"/>
          </w:p>
          <w:p w:rsidR="00D03B43" w:rsidRPr="00365B47" w:rsidRDefault="00D03B43" w:rsidP="00DC5ED8">
            <w:pPr>
              <w:rPr>
                <w:lang w:eastAsia="cs-CZ"/>
              </w:rPr>
            </w:pPr>
          </w:p>
        </w:tc>
      </w:tr>
    </w:tbl>
    <w:p w:rsidR="00AF294B" w:rsidRDefault="00AF294B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p w:rsidR="003301A0" w:rsidRDefault="003301A0" w:rsidP="00D03B43"/>
    <w:sectPr w:rsidR="003301A0" w:rsidSect="008971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7C77D78"/>
    <w:multiLevelType w:val="hybridMultilevel"/>
    <w:tmpl w:val="6FA8FF54"/>
    <w:lvl w:ilvl="0" w:tplc="EDB25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6AA"/>
    <w:multiLevelType w:val="hybridMultilevel"/>
    <w:tmpl w:val="D1AE83B6"/>
    <w:lvl w:ilvl="0" w:tplc="EDB25E22">
      <w:numFmt w:val="bullet"/>
      <w:lvlText w:val="-"/>
      <w:lvlJc w:val="left"/>
      <w:pPr>
        <w:ind w:left="4463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4" w15:restartNumberingAfterBreak="0">
    <w:nsid w:val="09E95B3F"/>
    <w:multiLevelType w:val="hybridMultilevel"/>
    <w:tmpl w:val="1E5C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6EB1"/>
    <w:multiLevelType w:val="hybridMultilevel"/>
    <w:tmpl w:val="D5220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91D"/>
    <w:multiLevelType w:val="hybridMultilevel"/>
    <w:tmpl w:val="5C046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66EC"/>
    <w:multiLevelType w:val="hybridMultilevel"/>
    <w:tmpl w:val="416E7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380B"/>
    <w:multiLevelType w:val="hybridMultilevel"/>
    <w:tmpl w:val="9C2CD55E"/>
    <w:lvl w:ilvl="0" w:tplc="656401F6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D7509"/>
    <w:multiLevelType w:val="hybridMultilevel"/>
    <w:tmpl w:val="5A9E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1A80"/>
    <w:multiLevelType w:val="hybridMultilevel"/>
    <w:tmpl w:val="C47C8182"/>
    <w:lvl w:ilvl="0" w:tplc="77BABEFC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7094"/>
    <w:multiLevelType w:val="hybridMultilevel"/>
    <w:tmpl w:val="DC1A6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467E"/>
    <w:multiLevelType w:val="hybridMultilevel"/>
    <w:tmpl w:val="EC5C1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D28"/>
    <w:multiLevelType w:val="hybridMultilevel"/>
    <w:tmpl w:val="F1F615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3F2F"/>
    <w:multiLevelType w:val="hybridMultilevel"/>
    <w:tmpl w:val="3D7E58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D181E80"/>
    <w:multiLevelType w:val="hybridMultilevel"/>
    <w:tmpl w:val="F7AE7CBE"/>
    <w:lvl w:ilvl="0" w:tplc="F288D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83873"/>
    <w:multiLevelType w:val="hybridMultilevel"/>
    <w:tmpl w:val="CCE87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64AC9"/>
    <w:multiLevelType w:val="hybridMultilevel"/>
    <w:tmpl w:val="704EC396"/>
    <w:lvl w:ilvl="0" w:tplc="77BABEF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4393"/>
    <w:multiLevelType w:val="hybridMultilevel"/>
    <w:tmpl w:val="1EC27B46"/>
    <w:lvl w:ilvl="0" w:tplc="A38CBB1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186F"/>
    <w:multiLevelType w:val="hybridMultilevel"/>
    <w:tmpl w:val="A524D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18B3"/>
    <w:multiLevelType w:val="hybridMultilevel"/>
    <w:tmpl w:val="12E0688E"/>
    <w:lvl w:ilvl="0" w:tplc="7E0E45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368AE"/>
    <w:multiLevelType w:val="hybridMultilevel"/>
    <w:tmpl w:val="528AD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C463B"/>
    <w:multiLevelType w:val="hybridMultilevel"/>
    <w:tmpl w:val="B40A7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02C0"/>
    <w:multiLevelType w:val="hybridMultilevel"/>
    <w:tmpl w:val="D8024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A2ABE"/>
    <w:multiLevelType w:val="hybridMultilevel"/>
    <w:tmpl w:val="CDC0E6D8"/>
    <w:lvl w:ilvl="0" w:tplc="EDB25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E58E8"/>
    <w:multiLevelType w:val="hybridMultilevel"/>
    <w:tmpl w:val="1E5C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3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19"/>
  </w:num>
  <w:num w:numId="10">
    <w:abstractNumId w:val="22"/>
  </w:num>
  <w:num w:numId="11">
    <w:abstractNumId w:val="5"/>
  </w:num>
  <w:num w:numId="12">
    <w:abstractNumId w:val="12"/>
  </w:num>
  <w:num w:numId="13">
    <w:abstractNumId w:val="1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14"/>
  </w:num>
  <w:num w:numId="19">
    <w:abstractNumId w:val="25"/>
  </w:num>
  <w:num w:numId="20">
    <w:abstractNumId w:val="8"/>
  </w:num>
  <w:num w:numId="21">
    <w:abstractNumId w:val="18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DB"/>
    <w:rsid w:val="00035278"/>
    <w:rsid w:val="00042DFD"/>
    <w:rsid w:val="0006799C"/>
    <w:rsid w:val="000B38AC"/>
    <w:rsid w:val="000C10DB"/>
    <w:rsid w:val="00135DB3"/>
    <w:rsid w:val="001541F0"/>
    <w:rsid w:val="001A2856"/>
    <w:rsid w:val="001A682A"/>
    <w:rsid w:val="001C30F3"/>
    <w:rsid w:val="001F6767"/>
    <w:rsid w:val="002233F5"/>
    <w:rsid w:val="00237DB6"/>
    <w:rsid w:val="00287F4C"/>
    <w:rsid w:val="002B04A0"/>
    <w:rsid w:val="002D7DBD"/>
    <w:rsid w:val="003301A0"/>
    <w:rsid w:val="00370053"/>
    <w:rsid w:val="00376F0E"/>
    <w:rsid w:val="00421761"/>
    <w:rsid w:val="0043221B"/>
    <w:rsid w:val="00433092"/>
    <w:rsid w:val="004400B4"/>
    <w:rsid w:val="00475C5E"/>
    <w:rsid w:val="004C17CF"/>
    <w:rsid w:val="004C2BF8"/>
    <w:rsid w:val="004C3613"/>
    <w:rsid w:val="004F2E8F"/>
    <w:rsid w:val="005038C9"/>
    <w:rsid w:val="005754F9"/>
    <w:rsid w:val="0058095C"/>
    <w:rsid w:val="005F41D8"/>
    <w:rsid w:val="00641129"/>
    <w:rsid w:val="00653054"/>
    <w:rsid w:val="006B7AAA"/>
    <w:rsid w:val="0075483F"/>
    <w:rsid w:val="007D00BF"/>
    <w:rsid w:val="0085077F"/>
    <w:rsid w:val="008671AF"/>
    <w:rsid w:val="0089714E"/>
    <w:rsid w:val="009213D3"/>
    <w:rsid w:val="009571E8"/>
    <w:rsid w:val="009D0A07"/>
    <w:rsid w:val="009F25A2"/>
    <w:rsid w:val="00A56B36"/>
    <w:rsid w:val="00A578A1"/>
    <w:rsid w:val="00A67C66"/>
    <w:rsid w:val="00A909F7"/>
    <w:rsid w:val="00AA7415"/>
    <w:rsid w:val="00AF294B"/>
    <w:rsid w:val="00B63C8F"/>
    <w:rsid w:val="00B74D43"/>
    <w:rsid w:val="00B97036"/>
    <w:rsid w:val="00BB0A61"/>
    <w:rsid w:val="00BC1A07"/>
    <w:rsid w:val="00C70433"/>
    <w:rsid w:val="00CF3FA1"/>
    <w:rsid w:val="00D03B43"/>
    <w:rsid w:val="00D201CA"/>
    <w:rsid w:val="00D52368"/>
    <w:rsid w:val="00DA5DDE"/>
    <w:rsid w:val="00DC5ED8"/>
    <w:rsid w:val="00DF51BC"/>
    <w:rsid w:val="00E14566"/>
    <w:rsid w:val="00E2254F"/>
    <w:rsid w:val="00E86E4F"/>
    <w:rsid w:val="00EA2951"/>
    <w:rsid w:val="00F42F46"/>
    <w:rsid w:val="00F65E5A"/>
    <w:rsid w:val="00F728A8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485"/>
  <w15:chartTrackingRefBased/>
  <w15:docId w15:val="{FC18FB72-581E-49CF-9F19-1A88998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0D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0C10DB"/>
    <w:pPr>
      <w:keepNext/>
      <w:outlineLvl w:val="0"/>
    </w:pPr>
    <w:rPr>
      <w:rFonts w:ascii="Times New Roman" w:hAnsi="Times New Roman" w:cs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0C10DB"/>
    <w:pPr>
      <w:keepNext/>
      <w:numPr>
        <w:ilvl w:val="1"/>
        <w:numId w:val="3"/>
      </w:numPr>
      <w:outlineLvl w:val="1"/>
    </w:pPr>
    <w:rPr>
      <w:rFonts w:ascii="Times New Roman" w:hAnsi="Times New Roman" w:cs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10D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0C10D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Zkladntext">
    <w:name w:val="Body Text"/>
    <w:basedOn w:val="Normln"/>
    <w:link w:val="ZkladntextChar"/>
    <w:rsid w:val="000C10DB"/>
    <w:pPr>
      <w:suppressAutoHyphens w:val="0"/>
    </w:pPr>
    <w:rPr>
      <w:rFonts w:ascii="Times New Roman" w:hAnsi="Times New Roman" w:cs="Times New Roman"/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C10D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799C"/>
    <w:pPr>
      <w:ind w:left="720"/>
      <w:contextualSpacing/>
    </w:pPr>
  </w:style>
  <w:style w:type="character" w:customStyle="1" w:styleId="CharStyle7">
    <w:name w:val="Char Style 7"/>
    <w:basedOn w:val="Standardnpsmoodstavce"/>
    <w:link w:val="Style6"/>
    <w:uiPriority w:val="99"/>
    <w:locked/>
    <w:rsid w:val="00A909F7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A909F7"/>
    <w:pPr>
      <w:widowControl w:val="0"/>
      <w:shd w:val="clear" w:color="auto" w:fill="FFFFFF"/>
      <w:suppressAutoHyphens w:val="0"/>
      <w:spacing w:line="240" w:lineRule="atLeast"/>
      <w:ind w:hanging="340"/>
    </w:pPr>
    <w:rPr>
      <w:rFonts w:eastAsiaTheme="minorHAns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548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5A2"/>
    <w:rPr>
      <w:rFonts w:ascii="Segoe UI" w:eastAsia="Times New Roman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33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01A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01A0"/>
  </w:style>
  <w:style w:type="paragraph" w:styleId="Zpat">
    <w:name w:val="footer"/>
    <w:basedOn w:val="Normln"/>
    <w:link w:val="ZpatChar"/>
    <w:uiPriority w:val="99"/>
    <w:unhideWhenUsed/>
    <w:rsid w:val="003301A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01A0"/>
  </w:style>
  <w:style w:type="paragraph" w:customStyle="1" w:styleId="Default">
    <w:name w:val="Default"/>
    <w:rsid w:val="00330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Michal</dc:creator>
  <cp:keywords/>
  <dc:description/>
  <cp:lastModifiedBy>MATOUŠOVÁ Vlasta</cp:lastModifiedBy>
  <cp:revision>2</cp:revision>
  <cp:lastPrinted>2022-10-24T13:13:00Z</cp:lastPrinted>
  <dcterms:created xsi:type="dcterms:W3CDTF">2022-11-10T13:43:00Z</dcterms:created>
  <dcterms:modified xsi:type="dcterms:W3CDTF">2022-11-10T13:43:00Z</dcterms:modified>
</cp:coreProperties>
</file>