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w:drawing>
          <wp:anchor distT="433070" distB="0" distL="114300" distR="114300" simplePos="0" relativeHeight="125829378" behindDoc="0" locked="0" layoutInCell="1" allowOverlap="1">
            <wp:simplePos x="0" y="0"/>
            <wp:positionH relativeFrom="page">
              <wp:posOffset>5134610</wp:posOffset>
            </wp:positionH>
            <wp:positionV relativeFrom="paragraph">
              <wp:posOffset>445770</wp:posOffset>
            </wp:positionV>
            <wp:extent cx="2042160" cy="26225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42160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12700</wp:posOffset>
                </wp:positionV>
                <wp:extent cx="2033270" cy="41465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327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4.80000000000001pt;margin-top:1.pt;width:160.09999999999999pt;height:32.6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Krajská správa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údržba silme Vysočiny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34"/>
        <w:gridCol w:w="6998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4"/>
        <w:gridCol w:w="6994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4"/>
        <w:gridCol w:w="699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54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„Objednatel“}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4"/>
        <w:gridCol w:w="6994"/>
      </w:tblGrid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Unimont J.C.K.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Hradec 85, 584 01 Ledeč nad Sázavou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Jiřím Cihlářem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3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25269445</w:t>
              <w:tab/>
              <w:t>DIČ : CZ25269445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„Zhotovitel“}</w:t>
      </w:r>
    </w:p>
    <w:p>
      <w:pPr>
        <w:widowControl w:val="0"/>
        <w:spacing w:after="5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3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7" w:val="left"/>
        </w:tabs>
        <w:bidi w:val="0"/>
        <w:spacing w:before="0" w:after="320" w:line="283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spojené se zimní údržbou silnic v podobě odhrnování závějí nakladačem dopravními prostředky zhotovitele.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2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  <w:r>
        <w:br w:type="page"/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30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I., II., a III. tříd ve správě Krajské správy a údržby silnic Vysočiny, příspěvkové organizace- cestmistrovství Ledeč nad Sázavou.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30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Ledeč nad Sázavou - tel. 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smluvené dopravní prostředky a mechanismy je stanovena ve výši max.1000 Kč/hod. + DPH platné v daném období v závislosti na typu mechanizace.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vyhotovena ve dvou stejnopisech, z nichž každá smluvní strana obdrží jedno vyhotovení.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26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445" w:val="left"/>
        </w:tabs>
        <w:bidi w:val="0"/>
        <w:spacing w:before="0" w:after="960"/>
        <w:ind w:left="0" w:right="0" w:firstLine="36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825500</wp:posOffset>
                </wp:positionV>
                <wp:extent cx="935990" cy="40259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402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Jiří Cihlář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4.75pt;margin-top:65.pt;width:73.700000000000003pt;height:31.69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Jiří Cihlář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Hradci dne:../ť/(?.4?/2-.</w:t>
        <w:tab/>
        <w:t>V Jihlavě dne :.QJk. 11.■.$??..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  <w:br/>
        <w:t>Ing. Radovan Necid</w:t>
        <w:br/>
        <w:t>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712" w:left="972" w:right="1390" w:bottom="976" w:header="284" w:footer="54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Nadpis #1_"/>
    <w:basedOn w:val="DefaultParagraphFont"/>
    <w:link w:val="Style6"/>
    <w:rPr>
      <w:rFonts w:ascii="Candara" w:eastAsia="Candara" w:hAnsi="Candara" w:cs="Candar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Nadpis #3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305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320"/>
      <w:ind w:left="340" w:firstLine="80"/>
      <w:outlineLvl w:val="0"/>
    </w:pPr>
    <w:rPr>
      <w:rFonts w:ascii="Candara" w:eastAsia="Candara" w:hAnsi="Candara" w:cs="Candara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6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