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32" w:right="554" w:bottom="2430" w:left="8908" w:header="0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rStyle w:val="CharStyle3"/>
        </w:rPr>
        <w:t>llll■■IHI</w:t>
      </w:r>
      <w:bookmarkEnd w:id="0"/>
    </w:p>
    <w:p>
      <w:pPr>
        <w:pStyle w:val="Style7"/>
        <w:keepNext/>
        <w:keepLines/>
        <w:framePr w:w="3221" w:h="312" w:wrap="none" w:vAnchor="text" w:hAnchor="page" w:x="4699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8"/>
          <w:b/>
          <w:bCs/>
        </w:rPr>
        <w:t>RÁMCOVÁ KUPNÍ SMLOUVA</w:t>
      </w:r>
      <w:bookmarkEnd w:id="2"/>
    </w:p>
    <w:p>
      <w:pPr>
        <w:pStyle w:val="Style9"/>
        <w:keepNext w:val="0"/>
        <w:keepLines w:val="0"/>
        <w:framePr w:w="917" w:h="221" w:wrap="none" w:vAnchor="text" w:hAnchor="page" w:x="921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0"/>
          <w:sz w:val="16"/>
          <w:szCs w:val="16"/>
        </w:rPr>
        <w:t>2022008021</w:t>
      </w: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32" w:right="553" w:bottom="1167" w:left="16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124585" distL="114300" distR="120015" simplePos="0" relativeHeight="125829378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624840</wp:posOffset>
                </wp:positionV>
                <wp:extent cx="1621790" cy="265493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1790" cy="2654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(dále jen „kupující“)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Kontaktní osoba: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.700000000000003pt;margin-top:49.200000000000003pt;width:127.7pt;height:209.05000000000001pt;z-index:-125829375;mso-wrap-distance-left:9.pt;mso-wrap-distance-right:9.4500000000000011pt;mso-wrap-distance-bottom:88.549999999999997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Jméno: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Sídlo: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Jednající: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Kontaktní osoba: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Zápis v OR: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Bankovní spojení (číslo účtu):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(dále jen „kupující“)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Jméno: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Sídlo: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Jednající: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Kontaktní osoba: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904490" distB="0" distL="114300" distR="114300" simplePos="0" relativeHeight="125829380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3529330</wp:posOffset>
                </wp:positionV>
                <wp:extent cx="1627505" cy="87503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875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(dále jen „prodávající“)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3.700000000000003pt;margin-top:277.90000000000003pt;width:128.15000000000001pt;height:68.900000000000006pt;z-index:-125829373;mso-wrap-distance-left:9.pt;mso-wrap-distance-top:228.70000000000002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Zápis v OR: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Bankovní spojení (číslo účtu):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(dále jen „prodávající“)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64" w:lineRule="auto"/>
        <w:ind w:left="1980" w:right="0" w:hanging="1300"/>
        <w:jc w:val="left"/>
      </w:pPr>
      <w:r>
        <w:rPr>
          <w:rStyle w:val="CharStyle13"/>
        </w:rPr>
        <w:t>uzavřená v souladu s ustanovením § 2079 a násl. zákona č. 89/2012 Sb., občanský zákoník, mezi níže uvedenými smluvními stranami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0" w:right="0" w:firstLine="40"/>
        <w:jc w:val="left"/>
      </w:pPr>
      <w:r>
        <w:rPr>
          <w:rStyle w:val="CharStyle13"/>
          <w:b/>
          <w:bCs/>
        </w:rPr>
        <w:t>Zdravotnická záchranná služba Jihomoravského kraje, příspěvková organizace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Kamenice 798/1 d, 625 00 Brno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MUDr. Hana Albrechtová, ředitelka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  <w:spacing w:val="4"/>
          <w:shd w:val="clear" w:color="auto" w:fill="000000"/>
        </w:rPr>
        <w:t>........</w:t>
      </w:r>
      <w:r>
        <w:rPr>
          <w:rStyle w:val="CharStyle13"/>
          <w:spacing w:val="5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0" w:right="0" w:firstLine="40"/>
        <w:jc w:val="left"/>
      </w:pPr>
      <w:r>
        <w:rPr>
          <w:rStyle w:val="CharStyle1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hd w:val="clear" w:color="auto" w:fill="000000"/>
          <w:lang w:val="en-US" w:eastAsia="en-US" w:bidi="en-US"/>
        </w:rPr>
        <w:t>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8"/>
          <w:shd w:val="clear" w:color="auto" w:fill="000000"/>
        </w:rPr>
        <w:t>...</w:t>
      </w:r>
      <w:r>
        <w:rPr>
          <w:rStyle w:val="CharStyle13"/>
          <w:spacing w:val="9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​.......​</w:t>
      </w:r>
      <w:r>
        <w:rPr>
          <w:rStyle w:val="CharStyle13"/>
          <w:spacing w:val="6"/>
          <w:shd w:val="clear" w:color="auto" w:fill="000000"/>
        </w:rPr>
        <w:t>...</w:t>
      </w:r>
      <w:r>
        <w:rPr>
          <w:rStyle w:val="CharStyle13"/>
          <w:spacing w:val="7"/>
          <w:shd w:val="clear" w:color="auto" w:fill="000000"/>
        </w:rPr>
        <w:t>...</w:t>
      </w:r>
      <w:r>
        <w:rPr>
          <w:rStyle w:val="CharStyle13"/>
          <w:shd w:val="clear" w:color="auto" w:fill="000000"/>
        </w:rPr>
        <w:t>​........​</w:t>
      </w:r>
      <w:r>
        <w:rPr>
          <w:rStyle w:val="CharStyle13"/>
          <w:spacing w:val="6"/>
          <w:shd w:val="clear" w:color="auto" w:fill="000000"/>
        </w:rPr>
        <w:t>....</w:t>
      </w:r>
      <w:r>
        <w:rPr>
          <w:rStyle w:val="CharStyle13"/>
          <w:spacing w:val="7"/>
          <w:shd w:val="clear" w:color="auto" w:fill="000000"/>
        </w:rPr>
        <w:t>....</w:t>
      </w:r>
      <w:r>
        <w:rPr>
          <w:rStyle w:val="CharStyle13"/>
          <w:shd w:val="clear" w:color="auto" w:fill="000000"/>
        </w:rPr>
        <w:t>​.......​.......​......</w:t>
      </w:r>
      <w:r>
        <w:rPr>
          <w:rStyle w:val="CharStyle13"/>
        </w:rPr>
        <w:t xml:space="preserve"> 00346292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CZ00346292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Krajský soud v Brně sp. zn. Pr 1245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640"/>
        <w:jc w:val="left"/>
      </w:pPr>
      <w:r>
        <w:rPr>
          <w:rStyle w:val="CharStyle13"/>
        </w:rPr>
        <w:t>MONETA Money Bank, a.s., č. ú. 117203514/0600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  <w:b/>
          <w:bCs/>
        </w:rPr>
        <w:t>CHEIRÓN a.s.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Kukulova 24, 169 00 Praha 6, Břevnov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0" w:right="0" w:firstLine="40"/>
        <w:jc w:val="left"/>
      </w:pPr>
      <w:r>
        <w:rPr>
          <w:rStyle w:val="CharStyle13"/>
        </w:rPr>
        <w:t xml:space="preserve">Ing. Jindřich Petřík, MBA, člen představenstva 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2"/>
          <w:shd w:val="clear" w:color="auto" w:fill="000000"/>
        </w:rPr>
        <w:t>............</w:t>
      </w:r>
      <w:r>
        <w:rPr>
          <w:rStyle w:val="CharStyle13"/>
          <w:spacing w:val="3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​....</w:t>
      </w:r>
      <w:r>
        <w:rPr>
          <w:rStyle w:val="CharStyle13"/>
          <w:spacing w:val="1"/>
          <w:shd w:val="clear" w:color="auto" w:fill="000000"/>
        </w:rPr>
        <w:t>.........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40" w:right="0" w:firstLine="40"/>
        <w:jc w:val="left"/>
      </w:pPr>
      <w:r>
        <w:rPr>
          <w:rStyle w:val="CharStyle13"/>
          <w:u w:val="single"/>
          <w:shd w:val="clear" w:color="auto" w:fill="000000"/>
          <w:lang w:val="en-US" w:eastAsia="en-US" w:bidi="en-US"/>
        </w:rPr>
        <w:t>......................................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8"/>
          <w:shd w:val="clear" w:color="auto" w:fill="000000"/>
        </w:rPr>
        <w:t>...</w:t>
      </w:r>
      <w:r>
        <w:rPr>
          <w:rStyle w:val="CharStyle13"/>
          <w:spacing w:val="9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​.......​.......​.......</w:t>
      </w:r>
      <w:r>
        <w:rPr>
          <w:rStyle w:val="CharStyle13"/>
        </w:rPr>
        <w:t xml:space="preserve"> mob. 602 179 427 27094987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rStyle w:val="CharStyle13"/>
        </w:rPr>
        <w:t>CZ27094987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640" w:right="0" w:firstLine="40"/>
        <w:jc w:val="left"/>
      </w:pPr>
      <w:r>
        <w:rPr>
          <w:rStyle w:val="CharStyle13"/>
        </w:rPr>
        <w:t>Městský soud v Praze, oddíl B, vložka 8964 ČSOB a.s., č. ú: 279233863/0300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Prodávající je oprávněn na základě svého vlastnického práva nakládat se zbožím ve formě ve formě pomůcek pro oxygenoterapii, jehož specifikace je uvedena v příloze č. 1, která je nedílnou součástí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Součástí dodávky zboží podle čl. 2 této smlouvy je dodání všech dokladů, vztahujících se k tomuto zboží, a návody k použití v českém jazyce.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 xml:space="preserve">Prodávající se zavazuje plnit svůj závazek k dodání zboží podle čl. 1 této smlouvy vždy nejpozději do </w:t>
      </w:r>
      <w:r>
        <w:rPr>
          <w:rStyle w:val="CharStyle13"/>
          <w:b/>
          <w:bCs/>
        </w:rPr>
        <w:t xml:space="preserve">5-ti pracovních dní </w:t>
      </w:r>
      <w:r>
        <w:rPr>
          <w:rStyle w:val="CharStyle13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sklad v sídle zadavatele.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Kupující se zavazuje převzít objednané zboží podle čí. 1 této smlouvy, prosté všech zjevných vad, ve lhůtě a místě podle této smlouvy. Kupující je oprávněn odmítnout převzetí zboží, bude-li se na něm vyskytovat jakákoliv vada.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2 této smlouvy, která je nedílnou součástí této smlouvy. Součástí těchto cen jsou veškeré náklady prodávajícího na splnění jeho závazku k dodání zboží podle této smlouvy. Výše uvedené ceny se prodávající zavazuje garantovat po dobu podle čl. 19 této smlouvy. Změna ceny je možná pouze v případě změny zákonné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email: 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</w:rPr>
        <w:t>​..</w:t>
      </w:r>
      <w:r>
        <w:rPr>
          <w:rStyle w:val="CharStyle13"/>
        </w:rPr>
        <w:t xml:space="preserve"> 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13"/>
          <w:lang w:val="en-US" w:eastAsia="en-US" w:bidi="en-US"/>
        </w:rPr>
        <w:t xml:space="preserve"> </w:t>
      </w:r>
      <w:r>
        <w:rPr>
          <w:rStyle w:val="CharStyle13"/>
        </w:rPr>
        <w:t xml:space="preserve">Na faktuře/daňovém dokladu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P22V00003492. </w:t>
      </w:r>
      <w:r>
        <w:rPr>
          <w:rStyle w:val="CharStyle13"/>
        </w:rPr>
        <w:t>Nebude-li faktura splňovat veškeré náležitosti daňového dokladu podle zákona a další náležitosti podle této smlouvy, je kupující oprávněn vrátit takovou fakturu zhotoviteli k opravě, přičemž doba její splatnosti začne znovu celá běžet ode dne doručení opravené faktury kupujícímu.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S převodem zboží je podle čl. 1 této smlouvy spojena záruka za jeho jakost v trvání doby použitelnosti vyznačené na zboží, nejméně však v trvání minimálně 24 měsíců ode dne dodání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vlastnosti, které jsou stanoveny právními předpisy nebo technickými normami nebojsou u zboží tohoto druhu obvyklé,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do 48 hodin od doručení příslušné reklamace kupujícího.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závazku prodávajícího k dodání zboží ve lhůtě podle čl. 4 této smlouvy se prodávající zavazuje platit kupujícímu smluvní pokutu ve výši 0,1 % z kupní podle čl. 7 této smlouvy za každý započatý den tohoto prodlení. Pro případ prodlení s odstraněním vady ve lhůtě podle čl. 9 této smlouvy se prodávající zavazuje platit kupujícímu smluvní pokutu ve výši 0,1% z kupní ceny zboží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kupujícího se zaplacením kupní ceny nebo její části ve lhůtě podle čl. 8 této smlouvy o víc, než 2 týdny, je prodávající oprávněn od této smlouvy odstoupit s účinky ex tunc.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380" w:right="0" w:hanging="38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380" w:right="0" w:hanging="380"/>
        <w:jc w:val="both"/>
      </w:pPr>
      <w:r>
        <w:rPr>
          <w:rStyle w:val="CharStyle1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380" w:right="0" w:hanging="380"/>
        <w:jc w:val="both"/>
      </w:pPr>
      <w:r>
        <w:rPr>
          <w:rStyle w:val="CharStyle1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380" w:right="0" w:hanging="380"/>
        <w:jc w:val="both"/>
      </w:pPr>
      <w:r>
        <w:rPr>
          <w:rStyle w:val="CharStyle1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380" w:right="0" w:hanging="380"/>
        <w:jc w:val="both"/>
      </w:pPr>
      <w:r>
        <w:rPr>
          <w:rStyle w:val="CharStyle13"/>
        </w:rPr>
        <w:t>Tato smlouva nabývá účinnosti po jejím podpisu oběma smluvními stranami dnem jejího uveřejnění v Registru smluv, nejdříve však 1.1.2023.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rStyle w:val="CharStyle13"/>
        </w:rPr>
        <w:t>Tato smlouva se uzavírá na dobu určitou do 31. 12. 2024.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" w:val="left"/>
        </w:tabs>
        <w:bidi w:val="0"/>
        <w:spacing w:before="0" w:after="560" w:line="240" w:lineRule="auto"/>
        <w:ind w:left="380" w:right="0" w:hanging="380"/>
        <w:jc w:val="both"/>
      </w:pPr>
      <w:r>
        <w:rPr>
          <w:rStyle w:val="CharStyle13"/>
        </w:rPr>
        <w:t>Dáno ve dvou originálních písemných vyhotoveních, z nichž každá ze smluvních stran obdrží po jednom.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dot" w:pos="3666" w:val="left"/>
        </w:tabs>
        <w:bidi w:val="0"/>
        <w:spacing w:before="0" w:after="60" w:line="240" w:lineRule="auto"/>
        <w:ind w:left="1900" w:right="0" w:firstLine="0"/>
        <w:jc w:val="left"/>
      </w:pPr>
      <w:r>
        <w:rPr>
          <w:rStyle w:val="CharStyle13"/>
        </w:rPr>
        <w:t>V Praze dne</w:t>
        <w:tab/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2500" w:val="left"/>
          <w:tab w:pos="2927" w:val="left"/>
        </w:tabs>
        <w:bidi w:val="0"/>
        <w:spacing w:before="0" w:after="0" w:line="240" w:lineRule="auto"/>
        <w:ind w:left="1900" w:right="0" w:firstLine="0"/>
        <w:jc w:val="left"/>
      </w:pPr>
      <w:r>
        <w:drawing>
          <wp:anchor distT="344170" distB="0" distL="129540" distR="114300" simplePos="0" relativeHeight="125829382" behindDoc="0" locked="0" layoutInCell="1" allowOverlap="1">
            <wp:simplePos x="0" y="0"/>
            <wp:positionH relativeFrom="page">
              <wp:posOffset>1044575</wp:posOffset>
            </wp:positionH>
            <wp:positionV relativeFrom="margin">
              <wp:posOffset>4779010</wp:posOffset>
            </wp:positionV>
            <wp:extent cx="1920240" cy="57912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92024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margin">
                  <wp:posOffset>4434840</wp:posOffset>
                </wp:positionV>
                <wp:extent cx="636905" cy="14922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690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1.049999999999997pt;margin-top:349.19999999999999pt;width:50.149999999999999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V Brně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37"/>
        </w:rPr>
        <w:t>.</w:t>
        <w:tab/>
        <w:t>..</w:t>
        <w:tab/>
      </w:r>
      <w:r>
        <w:rPr>
          <w:rStyle w:val="CharStyle37"/>
          <w:vertAlign w:val="subscript"/>
        </w:rPr>
        <w:t>|V</w:t>
      </w:r>
      <w:r>
        <w:rPr>
          <w:rStyle w:val="CharStyle37"/>
        </w:rPr>
        <w:t>. . Digitálně podepsal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900" w:right="0" w:firstLine="0"/>
        <w:jc w:val="left"/>
      </w:pPr>
      <w:r>
        <w:rPr>
          <w:rStyle w:val="CharStyle37"/>
          <w:rFonts w:ascii="Arial" w:eastAsia="Arial" w:hAnsi="Arial" w:cs="Arial"/>
          <w:sz w:val="28"/>
          <w:szCs w:val="28"/>
        </w:rPr>
        <w:t xml:space="preserve">InQ. Jindřich </w:t>
      </w:r>
      <w:r>
        <w:rPr>
          <w:rStyle w:val="CharStyle37"/>
        </w:rPr>
        <w:t>|</w:t>
      </w:r>
      <w:r>
        <w:rPr>
          <w:rStyle w:val="CharStyle37"/>
          <w:vertAlign w:val="subscript"/>
        </w:rPr>
        <w:t>n</w:t>
      </w:r>
      <w:r>
        <w:rPr>
          <w:rStyle w:val="CharStyle37"/>
        </w:rPr>
        <w:t>g Jindřich Petřík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20" w:right="40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00" w:right="1531" w:bottom="2063" w:left="161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4305935</wp:posOffset>
                </wp:positionH>
                <wp:positionV relativeFrom="margin">
                  <wp:posOffset>4937760</wp:posOffset>
                </wp:positionV>
                <wp:extent cx="506095" cy="21653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Petřík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9.05000000000001pt;margin-top:388.80000000000001pt;width:39.850000000000001pt;height:17.050000000000001pt;z-index:-12582937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Petřík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600" distB="0" distL="114300" distR="3360420" simplePos="0" relativeHeight="125829385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margin">
                  <wp:posOffset>5416550</wp:posOffset>
                </wp:positionV>
                <wp:extent cx="1380490" cy="43561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049999999999997pt;margin-top:426.5pt;width:108.7pt;height:34.300000000000004pt;z-index:-125829368;mso-wrap-distance-left:9.pt;mso-wrap-distance-top:8.pt;mso-wrap-distance-right:264.6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MUDr. Hana Albrechtová ředitelka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600" distB="2540" distL="3369310" distR="114300" simplePos="0" relativeHeight="125829387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margin">
                  <wp:posOffset>5416550</wp:posOffset>
                </wp:positionV>
                <wp:extent cx="1371600" cy="43307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 xml:space="preserve">Ing. Jindřich Petřík, MBA člen představenstva 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7.35000000000002pt;margin-top:426.5pt;width:108.pt;height:34.100000000000001pt;z-index:-125829366;mso-wrap-distance-left:265.30000000000001pt;mso-wrap-distance-top:8.pt;mso-wrap-distance-right:9.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 xml:space="preserve">Ing. Jindřich Petřík, MBA člen představenstva </w:t>
                      </w:r>
                      <w:r>
                        <w:rPr>
                          <w:rStyle w:val="CharStyle1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61950" distB="20955" distL="114300" distR="1049655" simplePos="0" relativeHeight="125829389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margin">
                  <wp:posOffset>6151245</wp:posOffset>
                </wp:positionV>
                <wp:extent cx="753110" cy="46037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460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20"/>
                              </w:rPr>
                              <w:t>Vladěna</w:t>
                            </w:r>
                            <w:bookmarkEnd w:id="4"/>
                          </w:p>
                          <w:p>
                            <w:pPr>
                              <w:pStyle w:val="Style1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Levíková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0.pt;margin-top:484.35000000000002pt;width:59.300000000000004pt;height:36.25pt;z-index:-125829364;mso-wrap-distance-left:9.pt;mso-wrap-distance-top:28.5pt;mso-wrap-distance-right:82.650000000000006pt;mso-wrap-distance-bottom:1.65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20"/>
                        </w:rPr>
                        <w:t>Vladěna</w:t>
                      </w:r>
                      <w:bookmarkEnd w:id="4"/>
                    </w:p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0"/>
                        </w:rPr>
                        <w:t>Levíková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55600" distB="0" distL="1016635" distR="114300" simplePos="0" relativeHeight="125829391" behindDoc="0" locked="0" layoutInCell="1" allowOverlap="1">
                <wp:simplePos x="0" y="0"/>
                <wp:positionH relativeFrom="page">
                  <wp:posOffset>5220335</wp:posOffset>
                </wp:positionH>
                <wp:positionV relativeFrom="margin">
                  <wp:posOffset>6144895</wp:posOffset>
                </wp:positionV>
                <wp:extent cx="786130" cy="48768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Vladěna Levíková Datum: 2022.11.07 09:44:55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11.05000000000001pt;margin-top:483.85000000000002pt;width:61.899999999999999pt;height:38.399999999999999pt;z-index:-125829362;mso-wrap-distance-left:80.049999999999997pt;mso-wrap-distance-top:28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Digitálně podepsal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Vladěna Levíková Datum: 2022.11.07 09:44:55 +01'00'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7"/>
        </w:rPr>
        <w:t>Datum: 2022.11.07 10:44:48 +01'00'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13"/>
          <w:b/>
          <w:bCs/>
        </w:rPr>
        <w:t>Příloha č. 1 Specifikace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  <w:b/>
          <w:bCs/>
        </w:rPr>
        <w:t>Kyslíková maska s mikronebulizací pro děti/dospělé</w:t>
      </w:r>
    </w:p>
    <w:tbl>
      <w:tblPr>
        <w:tblOverlap w:val="never"/>
        <w:jc w:val="center"/>
        <w:tblLayout w:type="fixed"/>
      </w:tblPr>
      <w:tblGrid>
        <w:gridCol w:w="686"/>
        <w:gridCol w:w="5558"/>
        <w:gridCol w:w="2443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DFDA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FDAF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A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Účastníkem nabízená hodnota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Měkká a lehká inhalační kyslíková maska s mikronebulizátorem využívající Venturiho principu, pro inhalační aplikaci léčiv.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Možnost použití ve svislé i vodorovné poloze.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Včetně přívodní hadičky s flexibilní koncovkou.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Součástí elastická tkanice pro upevnění k obličeji a s nosní svorkou.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Materiál PVC pro zdravotní účely, certifikace 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 velikosti: pro děti a dospělé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Baleno jednotlivě. Více ks v balení.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  <w:b/>
          <w:bCs/>
        </w:rPr>
        <w:t>Kyslíková maska s rezervoárem pro děti/dospělé</w:t>
      </w:r>
    </w:p>
    <w:tbl>
      <w:tblPr>
        <w:tblOverlap w:val="never"/>
        <w:jc w:val="center"/>
        <w:tblLayout w:type="fixed"/>
      </w:tblPr>
      <w:tblGrid>
        <w:gridCol w:w="686"/>
        <w:gridCol w:w="5558"/>
        <w:gridCol w:w="244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DFDA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FDA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A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Účastníkem nabízená hodnota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Měkká a lehká inhalační kyslíková maska pro aplikaci oxygenoterapie a rezervoárem pro zvýšení koncentrace kyslíku a s přívoddní hadičkou se standardním konektorem.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Součástí elastická tkanice pro upevnění k obličeji a s nosní svorkou.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Materiál PVC pro zdravotní účely, certifikace 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 velikosti: pro děti a dospělé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Baleno jednotlivě. Více ks v balení.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</w:tbl>
    <w:p>
      <w:pPr>
        <w:widowControl w:val="0"/>
        <w:spacing w:after="63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  <w:b/>
          <w:bCs/>
        </w:rPr>
        <w:t>Kyslíková spojovací hadička</w:t>
      </w:r>
    </w:p>
    <w:tbl>
      <w:tblPr>
        <w:tblOverlap w:val="never"/>
        <w:jc w:val="center"/>
        <w:tblLayout w:type="fixed"/>
      </w:tblPr>
      <w:tblGrid>
        <w:gridCol w:w="691"/>
        <w:gridCol w:w="5558"/>
        <w:gridCol w:w="2443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DFDA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FDAF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42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DAF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Účastníkem nabízená hodnota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Protizlamovací kyslíková hadička s normovanými flexibilními konektory na obou koncích.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 použití s inhalační kyslíkovou polomaskou, anebo pro připojení ručního dýchacího přístroj a průtokoměru medicinálního kyslíku.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Materiál PVC pro zdravotní účely, certifikace 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Délka 1,8-2,2 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42"/>
                <w:i/>
                <w:iCs/>
                <w:color w:val="D6626F"/>
              </w:rPr>
              <w:t>Splňujeme, 2,1 m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42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Baleno jednotlivě. Více ks v balení.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i/>
                <w:iCs/>
                <w:color w:val="D6626F"/>
              </w:rPr>
              <w:t>Splňujeme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371" w:right="1489" w:bottom="1371" w:left="158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0"/>
          <w:b/>
          <w:bCs/>
        </w:rPr>
        <w:t>Příloha č. 2 Ceník</w:t>
      </w:r>
    </w:p>
    <w:tbl>
      <w:tblPr>
        <w:tblOverlap w:val="never"/>
        <w:jc w:val="center"/>
        <w:tblLayout w:type="fixed"/>
      </w:tblPr>
      <w:tblGrid>
        <w:gridCol w:w="1118"/>
        <w:gridCol w:w="3912"/>
        <w:gridCol w:w="2650"/>
        <w:gridCol w:w="1219"/>
        <w:gridCol w:w="1363"/>
        <w:gridCol w:w="1075"/>
        <w:gridCol w:w="1718"/>
        <w:gridCol w:w="1555"/>
      </w:tblGrid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Int. č. kupujícího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Výrobce, obchodní označení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Cena za ks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Cena za ks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Balení (počet ks v balení)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Cena za balení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Cena za balení vč. DPH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24036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Kyslíková maska s mikronebulizací - děti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Shaoxing Undis Medical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rStyle w:val="CharStyle42"/>
              </w:rPr>
              <w:t>Technology Co., Ltd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42"/>
              </w:rPr>
              <w:t>15,50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18,76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775,00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42"/>
              </w:rPr>
              <w:t>937,75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24035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Kyslíková maska s mikronebulizací - dospělí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Shaoxing Undis Medical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42"/>
              </w:rPr>
              <w:t>Technology Co., Ltd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42"/>
              </w:rPr>
              <w:t>15,50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18,76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775,00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42"/>
              </w:rPr>
              <w:t>937,75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24034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Kyslíková maska s rezervoárem dětská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Shaoxing Undis Medical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rStyle w:val="CharStyle42"/>
              </w:rPr>
              <w:t>Technology Co., Ltd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42"/>
              </w:rPr>
              <w:t>18,00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21,78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1089,00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24033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Kyslíková maska s rezervoárem dospělá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Shaoxing Undis Medical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42"/>
              </w:rPr>
              <w:t>Technology Co., Ltd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42"/>
              </w:rPr>
              <w:t>15,60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18,88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780,00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42"/>
              </w:rPr>
              <w:t>943,80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24231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Kyslíková spojovací hadička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Shaoxing Undis Medical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42"/>
              </w:rPr>
              <w:t>Technology Co., Ltd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5,90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7,14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42"/>
              </w:rPr>
              <w:t>295,00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42"/>
              </w:rPr>
              <w:t>356,95</w:t>
            </w:r>
          </w:p>
        </w:tc>
      </w:tr>
    </w:tbl>
    <w:p>
      <w:pPr>
        <w:widowControl w:val="0"/>
        <w:spacing w:after="56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i/>
          <w:iCs/>
        </w:rPr>
        <w:t>Veřejná zakázka 30-22: Pomůcky pro oxygenoterapii 2023 - 2024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1632" w:right="963" w:bottom="636" w:left="1261" w:header="1204" w:footer="208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9888220</wp:posOffset>
              </wp:positionV>
              <wp:extent cx="316674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667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30-22: Pomůcky pro oxygenoterapii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6.100000000000009pt;margin-top:778.60000000000002pt;width:249.34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30-22: Pomůcky pro oxygenoterapii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70"/>
      <w:szCs w:val="7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3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Základní text (5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Základní text (2)_"/>
    <w:basedOn w:val="DefaultParagraphFont"/>
    <w:link w:val="Style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0">
    <w:name w:val="Titulek tabulky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2">
    <w:name w:val="Jiné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70"/>
      <w:szCs w:val="7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3"/>
    <w:basedOn w:val="Normal"/>
    <w:link w:val="CharStyle8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Základní text (5)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auto"/>
      <w:spacing w:after="3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auto"/>
      <w:spacing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36">
    <w:name w:val="Základní text (2)"/>
    <w:basedOn w:val="Normal"/>
    <w:link w:val="CharStyle37"/>
    <w:pPr>
      <w:widowControl w:val="0"/>
      <w:shd w:val="clear" w:color="auto" w:fill="auto"/>
      <w:spacing w:after="100"/>
      <w:ind w:left="1260" w:right="20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9">
    <w:name w:val="Titulek tabulky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41">
    <w:name w:val="Jiné"/>
    <w:basedOn w:val="Normal"/>
    <w:link w:val="CharStyle4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/Relationships>
</file>