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04" w:rsidRPr="00794357" w:rsidRDefault="00027D04" w:rsidP="00A1658D">
      <w:pPr>
        <w:pStyle w:val="0Nzevsmlouvy-nejvyssiroven"/>
      </w:pPr>
      <w:r w:rsidRPr="00794357">
        <w:t>Kupní smlouva</w:t>
      </w:r>
      <w:r w:rsidR="00DD4E19">
        <w:t xml:space="preserve"> č. SML/0478/22</w:t>
      </w:r>
    </w:p>
    <w:p w:rsidR="00027D04" w:rsidRPr="00794357" w:rsidRDefault="00027D04" w:rsidP="00AB6B3C">
      <w:pPr>
        <w:pStyle w:val="text"/>
        <w:jc w:val="center"/>
      </w:pPr>
      <w:r w:rsidRPr="00794357">
        <w:t>(dále jen „Smlouva“)</w:t>
      </w:r>
    </w:p>
    <w:p w:rsidR="00027D04" w:rsidRPr="00794357" w:rsidRDefault="00027D04" w:rsidP="00A7740F">
      <w:pPr>
        <w:pStyle w:val="text"/>
      </w:pPr>
      <w:r w:rsidRPr="00794357">
        <w:t>uzavřená podle ustanovení § 2079 a následujících zákona č. 89/2012 Sb., občanský zákoník, ve znění pozdějších předpisů, následovně:</w:t>
      </w:r>
    </w:p>
    <w:p w:rsidR="00027D04" w:rsidRPr="00B43FC2" w:rsidRDefault="00027D04" w:rsidP="00A1658D">
      <w:pPr>
        <w:pStyle w:val="11uroven"/>
      </w:pPr>
      <w:r w:rsidRPr="00B43FC2">
        <w:t>Smluvní strany</w:t>
      </w:r>
    </w:p>
    <w:p w:rsidR="00765980" w:rsidRPr="00B43FC2" w:rsidRDefault="00765980" w:rsidP="00765980">
      <w:pPr>
        <w:pStyle w:val="22uroven"/>
      </w:pPr>
      <w:r w:rsidRPr="00B43FC2">
        <w:t>Prodávající:</w:t>
      </w:r>
    </w:p>
    <w:tbl>
      <w:tblPr>
        <w:tblW w:w="0" w:type="auto"/>
        <w:tblInd w:w="534" w:type="dxa"/>
        <w:tblLook w:val="04A0" w:firstRow="1" w:lastRow="0" w:firstColumn="1" w:lastColumn="0" w:noHBand="0" w:noVBand="1"/>
      </w:tblPr>
      <w:tblGrid>
        <w:gridCol w:w="1120"/>
        <w:gridCol w:w="7418"/>
      </w:tblGrid>
      <w:tr w:rsidR="00765980" w:rsidRPr="00B43FC2" w:rsidTr="00765980">
        <w:tc>
          <w:tcPr>
            <w:tcW w:w="1120" w:type="dxa"/>
            <w:shd w:val="clear" w:color="auto" w:fill="auto"/>
          </w:tcPr>
          <w:p w:rsidR="00765980" w:rsidRPr="00B43FC2" w:rsidRDefault="00765980" w:rsidP="007D5D58">
            <w:pPr>
              <w:pStyle w:val="text"/>
            </w:pPr>
          </w:p>
        </w:tc>
        <w:tc>
          <w:tcPr>
            <w:tcW w:w="7418" w:type="dxa"/>
            <w:shd w:val="clear" w:color="auto" w:fill="auto"/>
          </w:tcPr>
          <w:p w:rsidR="00765980" w:rsidRPr="00B43FC2" w:rsidRDefault="00B43FC2" w:rsidP="007D5D58">
            <w:pPr>
              <w:pStyle w:val="text"/>
            </w:pPr>
            <w:r w:rsidRPr="00B43FC2">
              <w:rPr>
                <w:noProof/>
              </w:rPr>
              <w:t>ATJ special,</w:t>
            </w:r>
            <w:r w:rsidR="00765980" w:rsidRPr="00B43FC2">
              <w:rPr>
                <w:noProof/>
              </w:rPr>
              <w:t xml:space="preserve"> s r.o.</w:t>
            </w:r>
          </w:p>
        </w:tc>
      </w:tr>
      <w:tr w:rsidR="00765980" w:rsidRPr="00B43FC2" w:rsidTr="00765980">
        <w:tc>
          <w:tcPr>
            <w:tcW w:w="1120" w:type="dxa"/>
            <w:shd w:val="clear" w:color="auto" w:fill="auto"/>
          </w:tcPr>
          <w:p w:rsidR="00765980" w:rsidRPr="00B43FC2" w:rsidRDefault="00765980" w:rsidP="007D5D58">
            <w:pPr>
              <w:pStyle w:val="text"/>
            </w:pPr>
            <w:r w:rsidRPr="00B43FC2">
              <w:t>Sídlo:</w:t>
            </w:r>
          </w:p>
        </w:tc>
        <w:tc>
          <w:tcPr>
            <w:tcW w:w="7418" w:type="dxa"/>
            <w:shd w:val="clear" w:color="auto" w:fill="auto"/>
          </w:tcPr>
          <w:p w:rsidR="00765980" w:rsidRPr="00B43FC2" w:rsidRDefault="00B43FC2" w:rsidP="00B43FC2">
            <w:pPr>
              <w:pStyle w:val="text"/>
            </w:pPr>
            <w:r w:rsidRPr="00B43FC2">
              <w:rPr>
                <w:noProof/>
              </w:rPr>
              <w:t>Veveří 211</w:t>
            </w:r>
            <w:r w:rsidR="00765980" w:rsidRPr="00B43FC2">
              <w:rPr>
                <w:noProof/>
              </w:rPr>
              <w:t xml:space="preserve">, </w:t>
            </w:r>
            <w:r w:rsidRPr="00B43FC2">
              <w:rPr>
                <w:noProof/>
              </w:rPr>
              <w:t>664 81 Ostrovačice</w:t>
            </w:r>
          </w:p>
        </w:tc>
      </w:tr>
      <w:tr w:rsidR="00765980" w:rsidRPr="00B43FC2" w:rsidTr="00765980">
        <w:tc>
          <w:tcPr>
            <w:tcW w:w="8538" w:type="dxa"/>
            <w:gridSpan w:val="2"/>
            <w:shd w:val="clear" w:color="auto" w:fill="auto"/>
          </w:tcPr>
          <w:p w:rsidR="00765980" w:rsidRPr="00B43FC2" w:rsidRDefault="00B43FC2" w:rsidP="0064238A">
            <w:pPr>
              <w:pStyle w:val="text"/>
            </w:pPr>
            <w:r w:rsidRPr="00B43FC2">
              <w:rPr>
                <w:noProof/>
              </w:rPr>
              <w:t>Subjekt zapsán v</w:t>
            </w:r>
            <w:r w:rsidR="0064238A">
              <w:rPr>
                <w:noProof/>
              </w:rPr>
              <w:t> obchodním rejstříku</w:t>
            </w:r>
            <w:r w:rsidRPr="00B43FC2">
              <w:rPr>
                <w:noProof/>
              </w:rPr>
              <w:t xml:space="preserve"> u Krajského soudu v Brně, oddíl C, vložka 11687 </w:t>
            </w:r>
          </w:p>
        </w:tc>
      </w:tr>
      <w:tr w:rsidR="00765980" w:rsidRPr="00B43FC2" w:rsidTr="00765980">
        <w:tc>
          <w:tcPr>
            <w:tcW w:w="1120" w:type="dxa"/>
            <w:shd w:val="clear" w:color="auto" w:fill="auto"/>
          </w:tcPr>
          <w:p w:rsidR="00765980" w:rsidRPr="00B43FC2" w:rsidRDefault="00765980" w:rsidP="007D5D58">
            <w:pPr>
              <w:pStyle w:val="text"/>
            </w:pPr>
            <w:r w:rsidRPr="00B43FC2">
              <w:t>IČO:</w:t>
            </w:r>
          </w:p>
        </w:tc>
        <w:tc>
          <w:tcPr>
            <w:tcW w:w="7418" w:type="dxa"/>
            <w:shd w:val="clear" w:color="auto" w:fill="auto"/>
          </w:tcPr>
          <w:p w:rsidR="00765980" w:rsidRPr="00B43FC2" w:rsidRDefault="0064238A" w:rsidP="007D5D58">
            <w:pPr>
              <w:pStyle w:val="text"/>
            </w:pPr>
            <w:r>
              <w:rPr>
                <w:noProof/>
              </w:rPr>
              <w:t>49432</w:t>
            </w:r>
            <w:r w:rsidR="00B43FC2" w:rsidRPr="00B43FC2">
              <w:rPr>
                <w:noProof/>
              </w:rPr>
              <w:t>851</w:t>
            </w:r>
          </w:p>
        </w:tc>
      </w:tr>
      <w:tr w:rsidR="00765980" w:rsidRPr="00B43FC2" w:rsidTr="00765980">
        <w:tc>
          <w:tcPr>
            <w:tcW w:w="1120" w:type="dxa"/>
            <w:shd w:val="clear" w:color="auto" w:fill="auto"/>
          </w:tcPr>
          <w:p w:rsidR="00765980" w:rsidRPr="00B43FC2" w:rsidRDefault="00765980" w:rsidP="007D5D58">
            <w:pPr>
              <w:pStyle w:val="text"/>
            </w:pPr>
            <w:r w:rsidRPr="00B43FC2">
              <w:t>DIČ:</w:t>
            </w:r>
          </w:p>
        </w:tc>
        <w:tc>
          <w:tcPr>
            <w:tcW w:w="7418" w:type="dxa"/>
            <w:shd w:val="clear" w:color="auto" w:fill="auto"/>
          </w:tcPr>
          <w:p w:rsidR="00765980" w:rsidRPr="00B43FC2" w:rsidRDefault="0064238A" w:rsidP="007D5D58">
            <w:pPr>
              <w:pStyle w:val="text"/>
            </w:pPr>
            <w:r>
              <w:rPr>
                <w:noProof/>
              </w:rPr>
              <w:t>CZ49432</w:t>
            </w:r>
            <w:r w:rsidR="00B43FC2" w:rsidRPr="00B43FC2">
              <w:rPr>
                <w:noProof/>
              </w:rPr>
              <w:t>851</w:t>
            </w:r>
          </w:p>
        </w:tc>
      </w:tr>
      <w:tr w:rsidR="00765980" w:rsidRPr="008F114E" w:rsidTr="00765980">
        <w:tc>
          <w:tcPr>
            <w:tcW w:w="8538" w:type="dxa"/>
            <w:gridSpan w:val="2"/>
            <w:shd w:val="clear" w:color="auto" w:fill="auto"/>
          </w:tcPr>
          <w:p w:rsidR="00765980" w:rsidRPr="008F114E" w:rsidRDefault="00B43FC2" w:rsidP="000A439A">
            <w:pPr>
              <w:pStyle w:val="text"/>
            </w:pPr>
            <w:r w:rsidRPr="00B43FC2">
              <w:t>Zastoupený Danou Psotovou, jednatelkou a výkonnou ředitelnou společnosti</w:t>
            </w:r>
            <w:r w:rsidR="000A439A">
              <w:t xml:space="preserve"> a </w:t>
            </w:r>
            <w:r w:rsidR="000A439A" w:rsidRPr="000A439A">
              <w:t xml:space="preserve">Ing. </w:t>
            </w:r>
            <w:r w:rsidR="000A439A">
              <w:t>Pavlem Kazdou</w:t>
            </w:r>
            <w:r w:rsidR="000A439A" w:rsidRPr="000A439A">
              <w:t>, MBA</w:t>
            </w:r>
            <w:r w:rsidR="000A439A">
              <w:t>,</w:t>
            </w:r>
            <w:r w:rsidR="003541EA">
              <w:t xml:space="preserve"> </w:t>
            </w:r>
            <w:r w:rsidR="000A439A" w:rsidRPr="000A439A">
              <w:t>jednatel</w:t>
            </w:r>
            <w:r w:rsidR="000A439A">
              <w:t>em</w:t>
            </w:r>
            <w:r w:rsidR="000A439A" w:rsidRPr="000A439A">
              <w:t xml:space="preserve"> a ředitel</w:t>
            </w:r>
            <w:r w:rsidR="000A439A">
              <w:t>em</w:t>
            </w:r>
            <w:r w:rsidR="000A439A" w:rsidRPr="000A439A">
              <w:t xml:space="preserve"> společnosti</w:t>
            </w:r>
          </w:p>
        </w:tc>
      </w:tr>
      <w:tr w:rsidR="00027D04" w:rsidRPr="00794357" w:rsidTr="00765980">
        <w:tc>
          <w:tcPr>
            <w:tcW w:w="8538" w:type="dxa"/>
            <w:gridSpan w:val="2"/>
            <w:shd w:val="clear" w:color="auto" w:fill="auto"/>
          </w:tcPr>
          <w:p w:rsidR="00027D04" w:rsidRPr="00794357" w:rsidRDefault="00027D04" w:rsidP="00765980">
            <w:pPr>
              <w:widowControl/>
              <w:jc w:val="left"/>
            </w:pPr>
          </w:p>
        </w:tc>
      </w:tr>
    </w:tbl>
    <w:p w:rsidR="00027D04" w:rsidRPr="00794357" w:rsidRDefault="00027D04" w:rsidP="002C36A8">
      <w:pPr>
        <w:pStyle w:val="22uroven"/>
      </w:pPr>
      <w:r w:rsidRPr="00794357">
        <w:t>Kupující:</w:t>
      </w:r>
    </w:p>
    <w:tbl>
      <w:tblPr>
        <w:tblW w:w="0" w:type="auto"/>
        <w:tblInd w:w="534" w:type="dxa"/>
        <w:tblLook w:val="04A0" w:firstRow="1" w:lastRow="0" w:firstColumn="1" w:lastColumn="0" w:noHBand="0" w:noVBand="1"/>
      </w:tblPr>
      <w:tblGrid>
        <w:gridCol w:w="1120"/>
        <w:gridCol w:w="7418"/>
      </w:tblGrid>
      <w:tr w:rsidR="00027D04" w:rsidRPr="00794357" w:rsidTr="004B2F65">
        <w:trPr>
          <w:trHeight w:val="57"/>
        </w:trPr>
        <w:tc>
          <w:tcPr>
            <w:tcW w:w="1120" w:type="dxa"/>
            <w:shd w:val="clear" w:color="auto" w:fill="auto"/>
          </w:tcPr>
          <w:p w:rsidR="00027D04" w:rsidRPr="00794357" w:rsidRDefault="00027D04" w:rsidP="00086D87">
            <w:pPr>
              <w:pStyle w:val="text"/>
            </w:pPr>
          </w:p>
        </w:tc>
        <w:tc>
          <w:tcPr>
            <w:tcW w:w="7418" w:type="dxa"/>
            <w:shd w:val="clear" w:color="auto" w:fill="auto"/>
          </w:tcPr>
          <w:p w:rsidR="00027D04" w:rsidRPr="00794357" w:rsidRDefault="00027D04" w:rsidP="00086D87">
            <w:pPr>
              <w:pStyle w:val="text"/>
            </w:pPr>
            <w:r w:rsidRPr="00794357">
              <w:t>Brněnské vodárny a kanalizace, a.s.</w:t>
            </w:r>
          </w:p>
        </w:tc>
      </w:tr>
      <w:tr w:rsidR="00027D04" w:rsidRPr="00794357" w:rsidTr="004B2F65">
        <w:trPr>
          <w:trHeight w:val="57"/>
        </w:trPr>
        <w:tc>
          <w:tcPr>
            <w:tcW w:w="1120" w:type="dxa"/>
            <w:shd w:val="clear" w:color="auto" w:fill="auto"/>
          </w:tcPr>
          <w:p w:rsidR="00027D04" w:rsidRPr="00794357" w:rsidRDefault="00027D04" w:rsidP="00086D87">
            <w:pPr>
              <w:pStyle w:val="text"/>
            </w:pPr>
            <w:r w:rsidRPr="00794357">
              <w:t>Sídlo:</w:t>
            </w:r>
          </w:p>
        </w:tc>
        <w:tc>
          <w:tcPr>
            <w:tcW w:w="7418" w:type="dxa"/>
            <w:shd w:val="clear" w:color="auto" w:fill="auto"/>
          </w:tcPr>
          <w:p w:rsidR="00027D04" w:rsidRPr="00794357" w:rsidRDefault="00027D04" w:rsidP="00086D87">
            <w:pPr>
              <w:pStyle w:val="text"/>
            </w:pPr>
            <w:r w:rsidRPr="00794357">
              <w:t>Pisárecká 555/1a, Pisárky, 603 00 Brno</w:t>
            </w:r>
          </w:p>
        </w:tc>
      </w:tr>
      <w:tr w:rsidR="00027D04" w:rsidRPr="00794357" w:rsidTr="004B2F65">
        <w:trPr>
          <w:trHeight w:val="57"/>
        </w:trPr>
        <w:tc>
          <w:tcPr>
            <w:tcW w:w="8538" w:type="dxa"/>
            <w:gridSpan w:val="2"/>
            <w:shd w:val="clear" w:color="auto" w:fill="auto"/>
          </w:tcPr>
          <w:p w:rsidR="00027D04" w:rsidRPr="00794357" w:rsidRDefault="00027D04" w:rsidP="0064238A">
            <w:pPr>
              <w:pStyle w:val="text"/>
            </w:pPr>
            <w:r w:rsidRPr="00794357">
              <w:t>Subjekt je zapsán v</w:t>
            </w:r>
            <w:r w:rsidR="0064238A">
              <w:t> obchodním rejstříku</w:t>
            </w:r>
            <w:r w:rsidRPr="00794357">
              <w:t xml:space="preserve"> u Krajského soudu v Brně, </w:t>
            </w:r>
            <w:r w:rsidR="0064238A">
              <w:t>oddíl</w:t>
            </w:r>
            <w:r w:rsidRPr="00794357">
              <w:t xml:space="preserve"> B</w:t>
            </w:r>
            <w:r w:rsidR="0064238A">
              <w:t>, vložka</w:t>
            </w:r>
            <w:r w:rsidRPr="00794357">
              <w:t> 783</w:t>
            </w:r>
          </w:p>
        </w:tc>
      </w:tr>
      <w:tr w:rsidR="00027D04" w:rsidRPr="00794357" w:rsidTr="004B2F65">
        <w:trPr>
          <w:trHeight w:val="57"/>
        </w:trPr>
        <w:tc>
          <w:tcPr>
            <w:tcW w:w="1120" w:type="dxa"/>
            <w:shd w:val="clear" w:color="auto" w:fill="auto"/>
          </w:tcPr>
          <w:p w:rsidR="00027D04" w:rsidRPr="00794357" w:rsidRDefault="00027D04" w:rsidP="00086D87">
            <w:pPr>
              <w:pStyle w:val="text"/>
            </w:pPr>
            <w:r w:rsidRPr="00794357">
              <w:t>IČO:</w:t>
            </w:r>
          </w:p>
        </w:tc>
        <w:tc>
          <w:tcPr>
            <w:tcW w:w="7418" w:type="dxa"/>
            <w:shd w:val="clear" w:color="auto" w:fill="auto"/>
          </w:tcPr>
          <w:p w:rsidR="00027D04" w:rsidRPr="00794357" w:rsidRDefault="00027D04" w:rsidP="00086D87">
            <w:pPr>
              <w:pStyle w:val="text"/>
            </w:pPr>
            <w:r w:rsidRPr="00794357">
              <w:t>46347275</w:t>
            </w:r>
          </w:p>
        </w:tc>
      </w:tr>
      <w:tr w:rsidR="00027D04" w:rsidRPr="00794357" w:rsidTr="004B2F65">
        <w:trPr>
          <w:trHeight w:val="57"/>
        </w:trPr>
        <w:tc>
          <w:tcPr>
            <w:tcW w:w="1120" w:type="dxa"/>
            <w:shd w:val="clear" w:color="auto" w:fill="auto"/>
          </w:tcPr>
          <w:p w:rsidR="00027D04" w:rsidRPr="00794357" w:rsidRDefault="00027D04" w:rsidP="00086D87">
            <w:pPr>
              <w:pStyle w:val="text"/>
            </w:pPr>
            <w:r w:rsidRPr="00794357">
              <w:t>DIČ:</w:t>
            </w:r>
          </w:p>
        </w:tc>
        <w:tc>
          <w:tcPr>
            <w:tcW w:w="7418" w:type="dxa"/>
            <w:shd w:val="clear" w:color="auto" w:fill="auto"/>
          </w:tcPr>
          <w:p w:rsidR="00027D04" w:rsidRPr="00794357" w:rsidRDefault="00027D04" w:rsidP="00086D87">
            <w:pPr>
              <w:pStyle w:val="text"/>
            </w:pPr>
            <w:r w:rsidRPr="00794357">
              <w:t>CZ46347275</w:t>
            </w:r>
          </w:p>
        </w:tc>
      </w:tr>
      <w:tr w:rsidR="00027D04" w:rsidRPr="00794357" w:rsidTr="004B2F65">
        <w:trPr>
          <w:trHeight w:val="57"/>
        </w:trPr>
        <w:tc>
          <w:tcPr>
            <w:tcW w:w="8538" w:type="dxa"/>
            <w:gridSpan w:val="2"/>
            <w:shd w:val="clear" w:color="auto" w:fill="auto"/>
          </w:tcPr>
          <w:p w:rsidR="00027D04" w:rsidRPr="00794357" w:rsidRDefault="0033282E" w:rsidP="00587396">
            <w:pPr>
              <w:pStyle w:val="text"/>
            </w:pPr>
            <w:r>
              <w:t>Zastoupený</w:t>
            </w:r>
            <w:r w:rsidR="0064238A" w:rsidRPr="008F114E">
              <w:t xml:space="preserve"> </w:t>
            </w:r>
            <w:r w:rsidR="00587396">
              <w:t>XXX</w:t>
            </w:r>
          </w:p>
        </w:tc>
      </w:tr>
      <w:tr w:rsidR="00027D04" w:rsidRPr="00794357" w:rsidTr="004B2F65">
        <w:trPr>
          <w:trHeight w:val="57"/>
        </w:trPr>
        <w:tc>
          <w:tcPr>
            <w:tcW w:w="8538" w:type="dxa"/>
            <w:gridSpan w:val="2"/>
            <w:shd w:val="clear" w:color="auto" w:fill="auto"/>
          </w:tcPr>
          <w:p w:rsidR="00027D04" w:rsidRPr="00794357" w:rsidRDefault="00027D04" w:rsidP="002045AB">
            <w:pPr>
              <w:pStyle w:val="text"/>
            </w:pPr>
          </w:p>
        </w:tc>
      </w:tr>
    </w:tbl>
    <w:p w:rsidR="004B2F65" w:rsidRDefault="004B2F65" w:rsidP="004B2F65">
      <w:pPr>
        <w:pStyle w:val="11uroven"/>
      </w:pPr>
      <w:r w:rsidRPr="00FA6341">
        <w:t>Podklady k uzavření smlouvy</w:t>
      </w:r>
    </w:p>
    <w:p w:rsidR="004B2F65" w:rsidRDefault="004B2F65" w:rsidP="004B2F65">
      <w:pPr>
        <w:pStyle w:val="22uroven"/>
        <w:ind w:left="567" w:hanging="567"/>
      </w:pPr>
      <w:r w:rsidRPr="00FA6341">
        <w:t xml:space="preserve">Smlouva je uzavřena na základě </w:t>
      </w:r>
      <w:r>
        <w:t>nabídky prodávajícího ze dne 21</w:t>
      </w:r>
      <w:r w:rsidRPr="00995AEF">
        <w:t>. 9. 2022</w:t>
      </w:r>
      <w:r w:rsidR="00854B49">
        <w:t>.</w:t>
      </w:r>
    </w:p>
    <w:p w:rsidR="00027D04" w:rsidRPr="00794357" w:rsidRDefault="00027D04" w:rsidP="00A51C5B">
      <w:pPr>
        <w:pStyle w:val="11uroven"/>
      </w:pPr>
      <w:r w:rsidRPr="00794357">
        <w:t>Předmět smlouvy</w:t>
      </w:r>
    </w:p>
    <w:p w:rsidR="00027D04" w:rsidRPr="00794357" w:rsidRDefault="00027D04" w:rsidP="00027D04">
      <w:pPr>
        <w:pStyle w:val="22uroven"/>
        <w:ind w:left="510" w:hanging="510"/>
      </w:pPr>
      <w:r w:rsidRPr="00794357">
        <w:t xml:space="preserve">Prodávající se zavazuje odevzdat </w:t>
      </w:r>
      <w:r w:rsidR="00B22BAF">
        <w:t xml:space="preserve">kupujícímu </w:t>
      </w:r>
      <w:r w:rsidRPr="00794357">
        <w:t xml:space="preserve">teleskopické zemní soupravy na navrtávací pasy a podkladové desky </w:t>
      </w:r>
      <w:r w:rsidR="00CA6B9C">
        <w:t xml:space="preserve">s parametry a v množství </w:t>
      </w:r>
      <w:r w:rsidRPr="00794357">
        <w:t>specifikované</w:t>
      </w:r>
      <w:r w:rsidR="00CA6B9C">
        <w:t>m</w:t>
      </w:r>
      <w:r w:rsidRPr="00794357">
        <w:t xml:space="preserve"> v příloze č. 1 </w:t>
      </w:r>
      <w:r w:rsidR="00CA6B9C">
        <w:t xml:space="preserve">této </w:t>
      </w:r>
      <w:r w:rsidRPr="00794357">
        <w:t xml:space="preserve">smlouvy (dále jen „zboží“) a umožnit mu nabýt vlastnické právo k tomuto zboží. </w:t>
      </w:r>
    </w:p>
    <w:p w:rsidR="00027D04" w:rsidRDefault="00027D04" w:rsidP="00522554">
      <w:pPr>
        <w:pStyle w:val="22uroven"/>
        <w:ind w:left="510" w:hanging="510"/>
      </w:pPr>
      <w:r w:rsidRPr="00794357">
        <w:t xml:space="preserve">Kupující se zavazuje, že objednané zboží převezme a zaplatí prodávajícímu kupní cenu. </w:t>
      </w:r>
    </w:p>
    <w:p w:rsidR="004B2F65" w:rsidRPr="00794357" w:rsidRDefault="004B2F65" w:rsidP="00522554">
      <w:pPr>
        <w:pStyle w:val="22uroven"/>
        <w:ind w:left="510" w:hanging="510"/>
      </w:pPr>
      <w:r w:rsidRPr="00BA43CC">
        <w:t>Součástí předmětu plnění je rovněž doprava zboží</w:t>
      </w:r>
      <w:r>
        <w:t xml:space="preserve"> na místo plnění.</w:t>
      </w:r>
    </w:p>
    <w:p w:rsidR="00027D04" w:rsidRPr="00794357" w:rsidRDefault="00027D04" w:rsidP="00A51C5B">
      <w:pPr>
        <w:pStyle w:val="11uroven"/>
      </w:pPr>
      <w:r w:rsidRPr="00794357">
        <w:t>Doba plnění</w:t>
      </w:r>
    </w:p>
    <w:p w:rsidR="004B2F65" w:rsidRDefault="00BF5157" w:rsidP="004B2F65">
      <w:pPr>
        <w:pStyle w:val="22uroven"/>
        <w:ind w:left="510" w:hanging="510"/>
      </w:pPr>
      <w:r>
        <w:t>Plnění bude realizováno</w:t>
      </w:r>
      <w:r w:rsidR="004B2F65">
        <w:t xml:space="preserve"> na základě dílčích objednávek dle potřeb kupujícího. </w:t>
      </w:r>
    </w:p>
    <w:p w:rsidR="00027D04" w:rsidRPr="00794357" w:rsidRDefault="00027D04" w:rsidP="000D5DC7">
      <w:pPr>
        <w:pStyle w:val="22uroven"/>
        <w:ind w:left="510" w:hanging="510"/>
      </w:pPr>
      <w:r w:rsidRPr="00794357">
        <w:lastRenderedPageBreak/>
        <w:t xml:space="preserve">Prodávající dodá kupujícímu zboží uvedené v </w:t>
      </w:r>
      <w:r w:rsidR="001F5836">
        <w:t xml:space="preserve">čl. </w:t>
      </w:r>
      <w:proofErr w:type="gramStart"/>
      <w:r w:rsidR="001F5836">
        <w:t>3</w:t>
      </w:r>
      <w:r w:rsidR="00BF5157">
        <w:t>.1</w:t>
      </w:r>
      <w:r w:rsidR="00612BC9">
        <w:t>.</w:t>
      </w:r>
      <w:r w:rsidR="00BF5157">
        <w:t xml:space="preserve"> této</w:t>
      </w:r>
      <w:proofErr w:type="gramEnd"/>
      <w:r w:rsidRPr="00794357">
        <w:t xml:space="preserve"> smlouvy v t</w:t>
      </w:r>
      <w:r w:rsidR="00BF5157">
        <w:t>ermínu uvedeném v objednávce. V </w:t>
      </w:r>
      <w:r w:rsidRPr="00794357">
        <w:t>případě, že tento termín není dohodnut, zavazuje se prodávající dodat kupujícímu zboží do jednoho pracovního dne od jeho objednání.</w:t>
      </w:r>
    </w:p>
    <w:p w:rsidR="00027D04" w:rsidRPr="00794357" w:rsidRDefault="00027D04" w:rsidP="00A51C5B">
      <w:pPr>
        <w:pStyle w:val="11uroven"/>
      </w:pPr>
      <w:r w:rsidRPr="00794357">
        <w:t>Místo plnění</w:t>
      </w:r>
      <w:r w:rsidR="008B615A">
        <w:t xml:space="preserve"> a způsob předání zboží</w:t>
      </w:r>
    </w:p>
    <w:p w:rsidR="00027D04" w:rsidRDefault="00027D04" w:rsidP="00FE051B">
      <w:pPr>
        <w:pStyle w:val="22uroven"/>
        <w:ind w:left="567" w:hanging="567"/>
      </w:pPr>
      <w:r w:rsidRPr="00794357">
        <w:t>Místo plnění: Brněnské vodárny a kanalizace</w:t>
      </w:r>
      <w:r w:rsidR="000D5DC7">
        <w:t>, a.s., Pisárecká 277/1, 603 00</w:t>
      </w:r>
      <w:r w:rsidRPr="00794357">
        <w:t xml:space="preserve"> Brno</w:t>
      </w:r>
      <w:r w:rsidR="001E5CB2">
        <w:t>.</w:t>
      </w:r>
    </w:p>
    <w:p w:rsidR="00A316B6" w:rsidRDefault="00A316B6" w:rsidP="00A316B6">
      <w:pPr>
        <w:pStyle w:val="22uroven"/>
        <w:ind w:left="567" w:hanging="567"/>
      </w:pPr>
      <w:r w:rsidRPr="00A43827">
        <w:t>Při převzetí zboží je kupující povinen vždy uvádět na dokumentech o předání a převzetí zboží, vystavených prodávajícím, čitel</w:t>
      </w:r>
      <w:r w:rsidR="001A65E0">
        <w:t>ně</w:t>
      </w:r>
      <w:r w:rsidRPr="00A43827">
        <w:t xml:space="preserve"> jméno přebírajícího, datum převzetí, podpis a razí</w:t>
      </w:r>
      <w:r>
        <w:t>tko přebírajícího. Dokumentem o </w:t>
      </w:r>
      <w:r w:rsidRPr="00A43827">
        <w:t>předání a převz</w:t>
      </w:r>
      <w:r w:rsidR="001A65E0">
        <w:t>etí zboží se rozumí dodací list</w:t>
      </w:r>
      <w:r w:rsidRPr="00A43827">
        <w:t xml:space="preserve"> nebo výdejka </w:t>
      </w:r>
      <w:r w:rsidR="001A65E0">
        <w:t>(</w:t>
      </w:r>
      <w:r w:rsidRPr="00A43827">
        <w:t>v případě dodávky z jiného skladu</w:t>
      </w:r>
      <w:r w:rsidR="001A65E0">
        <w:t>)</w:t>
      </w:r>
      <w:r w:rsidRPr="00A43827">
        <w:t>.</w:t>
      </w:r>
    </w:p>
    <w:p w:rsidR="00A316B6" w:rsidRPr="00794357" w:rsidRDefault="00A316B6" w:rsidP="000C667D">
      <w:pPr>
        <w:pStyle w:val="22uroven"/>
        <w:ind w:left="567" w:hanging="567"/>
      </w:pPr>
      <w:r w:rsidRPr="00794357">
        <w:t>Prodávající se zavazuje vést objednávky kupujícího v evidenci až do úplného dodání zboží.</w:t>
      </w:r>
    </w:p>
    <w:p w:rsidR="00027D04" w:rsidRPr="00794357" w:rsidRDefault="00027D04" w:rsidP="00A51C5B">
      <w:pPr>
        <w:pStyle w:val="11uroven"/>
      </w:pPr>
      <w:r w:rsidRPr="00794357">
        <w:t>Kupní cena</w:t>
      </w:r>
    </w:p>
    <w:p w:rsidR="00027D04" w:rsidRDefault="00027D04" w:rsidP="00522554">
      <w:pPr>
        <w:pStyle w:val="22uroven"/>
        <w:ind w:left="510" w:hanging="510"/>
      </w:pPr>
      <w:r w:rsidRPr="00794357">
        <w:t xml:space="preserve">Celkový finanční objem za zboží </w:t>
      </w:r>
      <w:r w:rsidR="00612BC9">
        <w:t xml:space="preserve">uvedené v čl. </w:t>
      </w:r>
      <w:proofErr w:type="gramStart"/>
      <w:r w:rsidR="00612BC9">
        <w:t>3.1. této</w:t>
      </w:r>
      <w:proofErr w:type="gramEnd"/>
      <w:r w:rsidRPr="00794357">
        <w:t xml:space="preserve"> </w:t>
      </w:r>
      <w:r w:rsidR="00230726">
        <w:t xml:space="preserve">smlouvy představuje </w:t>
      </w:r>
      <w:r w:rsidR="00230726" w:rsidRPr="00D20FBA">
        <w:t>částku</w:t>
      </w:r>
      <w:r w:rsidRPr="00D20FBA">
        <w:t xml:space="preserve"> </w:t>
      </w:r>
      <w:r w:rsidR="00EA07E4" w:rsidRPr="00D20FBA">
        <w:t>591</w:t>
      </w:r>
      <w:r w:rsidR="00612BC9">
        <w:t> </w:t>
      </w:r>
      <w:r w:rsidR="00EA07E4" w:rsidRPr="00D20FBA">
        <w:t>264</w:t>
      </w:r>
      <w:r w:rsidRPr="00D20FBA">
        <w:t>,- Kč bez DPH.</w:t>
      </w:r>
    </w:p>
    <w:p w:rsidR="00027D04" w:rsidRPr="00794357" w:rsidRDefault="00027D04" w:rsidP="00522554">
      <w:pPr>
        <w:pStyle w:val="22uroven"/>
        <w:ind w:left="510" w:hanging="510"/>
      </w:pPr>
      <w:r w:rsidRPr="00794357">
        <w:t xml:space="preserve">Smluvní strany se dohodly na </w:t>
      </w:r>
      <w:r w:rsidR="00D452C0">
        <w:t xml:space="preserve">kupních </w:t>
      </w:r>
      <w:r w:rsidRPr="00794357">
        <w:t xml:space="preserve">cenách pro jednotlivé </w:t>
      </w:r>
      <w:r w:rsidR="00E86A9F">
        <w:t>typy</w:t>
      </w:r>
      <w:r w:rsidRPr="00794357">
        <w:t xml:space="preserve"> zbož</w:t>
      </w:r>
      <w:r w:rsidR="00CD10F6">
        <w:t xml:space="preserve">í </w:t>
      </w:r>
      <w:r w:rsidR="00E86A9F">
        <w:t>ve výši uvedené</w:t>
      </w:r>
      <w:r w:rsidR="00CD10F6">
        <w:t xml:space="preserve"> v </w:t>
      </w:r>
      <w:r w:rsidRPr="00794357">
        <w:t xml:space="preserve">příloze č. 1 této smlouvy.  </w:t>
      </w:r>
    </w:p>
    <w:p w:rsidR="00027D04" w:rsidRPr="00794357" w:rsidRDefault="00027D04" w:rsidP="00D20FBA">
      <w:pPr>
        <w:pStyle w:val="22uroven"/>
        <w:ind w:left="567" w:hanging="567"/>
      </w:pPr>
      <w:r w:rsidRPr="00794357">
        <w:t>Ke kupním cenám bude připočítána DPH v platné výši.</w:t>
      </w:r>
    </w:p>
    <w:p w:rsidR="00D20FBA" w:rsidRPr="008F114E" w:rsidRDefault="00D20FBA" w:rsidP="00D5684D">
      <w:pPr>
        <w:pStyle w:val="22uroven"/>
        <w:ind w:left="567" w:hanging="567"/>
      </w:pPr>
      <w:r w:rsidRPr="008F114E">
        <w:t xml:space="preserve">Kupní ceny </w:t>
      </w:r>
      <w:r>
        <w:t>zahrnují</w:t>
      </w:r>
      <w:r w:rsidRPr="00814A67">
        <w:t xml:space="preserve"> veškeré ná</w:t>
      </w:r>
      <w:r>
        <w:t>klady spojené s dodávkou zboží, vč. veškerých nákladů spojených s </w:t>
      </w:r>
      <w:r w:rsidRPr="00814A67">
        <w:t>dopravou zboží na místo plnění.</w:t>
      </w:r>
      <w:r w:rsidR="00D5684D">
        <w:t xml:space="preserve"> Kupní ceny jsou prodávajícím garantovány jako maximální po celou dobu platnosti této smlouvy. </w:t>
      </w:r>
    </w:p>
    <w:p w:rsidR="00027D04" w:rsidRPr="00794357" w:rsidRDefault="00027D04" w:rsidP="00A51C5B">
      <w:pPr>
        <w:pStyle w:val="11uroven"/>
      </w:pPr>
      <w:r w:rsidRPr="00794357">
        <w:t>Platební podmínky</w:t>
      </w:r>
    </w:p>
    <w:p w:rsidR="00027D04" w:rsidRPr="00794357" w:rsidRDefault="00027D04" w:rsidP="00230726">
      <w:pPr>
        <w:pStyle w:val="22uroven"/>
        <w:ind w:left="567" w:hanging="567"/>
      </w:pPr>
      <w:r w:rsidRPr="00794357">
        <w:t>Datem zdanitelného plnění se rozumí den odevzdání zboží kupujícímu.</w:t>
      </w:r>
    </w:p>
    <w:p w:rsidR="00027D04" w:rsidRPr="00794357" w:rsidRDefault="00027D04" w:rsidP="00230726">
      <w:pPr>
        <w:pStyle w:val="22uroven"/>
        <w:ind w:left="567" w:hanging="567"/>
      </w:pPr>
      <w:r w:rsidRPr="00794357">
        <w:t xml:space="preserve">Cena zboží bude uhrazena na základě faktury prodávajícího se splatností </w:t>
      </w:r>
      <w:r w:rsidR="00EA07E4" w:rsidRPr="00C45F47">
        <w:t>60</w:t>
      </w:r>
      <w:r w:rsidRPr="00C45F47">
        <w:t xml:space="preserve"> dní</w:t>
      </w:r>
      <w:r w:rsidRPr="00794357">
        <w:t xml:space="preserve"> od doručení faktury kupujícímu. V případě prodlení s platbou je kupující povinen uhradit prodávajícímu úrok ve výši stanovené právním předpisem.</w:t>
      </w:r>
    </w:p>
    <w:p w:rsidR="00027D04" w:rsidRPr="00794357" w:rsidRDefault="00027D04" w:rsidP="00230726">
      <w:pPr>
        <w:pStyle w:val="22uroven"/>
        <w:ind w:left="567" w:hanging="567"/>
      </w:pPr>
      <w:r w:rsidRPr="00794357">
        <w:t xml:space="preserve">Prodávající uvede na faktuře číslo smlouvy kupujícího. Platba bude provedena převodem na účet prodávajícího uvedený ve faktuře. </w:t>
      </w:r>
    </w:p>
    <w:p w:rsidR="00027D04" w:rsidRPr="00794357" w:rsidRDefault="00027D04" w:rsidP="00230726">
      <w:pPr>
        <w:pStyle w:val="22uroven"/>
        <w:ind w:left="567" w:hanging="567"/>
      </w:pPr>
      <w:r w:rsidRPr="00794357">
        <w:t>Adresa pro doručování faktur a písemností je sídlo kupujícího. Elektronická faktura se doručuje na adresu faktury@bvk.cz.</w:t>
      </w:r>
    </w:p>
    <w:p w:rsidR="00027D04" w:rsidRPr="00794357" w:rsidRDefault="00027D04" w:rsidP="00230726">
      <w:pPr>
        <w:pStyle w:val="22uroven"/>
        <w:ind w:left="567" w:hanging="567"/>
      </w:pPr>
      <w:r w:rsidRPr="00794357">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w:t>
      </w:r>
      <w:r w:rsidR="00905A6C">
        <w:t>prodávajícímu sjednanou cenu za </w:t>
      </w:r>
      <w:r w:rsidRPr="00794357">
        <w:t xml:space="preserve">poskytnuté plnění, poníženou o takto zaplacenou daň. </w:t>
      </w:r>
    </w:p>
    <w:p w:rsidR="00027D04" w:rsidRPr="00794357" w:rsidRDefault="00027D04" w:rsidP="00230726">
      <w:pPr>
        <w:pStyle w:val="text"/>
        <w:ind w:left="567"/>
      </w:pPr>
      <w:r w:rsidRPr="00794357">
        <w:t>Kupující tuto skutečnost využití „zvláštního způsobu zajištění daně“ pís</w:t>
      </w:r>
      <w:r w:rsidR="00140D29">
        <w:t xml:space="preserve">emně oznámí prodávajícímu do 5 </w:t>
      </w:r>
      <w:r w:rsidRPr="00794357">
        <w:t>dnů od úhrady a zároveň připojí kopii dokladu o uhrazení DPH včetně identifikace úhrady podle § 109a</w:t>
      </w:r>
      <w:r w:rsidR="00A934CD">
        <w:t xml:space="preserve"> </w:t>
      </w:r>
      <w:r w:rsidR="00A934CD" w:rsidRPr="00794357">
        <w:t>zákona č. 235/2004 Sb., o dani z přidané hodnoty, ve znění pozdějších předpisů</w:t>
      </w:r>
      <w:r w:rsidRPr="00794357">
        <w:t xml:space="preserve">. </w:t>
      </w:r>
    </w:p>
    <w:p w:rsidR="00027D04" w:rsidRPr="00794357" w:rsidRDefault="00027D04" w:rsidP="00230726">
      <w:pPr>
        <w:pStyle w:val="text"/>
        <w:ind w:left="567"/>
      </w:pPr>
      <w:r w:rsidRPr="00794357">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027D04" w:rsidRPr="00794357" w:rsidRDefault="00027D04" w:rsidP="00A51C5B">
      <w:pPr>
        <w:pStyle w:val="11uroven"/>
      </w:pPr>
      <w:r w:rsidRPr="00794357">
        <w:t>Záruka za jakost</w:t>
      </w:r>
      <w:r w:rsidR="00BF0E3D">
        <w:t xml:space="preserve"> a odpovědnost za vady</w:t>
      </w:r>
    </w:p>
    <w:p w:rsidR="003A5CE6" w:rsidRDefault="003A5CE6" w:rsidP="003A5CE6">
      <w:pPr>
        <w:pStyle w:val="22uroven"/>
        <w:ind w:left="510" w:hanging="510"/>
      </w:pPr>
      <w:r>
        <w:t>Prodávající poskytuje na jakost díla záruku v</w:t>
      </w:r>
      <w:r w:rsidR="00933A9C">
        <w:t> délce</w:t>
      </w:r>
      <w:r>
        <w:t xml:space="preserve"> trvání 24 měsíců. </w:t>
      </w:r>
      <w:r w:rsidRPr="00616EE0">
        <w:t>Záruční doba začíná běžet dnem předání zboží kupujícímu</w:t>
      </w:r>
      <w:r>
        <w:t>.</w:t>
      </w:r>
    </w:p>
    <w:p w:rsidR="003A5CE6" w:rsidRDefault="008D1D9F" w:rsidP="008D1D9F">
      <w:pPr>
        <w:pStyle w:val="22uroven"/>
        <w:ind w:left="510" w:hanging="510"/>
      </w:pPr>
      <w:r w:rsidRPr="00616EE0">
        <w:lastRenderedPageBreak/>
        <w:t xml:space="preserve">Prodávající se zavazuje, že zboží bude předáno kupujícímu bez vad a dále, že zboží </w:t>
      </w:r>
      <w:r w:rsidR="003A5CE6">
        <w:t>bude mít vlastnosti stanovené smlouvu.</w:t>
      </w:r>
    </w:p>
    <w:p w:rsidR="00643E3C" w:rsidRPr="003A54EF" w:rsidRDefault="00F14C7B" w:rsidP="00643E3C">
      <w:pPr>
        <w:pStyle w:val="22uroven"/>
        <w:ind w:left="567" w:hanging="567"/>
      </w:pPr>
      <w:r w:rsidRPr="00145F1C">
        <w:t>Zjevné vady dodávky je kupující povinen oznámit při přejímání zboží</w:t>
      </w:r>
      <w:r>
        <w:t xml:space="preserve"> a tyto budou zapsány do předávacího protokolu</w:t>
      </w:r>
      <w:r w:rsidRPr="00145F1C">
        <w:t xml:space="preserve">. </w:t>
      </w:r>
      <w:r w:rsidR="00643E3C" w:rsidRPr="003A54EF">
        <w:t>Kupující je oprávněn objednané zboží nepřevzít v případě zj</w:t>
      </w:r>
      <w:r w:rsidR="00643E3C">
        <w:t>evných vad takového rozsahu, že </w:t>
      </w:r>
      <w:r w:rsidR="00643E3C" w:rsidRPr="003A54EF">
        <w:t>zboží nelze v důsledku těchto vad užívat, zboží nebude splňovat technické požadavky předmětu plnění dle přílohy č. 1 této smlouvy nebo nebude-li dodáno kompletní.</w:t>
      </w:r>
    </w:p>
    <w:p w:rsidR="00F14C7B" w:rsidRDefault="00F14C7B" w:rsidP="00CC6089">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rsidR="00933A9C">
        <w:t>t zasláno prodávajícímu písemně</w:t>
      </w:r>
      <w:r>
        <w:t xml:space="preserve">. </w:t>
      </w:r>
    </w:p>
    <w:p w:rsidR="008D1D9F" w:rsidRDefault="00F14C7B" w:rsidP="00F14C7B">
      <w:pPr>
        <w:pStyle w:val="22uroven"/>
        <w:ind w:left="510" w:hanging="510"/>
      </w:pPr>
      <w:r w:rsidRPr="003014CE">
        <w:t xml:space="preserve">Tímto nejsou dotčena práva z vadného plnění a právo na náhradu škody dle platných právních předpisů. </w:t>
      </w:r>
    </w:p>
    <w:p w:rsidR="00027D04" w:rsidRPr="00794357" w:rsidRDefault="00027D04" w:rsidP="00A51C5B">
      <w:pPr>
        <w:pStyle w:val="11uroven"/>
      </w:pPr>
      <w:r w:rsidRPr="00794357">
        <w:t>Obaly</w:t>
      </w:r>
    </w:p>
    <w:p w:rsidR="00027D04" w:rsidRPr="00794357" w:rsidRDefault="00027D04" w:rsidP="00AE6F72">
      <w:pPr>
        <w:pStyle w:val="22uroven"/>
        <w:ind w:left="510" w:hanging="510"/>
      </w:pPr>
      <w:r w:rsidRPr="00794357">
        <w:t xml:space="preserve">Palety a ohrádky, ve kterých je zboží dodáváno, jsou majetkem prodávajícího. </w:t>
      </w:r>
    </w:p>
    <w:p w:rsidR="00652916" w:rsidRPr="008F114E" w:rsidRDefault="00652916" w:rsidP="00652916">
      <w:pPr>
        <w:pStyle w:val="22uroven"/>
        <w:ind w:left="510" w:hanging="510"/>
      </w:pPr>
      <w:r w:rsidRPr="008F114E">
        <w:t xml:space="preserve">Tyto obaly </w:t>
      </w:r>
      <w:r>
        <w:t>budou</w:t>
      </w:r>
      <w:r w:rsidRPr="008F114E">
        <w:t xml:space="preserve"> vráceny nepoškozené prodávajícímu</w:t>
      </w:r>
      <w:r>
        <w:t xml:space="preserve"> při předání zboží nebo dle domluvy mezi prodávajícím a kupujícím</w:t>
      </w:r>
      <w:r w:rsidRPr="008F114E">
        <w:t>. Náklady spojené s vrácením obalů nese prodávající.</w:t>
      </w:r>
    </w:p>
    <w:p w:rsidR="00027D04" w:rsidRPr="00794357" w:rsidRDefault="00027D04" w:rsidP="00A51C5B">
      <w:pPr>
        <w:pStyle w:val="11uroven"/>
      </w:pPr>
      <w:r w:rsidRPr="00794357">
        <w:t>Ostatní ujednání</w:t>
      </w:r>
    </w:p>
    <w:p w:rsidR="00FF7516" w:rsidRDefault="00FF7516" w:rsidP="00FF7516">
      <w:pPr>
        <w:pStyle w:val="22uroven"/>
        <w:ind w:left="567" w:hanging="567"/>
      </w:pPr>
      <w:r>
        <w:t>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w:t>
      </w:r>
    </w:p>
    <w:p w:rsidR="00EA1CD2" w:rsidRDefault="00EA1CD2" w:rsidP="00EA1CD2">
      <w:pPr>
        <w:pStyle w:val="22uroven"/>
        <w:ind w:left="567" w:hanging="567"/>
      </w:pPr>
      <w:r>
        <w:t>Prodávající prohlašuje, že je podnikatelem a uzavírá smlouvu při svém podnikání a na smlouvu se tudíž neuplatní ustanovení § 1793</w:t>
      </w:r>
      <w:r w:rsidR="00463219">
        <w:t xml:space="preserve"> odst. 1</w:t>
      </w:r>
      <w:r>
        <w:t xml:space="preserve"> </w:t>
      </w:r>
      <w:r w:rsidR="00463219">
        <w:t>zákona č. 89/2012 Sb., občanský zákoník, ve znění pozdějších předpisů (dále jako „občanský zákoník“)</w:t>
      </w:r>
      <w:r>
        <w:t>.</w:t>
      </w:r>
    </w:p>
    <w:p w:rsidR="00EA1CD2" w:rsidRDefault="00EA1CD2" w:rsidP="00EA1CD2">
      <w:pPr>
        <w:pStyle w:val="22uroven"/>
        <w:ind w:left="567" w:hanging="567"/>
      </w:pPr>
      <w:r>
        <w:t>Prodávající prohlašuje, že na sebe přebírá nebezpečí změny okolnosti podle ustanovení § 1765 občanského zákoníku.</w:t>
      </w:r>
    </w:p>
    <w:p w:rsidR="00EA1CD2" w:rsidRPr="008F114E" w:rsidRDefault="00EA1CD2" w:rsidP="00EA1CD2">
      <w:pPr>
        <w:pStyle w:val="22uroven"/>
        <w:ind w:left="567" w:hanging="567"/>
      </w:pPr>
      <w:r w:rsidRPr="008F114E">
        <w:t>Prodávající se zavazuje, že:</w:t>
      </w:r>
    </w:p>
    <w:p w:rsidR="00EA1CD2" w:rsidRPr="008F114E" w:rsidRDefault="00EA1CD2" w:rsidP="00EA1CD2">
      <w:pPr>
        <w:pStyle w:val="odrka"/>
      </w:pPr>
      <w:r w:rsidRPr="008F114E">
        <w:t>zajistí dodávku zboží v souladu s obecně závaznými právními předpisy v oblasti bezpečnosti a ochrany zdraví při práci (BOZP), požární ochrany (PO) a životního prostředí (ŽP)</w:t>
      </w:r>
    </w:p>
    <w:p w:rsidR="00EA1CD2" w:rsidRDefault="00EA1CD2" w:rsidP="00EA1CD2">
      <w:pPr>
        <w:pStyle w:val="odrka"/>
      </w:pPr>
      <w:r w:rsidRPr="008F114E">
        <w:t>bude v areálech kupujícího jednat v souladu s pokyny, se kterými bude prokazatelně seznámen.</w:t>
      </w:r>
    </w:p>
    <w:p w:rsidR="00EA1CD2" w:rsidRPr="00614DC0" w:rsidRDefault="00EA1CD2" w:rsidP="00EA1CD2">
      <w:pPr>
        <w:pStyle w:val="22uroven"/>
        <w:ind w:left="567" w:hanging="567"/>
      </w:pPr>
      <w:r w:rsidRPr="00614DC0">
        <w:t>Smluvní strany prohlašují, že dostojí svým závazkům, vyplývajícím ze zásady společensky odpovědného zadávání dle § 6 odst. 4 zákona č. 134/2016 Sb., o zadávání veřejných zakázek, ve znění pozdějších předpisů, a to zejména:</w:t>
      </w:r>
    </w:p>
    <w:p w:rsidR="00EA1CD2" w:rsidRDefault="00EA1CD2" w:rsidP="00EA1CD2">
      <w:pPr>
        <w:pStyle w:val="odrka"/>
        <w:numPr>
          <w:ilvl w:val="0"/>
          <w:numId w:val="0"/>
        </w:numPr>
        <w:ind w:left="1406" w:hanging="555"/>
      </w:pPr>
      <w:r>
        <w:t>•</w:t>
      </w:r>
      <w: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EA1CD2" w:rsidRDefault="00EA1CD2" w:rsidP="00EA1CD2">
      <w:pPr>
        <w:pStyle w:val="odrka"/>
        <w:numPr>
          <w:ilvl w:val="0"/>
          <w:numId w:val="0"/>
        </w:numPr>
        <w:ind w:left="1406" w:hanging="555"/>
      </w:pPr>
      <w:r>
        <w:t>•</w:t>
      </w:r>
      <w: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EA1CD2" w:rsidRDefault="00EA1CD2" w:rsidP="00EA1CD2">
      <w:pPr>
        <w:pStyle w:val="odrka"/>
        <w:numPr>
          <w:ilvl w:val="0"/>
          <w:numId w:val="0"/>
        </w:numPr>
        <w:ind w:left="1406" w:hanging="555"/>
      </w:pPr>
      <w:r>
        <w:t>•</w:t>
      </w:r>
      <w: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EA1CD2" w:rsidRDefault="00EA1CD2" w:rsidP="00EA1CD2">
      <w:pPr>
        <w:pStyle w:val="odrka"/>
        <w:numPr>
          <w:ilvl w:val="0"/>
          <w:numId w:val="0"/>
        </w:numPr>
        <w:ind w:left="1406" w:hanging="555"/>
      </w:pPr>
      <w:r>
        <w:t>•</w:t>
      </w:r>
      <w:r>
        <w:tab/>
        <w:t>při plnění zakázky bude preferováno ekonomicky přijatelné řešení pro inovaci, tedy pro implementaci nového nebo značně zlepšeného produktu nebo služby</w:t>
      </w:r>
    </w:p>
    <w:p w:rsidR="00EA1CD2" w:rsidRDefault="00EA1CD2" w:rsidP="00EA1CD2">
      <w:pPr>
        <w:pStyle w:val="odrka"/>
        <w:numPr>
          <w:ilvl w:val="0"/>
          <w:numId w:val="0"/>
        </w:numPr>
        <w:ind w:left="1406" w:hanging="555"/>
      </w:pPr>
      <w:r>
        <w:t>•</w:t>
      </w:r>
      <w:r>
        <w:tab/>
        <w:t xml:space="preserve">při plnění zakázky bude kladen důraz na dodržení postupů a použití materiálů zajišťujících kvalitu dodávky a tento postup doloží příslušnými doklady </w:t>
      </w:r>
    </w:p>
    <w:p w:rsidR="00EA1CD2" w:rsidRDefault="00EA1CD2" w:rsidP="00EA1CD2">
      <w:pPr>
        <w:pStyle w:val="22uroven"/>
        <w:ind w:left="567" w:hanging="567"/>
      </w:pPr>
      <w:r w:rsidRPr="00614DC0">
        <w:lastRenderedPageBreak/>
        <w:t>Prodávající bere na vědomí a souhlasí s tím, že porušování uvedených povinností může být bráno jako podstatné porušení smluvního vztahu.</w:t>
      </w:r>
    </w:p>
    <w:p w:rsidR="00027D04" w:rsidRPr="00794357" w:rsidRDefault="00EA1CD2" w:rsidP="00086D87">
      <w:pPr>
        <w:pStyle w:val="11uroven"/>
        <w:ind w:left="357" w:hanging="357"/>
      </w:pPr>
      <w:r>
        <w:t>Účinnost smlouvy, odstoupení,</w:t>
      </w:r>
      <w:r w:rsidR="00027D04" w:rsidRPr="00794357">
        <w:t xml:space="preserve"> sankce, ukončení smlouvy</w:t>
      </w:r>
    </w:p>
    <w:p w:rsidR="00027D04" w:rsidRPr="00794357" w:rsidRDefault="00027D04" w:rsidP="00A655D5">
      <w:pPr>
        <w:pStyle w:val="22uroven"/>
        <w:ind w:left="567" w:hanging="567"/>
      </w:pPr>
      <w:r w:rsidRPr="00794357">
        <w:t>Tato smlouva je uzavřena dnem podpisu obou smluvních stran s účinnos</w:t>
      </w:r>
      <w:r w:rsidR="00B92653">
        <w:t>tí ode dne podpisu do 31. 10. 2023</w:t>
      </w:r>
      <w:r w:rsidRPr="00794357">
        <w:t>.</w:t>
      </w:r>
    </w:p>
    <w:p w:rsidR="00027D04" w:rsidRPr="00794357" w:rsidRDefault="00027D04" w:rsidP="00A655D5">
      <w:pPr>
        <w:pStyle w:val="22uroven"/>
        <w:ind w:left="567" w:hanging="567"/>
      </w:pPr>
      <w:r w:rsidRPr="00794357">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027D04" w:rsidRPr="00794357" w:rsidRDefault="00027D04" w:rsidP="00A655D5">
      <w:pPr>
        <w:pStyle w:val="22uroven"/>
        <w:ind w:left="567" w:hanging="567"/>
      </w:pPr>
      <w:r w:rsidRPr="00794357">
        <w:t xml:space="preserve">Podstatným porušením této smlouvy se rozumí zejména: </w:t>
      </w:r>
    </w:p>
    <w:p w:rsidR="00027D04" w:rsidRPr="00794357" w:rsidRDefault="00027D04" w:rsidP="00A655D5">
      <w:pPr>
        <w:pStyle w:val="text"/>
        <w:numPr>
          <w:ilvl w:val="0"/>
          <w:numId w:val="19"/>
        </w:numPr>
        <w:ind w:left="567"/>
      </w:pPr>
      <w:r w:rsidRPr="00794357">
        <w:t>nedodržení doby plnění bez řádné dohody s kupujícím</w:t>
      </w:r>
    </w:p>
    <w:p w:rsidR="00027D04" w:rsidRPr="00794357" w:rsidRDefault="00027D04" w:rsidP="00A655D5">
      <w:pPr>
        <w:pStyle w:val="text"/>
        <w:numPr>
          <w:ilvl w:val="0"/>
          <w:numId w:val="19"/>
        </w:numPr>
        <w:ind w:left="567"/>
      </w:pPr>
      <w:r w:rsidRPr="00794357">
        <w:t>nedodržení smluvních cen bez řádné dohody s kupujícím</w:t>
      </w:r>
    </w:p>
    <w:p w:rsidR="00027D04" w:rsidRPr="00794357" w:rsidRDefault="00027D04" w:rsidP="00A655D5">
      <w:pPr>
        <w:pStyle w:val="text"/>
        <w:numPr>
          <w:ilvl w:val="0"/>
          <w:numId w:val="19"/>
        </w:numPr>
        <w:ind w:left="567"/>
      </w:pPr>
      <w:r w:rsidRPr="00794357">
        <w:t>neuhrazení faktury kupujícím po dobu 14 dní po lhůtě splatnosti.</w:t>
      </w:r>
    </w:p>
    <w:p w:rsidR="00027D04" w:rsidRPr="00794357" w:rsidRDefault="00327D0F" w:rsidP="00A655D5">
      <w:pPr>
        <w:widowControl/>
        <w:numPr>
          <w:ilvl w:val="1"/>
          <w:numId w:val="1"/>
        </w:numPr>
        <w:spacing w:before="120" w:after="120"/>
        <w:ind w:left="567" w:hanging="567"/>
      </w:pPr>
      <w:r>
        <w:t>Smlouvu lze</w:t>
      </w:r>
      <w:r w:rsidR="00027D04" w:rsidRPr="00794357">
        <w:t xml:space="preserve"> ukončit: </w:t>
      </w:r>
    </w:p>
    <w:p w:rsidR="00027D04" w:rsidRPr="00794357" w:rsidRDefault="00027D04" w:rsidP="00A655D5">
      <w:pPr>
        <w:widowControl/>
        <w:numPr>
          <w:ilvl w:val="0"/>
          <w:numId w:val="20"/>
        </w:numPr>
        <w:spacing w:before="120" w:after="120"/>
        <w:ind w:left="567"/>
      </w:pPr>
      <w:r w:rsidRPr="00794357">
        <w:t>písemnou dohodou obou smluvních stran,</w:t>
      </w:r>
    </w:p>
    <w:p w:rsidR="00027D04" w:rsidRPr="00794357" w:rsidRDefault="00027D04" w:rsidP="00A655D5">
      <w:pPr>
        <w:widowControl/>
        <w:numPr>
          <w:ilvl w:val="0"/>
          <w:numId w:val="20"/>
        </w:numPr>
        <w:spacing w:before="120" w:after="120"/>
        <w:ind w:left="567"/>
      </w:pPr>
      <w:r w:rsidRPr="00794357">
        <w:t>písemnou výpovědí s výpovědní dobou 3 měsíců. Výpovědní doba počíná běžet první den měsíce následujícího po obdržení výpovědi,</w:t>
      </w:r>
    </w:p>
    <w:p w:rsidR="00027D04" w:rsidRPr="00794357" w:rsidRDefault="00027D04" w:rsidP="00A655D5">
      <w:pPr>
        <w:widowControl/>
        <w:numPr>
          <w:ilvl w:val="0"/>
          <w:numId w:val="20"/>
        </w:numPr>
        <w:spacing w:before="120" w:after="120"/>
        <w:ind w:left="567"/>
      </w:pPr>
      <w:r w:rsidRPr="00794357">
        <w:t>zánikem jedné ze smluvních stran bez právního nástupce.</w:t>
      </w:r>
    </w:p>
    <w:p w:rsidR="00027D04" w:rsidRPr="00794357" w:rsidRDefault="00027D04" w:rsidP="00A655D5">
      <w:pPr>
        <w:pStyle w:val="22uroven"/>
        <w:ind w:left="567" w:hanging="567"/>
      </w:pPr>
      <w:r w:rsidRPr="00794357">
        <w:t>V případě ukončení smlouvy se smluvní strany zavazují dohodnout se na způsobu vypořádání vzájemných závazků.</w:t>
      </w:r>
    </w:p>
    <w:p w:rsidR="00027D04" w:rsidRDefault="00027D04" w:rsidP="00A655D5">
      <w:pPr>
        <w:pStyle w:val="22uroven"/>
        <w:ind w:left="567" w:hanging="567"/>
      </w:pPr>
      <w:r w:rsidRPr="00794357">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rsidR="00606A7F" w:rsidRPr="009E4538" w:rsidRDefault="00606A7F" w:rsidP="00606A7F">
      <w:pPr>
        <w:pStyle w:val="22uroven"/>
        <w:ind w:left="567" w:hanging="567"/>
      </w:pPr>
      <w:r w:rsidRPr="009E4538">
        <w:t xml:space="preserve">Zaplacením smluvní pokuty a </w:t>
      </w:r>
      <w:r>
        <w:t xml:space="preserve">případného zákonného </w:t>
      </w:r>
      <w:r w:rsidRPr="009E4538">
        <w:t>úroku z prodlení není dotčen nárok smluvních stran na náhradu škody ani povinnost prodávajícího řádně dodat zboží.</w:t>
      </w:r>
    </w:p>
    <w:p w:rsidR="00027D04" w:rsidRPr="00794357" w:rsidRDefault="00027D04" w:rsidP="00D859F6">
      <w:pPr>
        <w:pStyle w:val="11uroven"/>
      </w:pPr>
      <w:r w:rsidRPr="00794357">
        <w:t>Dodatky a změny smlouvy</w:t>
      </w:r>
    </w:p>
    <w:p w:rsidR="00027D04" w:rsidRPr="00794357" w:rsidRDefault="00027D04" w:rsidP="00661FDB">
      <w:pPr>
        <w:pStyle w:val="22uroven"/>
        <w:ind w:left="567" w:hanging="567"/>
      </w:pPr>
      <w:r w:rsidRPr="00794357">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w:t>
      </w:r>
      <w:proofErr w:type="gramStart"/>
      <w:r w:rsidRPr="00794357">
        <w:t>strany  neakceptují</w:t>
      </w:r>
      <w:proofErr w:type="gramEnd"/>
      <w:r w:rsidRPr="00794357">
        <w:t xml:space="preserve">  právní jednání  protistrany  učiněné elektronicky  nebo  jinými  technickými  </w:t>
      </w:r>
      <w:r w:rsidR="00B80ADE">
        <w:t>prostředky. Smluvní strany vylučují</w:t>
      </w:r>
      <w:r w:rsidRPr="00794357">
        <w:t xml:space="preserve"> př</w:t>
      </w:r>
      <w:r w:rsidR="00B80ADE">
        <w:t xml:space="preserve">ijetí nabídky s dodatkem nebo </w:t>
      </w:r>
      <w:r w:rsidRPr="00794357">
        <w:t>odchylkou.</w:t>
      </w:r>
    </w:p>
    <w:p w:rsidR="00027D04" w:rsidRPr="00794357" w:rsidRDefault="00027D04" w:rsidP="00A51C5B">
      <w:pPr>
        <w:pStyle w:val="11uroven"/>
      </w:pPr>
      <w:r w:rsidRPr="00794357">
        <w:t>Závěrečná ujednání</w:t>
      </w:r>
    </w:p>
    <w:p w:rsidR="00027D04" w:rsidRPr="00794357" w:rsidRDefault="00027D04" w:rsidP="00EA14D4">
      <w:pPr>
        <w:pStyle w:val="22uroven"/>
        <w:ind w:left="567" w:hanging="567"/>
      </w:pPr>
      <w:r w:rsidRPr="00794357">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8F3A00">
        <w:t>netových stránkách www.bvk.cz a </w:t>
      </w:r>
      <w:r w:rsidRPr="00794357">
        <w:t>v sídle společnosti.</w:t>
      </w:r>
    </w:p>
    <w:p w:rsidR="00027D04" w:rsidRPr="00794357" w:rsidRDefault="00027D04" w:rsidP="00EA14D4">
      <w:pPr>
        <w:pStyle w:val="22uroven"/>
        <w:ind w:left="567" w:hanging="567"/>
      </w:pPr>
      <w:r w:rsidRPr="00794357">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w:t>
      </w:r>
      <w:r w:rsidR="008F3A00">
        <w:t>t emailovou adresu: ethics@suez</w:t>
      </w:r>
      <w:r w:rsidRPr="00794357">
        <w:t>.com.</w:t>
      </w:r>
    </w:p>
    <w:p w:rsidR="00027D04" w:rsidRPr="00794357" w:rsidRDefault="00027D04" w:rsidP="00EA14D4">
      <w:pPr>
        <w:pStyle w:val="22uroven"/>
        <w:ind w:left="567" w:hanging="567"/>
      </w:pPr>
      <w:r w:rsidRPr="00794357">
        <w:t>Smlouva je vyhotovena ve 2 stejnopisech, z nichž 1 obdrží prodávající a 1 kupující.</w:t>
      </w:r>
    </w:p>
    <w:p w:rsidR="00027D04" w:rsidRPr="00794357" w:rsidRDefault="00027D04" w:rsidP="009B1B17">
      <w:pPr>
        <w:pStyle w:val="22uroven"/>
        <w:ind w:left="567" w:hanging="567"/>
      </w:pPr>
      <w:r w:rsidRPr="00794357">
        <w:lastRenderedPageBreak/>
        <w:t>Kupující se touto smlouvou zavazuje převzít pouze zboží, které jím bylo závazně a v souladu s touto smlouvou objednáno. Kupující si vyhrazuje právo odebrat zboží na zák</w:t>
      </w:r>
      <w:r w:rsidR="009B1B17">
        <w:t>ladě jeho provozních potřeb a v </w:t>
      </w:r>
      <w:r w:rsidRPr="00794357">
        <w:t xml:space="preserve">menším objemu než je uvedeno v </w:t>
      </w:r>
      <w:r w:rsidR="00067385">
        <w:t xml:space="preserve">příloze </w:t>
      </w:r>
      <w:r w:rsidR="009B1B17">
        <w:t xml:space="preserve">č. 1 </w:t>
      </w:r>
      <w:r w:rsidRPr="00794357">
        <w:t>smlouvy</w:t>
      </w:r>
      <w:r w:rsidR="004E4390">
        <w:t>, a to bez jakýchkoliv sankcí ze strany prodávajícího</w:t>
      </w:r>
      <w:r w:rsidRPr="00794357">
        <w:t>.</w:t>
      </w:r>
    </w:p>
    <w:p w:rsidR="00F8700E" w:rsidRPr="00BB51B2" w:rsidRDefault="00F8700E" w:rsidP="00F8700E">
      <w:pPr>
        <w:pStyle w:val="22uroven"/>
        <w:ind w:left="567" w:hanging="567"/>
      </w:pPr>
      <w:r w:rsidRPr="00BB51B2">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t xml:space="preserve"> dohodly, že Brněnské vodárny a </w:t>
      </w:r>
      <w:r w:rsidRPr="00BB51B2">
        <w:t>kanalizace, a.s. zajistí zveřejnění smlouvy v registru smluv.</w:t>
      </w:r>
      <w:r>
        <w:t xml:space="preserve"> </w:t>
      </w:r>
    </w:p>
    <w:p w:rsidR="00027D04" w:rsidRPr="00794357" w:rsidRDefault="00027D04" w:rsidP="00F8700E">
      <w:pPr>
        <w:pStyle w:val="22uroven"/>
        <w:ind w:left="567" w:hanging="567"/>
      </w:pPr>
      <w:r w:rsidRPr="00794357">
        <w:t xml:space="preserve">Smluvní strany prohlašují, že údaje uvedené v této smlouvě nejsou informacemi požívajícími ochrany důvěrnosti majetkových poměrů. </w:t>
      </w:r>
    </w:p>
    <w:p w:rsidR="00F8700E" w:rsidRPr="00BB51B2" w:rsidRDefault="00F8700E" w:rsidP="00F8700E">
      <w:pPr>
        <w:pStyle w:val="22uroven"/>
        <w:ind w:left="567" w:hanging="567"/>
      </w:pPr>
      <w:r>
        <w:t>Prodávající dále</w:t>
      </w:r>
      <w:r w:rsidRPr="00E74D6A">
        <w:t xml:space="preserve"> výslovně uvádí, </w:t>
      </w:r>
      <w:r w:rsidRPr="00BB51B2">
        <w:t xml:space="preserve">že skutečnosti uvedené v této smlouvě nepovažuje za obchodní tajemství ve smyslu ustanovení § 504 občanského zákoníku a uděluje svolení k jejich užití a zveřejnění </w:t>
      </w:r>
      <w:r w:rsidR="0064368D">
        <w:t>s výjimkou informací o jednotkových cenách zboží, předpokládaném množství</w:t>
      </w:r>
      <w:r w:rsidR="008E62AF">
        <w:t xml:space="preserve"> odebraného zboží</w:t>
      </w:r>
      <w:r w:rsidR="00A61F8D">
        <w:t xml:space="preserve"> a </w:t>
      </w:r>
      <w:r w:rsidR="0064368D">
        <w:t xml:space="preserve">technické specifikaci zboží uvedené </w:t>
      </w:r>
      <w:r w:rsidR="008E62AF">
        <w:t>v příloze</w:t>
      </w:r>
      <w:r w:rsidR="0064368D">
        <w:t xml:space="preserve"> č. 1 této smlouvy. Prodávající nesouhlasí s uveřejněním specifikovaných údajů. </w:t>
      </w:r>
    </w:p>
    <w:p w:rsidR="00F8700E" w:rsidRPr="00BB51B2" w:rsidRDefault="00F8700E" w:rsidP="00F8700E">
      <w:pPr>
        <w:pStyle w:val="22uroven"/>
        <w:ind w:left="567" w:hanging="567"/>
      </w:pPr>
      <w:r w:rsidRPr="00BB51B2">
        <w:t>Kupující výslovně uvádí, že skutečnosti uvedené v této smlouvě nepo</w:t>
      </w:r>
      <w:r>
        <w:t>važuje za obchodní tajemství ve </w:t>
      </w:r>
      <w:r w:rsidRPr="00BB51B2">
        <w:t xml:space="preserve">smyslu ustanovení § 504 občanského zákoníku a uděluje svolení </w:t>
      </w:r>
      <w:r>
        <w:t>k jejich užití a zveřejnění bez </w:t>
      </w:r>
      <w:r w:rsidRPr="00BB51B2">
        <w:t xml:space="preserve">stanovení jakýchkoliv dalších podmínek. </w:t>
      </w:r>
    </w:p>
    <w:p w:rsidR="00F8700E" w:rsidRPr="00672974" w:rsidRDefault="00F8700E" w:rsidP="00F8700E">
      <w:pPr>
        <w:pStyle w:val="22uroven"/>
        <w:ind w:left="567" w:hanging="567"/>
      </w:pPr>
      <w:r>
        <w:t>Smluvní strany shodně prohlašují, že tuto kupní smlouvu uzavírají svobodně a vážně, že považují jeho obsah za určitý a srozumitelný, souhlasí s ním a že jsou jim známy veškeré skutečnosti, jež jsou pro uzavření této kupní smlouvy rozhodující, na důkaz čehož připojují své podpisy.</w:t>
      </w:r>
    </w:p>
    <w:p w:rsidR="00027D04" w:rsidRPr="00794357" w:rsidRDefault="00027D04" w:rsidP="00F8700E">
      <w:pPr>
        <w:pStyle w:val="22uroven"/>
        <w:ind w:left="567" w:hanging="567"/>
      </w:pPr>
      <w:r w:rsidRPr="00794357">
        <w:t>Součástí smlouvy jsou následující přílohy:</w:t>
      </w:r>
    </w:p>
    <w:p w:rsidR="00027D04" w:rsidRPr="00794357" w:rsidRDefault="00027D04" w:rsidP="00A51C5B">
      <w:pPr>
        <w:pStyle w:val="text"/>
        <w:ind w:left="510"/>
      </w:pPr>
      <w:r w:rsidRPr="00794357">
        <w:t>Příloha č. l – Specifikace předmětu plnění</w:t>
      </w:r>
    </w:p>
    <w:p w:rsidR="00027D04" w:rsidRPr="00794357" w:rsidRDefault="00027D04" w:rsidP="00A51C5B">
      <w:pPr>
        <w:rPr>
          <w:b/>
        </w:rPr>
      </w:pPr>
    </w:p>
    <w:tbl>
      <w:tblPr>
        <w:tblW w:w="0" w:type="auto"/>
        <w:tblCellMar>
          <w:left w:w="70" w:type="dxa"/>
          <w:right w:w="70" w:type="dxa"/>
        </w:tblCellMar>
        <w:tblLook w:val="0000" w:firstRow="0" w:lastRow="0" w:firstColumn="0" w:lastColumn="0" w:noHBand="0" w:noVBand="0"/>
      </w:tblPr>
      <w:tblGrid>
        <w:gridCol w:w="1873"/>
        <w:gridCol w:w="683"/>
        <w:gridCol w:w="1758"/>
        <w:gridCol w:w="527"/>
        <w:gridCol w:w="2071"/>
        <w:gridCol w:w="714"/>
        <w:gridCol w:w="1446"/>
      </w:tblGrid>
      <w:tr w:rsidR="00672EB7" w:rsidRPr="00794357" w:rsidTr="004D11E8">
        <w:tc>
          <w:tcPr>
            <w:tcW w:w="1913" w:type="dxa"/>
          </w:tcPr>
          <w:p w:rsidR="00027D04" w:rsidRPr="00794357" w:rsidRDefault="00027D04" w:rsidP="00E71562">
            <w:r w:rsidRPr="00794357">
              <w:t xml:space="preserve">V  </w:t>
            </w:r>
            <w:r w:rsidR="00E71562">
              <w:rPr>
                <w:noProof/>
              </w:rPr>
              <w:t>Ostrovačičích</w:t>
            </w:r>
          </w:p>
        </w:tc>
        <w:tc>
          <w:tcPr>
            <w:tcW w:w="709" w:type="dxa"/>
          </w:tcPr>
          <w:p w:rsidR="00027D04" w:rsidRPr="00794357" w:rsidRDefault="00027D04" w:rsidP="004D11E8">
            <w:r w:rsidRPr="00794357">
              <w:t>dne</w:t>
            </w:r>
          </w:p>
        </w:tc>
        <w:tc>
          <w:tcPr>
            <w:tcW w:w="1843" w:type="dxa"/>
          </w:tcPr>
          <w:p w:rsidR="00027D04" w:rsidRPr="00794357" w:rsidRDefault="00672EB7" w:rsidP="004D11E8">
            <w:proofErr w:type="gramStart"/>
            <w:r>
              <w:t>1.11.2022</w:t>
            </w:r>
            <w:proofErr w:type="gramEnd"/>
          </w:p>
        </w:tc>
        <w:tc>
          <w:tcPr>
            <w:tcW w:w="567" w:type="dxa"/>
          </w:tcPr>
          <w:p w:rsidR="00027D04" w:rsidRPr="00794357" w:rsidRDefault="00027D04" w:rsidP="004D11E8"/>
        </w:tc>
        <w:tc>
          <w:tcPr>
            <w:tcW w:w="2232" w:type="dxa"/>
          </w:tcPr>
          <w:p w:rsidR="00027D04" w:rsidRPr="00794357" w:rsidRDefault="00027D04" w:rsidP="004D11E8">
            <w:r w:rsidRPr="00794357">
              <w:t>V Brně</w:t>
            </w:r>
          </w:p>
        </w:tc>
        <w:tc>
          <w:tcPr>
            <w:tcW w:w="744" w:type="dxa"/>
          </w:tcPr>
          <w:p w:rsidR="00027D04" w:rsidRPr="00794357" w:rsidRDefault="00027D04" w:rsidP="004D11E8">
            <w:r w:rsidRPr="00794357">
              <w:t>dne</w:t>
            </w:r>
          </w:p>
        </w:tc>
        <w:tc>
          <w:tcPr>
            <w:tcW w:w="1488" w:type="dxa"/>
          </w:tcPr>
          <w:p w:rsidR="00027D04" w:rsidRPr="00794357" w:rsidRDefault="00672EB7" w:rsidP="004D11E8">
            <w:proofErr w:type="gramStart"/>
            <w:r>
              <w:t>31.10.2022</w:t>
            </w:r>
            <w:proofErr w:type="gramEnd"/>
          </w:p>
        </w:tc>
      </w:tr>
      <w:tr w:rsidR="00027D04" w:rsidRPr="00794357" w:rsidTr="004D11E8">
        <w:tc>
          <w:tcPr>
            <w:tcW w:w="4465" w:type="dxa"/>
            <w:gridSpan w:val="3"/>
          </w:tcPr>
          <w:p w:rsidR="00916F2D" w:rsidRDefault="00916F2D" w:rsidP="004D11E8"/>
          <w:p w:rsidR="00027D04" w:rsidRPr="00794357" w:rsidRDefault="00027D04" w:rsidP="004D11E8">
            <w:r w:rsidRPr="00794357">
              <w:t>Za prodávajícího</w:t>
            </w:r>
          </w:p>
        </w:tc>
        <w:tc>
          <w:tcPr>
            <w:tcW w:w="567" w:type="dxa"/>
          </w:tcPr>
          <w:p w:rsidR="00027D04" w:rsidRPr="00794357" w:rsidRDefault="00027D04" w:rsidP="004D11E8"/>
        </w:tc>
        <w:tc>
          <w:tcPr>
            <w:tcW w:w="4464" w:type="dxa"/>
            <w:gridSpan w:val="3"/>
          </w:tcPr>
          <w:p w:rsidR="00916F2D" w:rsidRDefault="00916F2D" w:rsidP="004D11E8"/>
          <w:p w:rsidR="00027D04" w:rsidRPr="00794357" w:rsidRDefault="00027D04" w:rsidP="004D11E8">
            <w:r w:rsidRPr="00794357">
              <w:t>Za kupujícího</w:t>
            </w:r>
          </w:p>
        </w:tc>
      </w:tr>
      <w:tr w:rsidR="00027D04" w:rsidRPr="00794357" w:rsidTr="004D11E8">
        <w:trPr>
          <w:trHeight w:val="1475"/>
        </w:trPr>
        <w:tc>
          <w:tcPr>
            <w:tcW w:w="4465" w:type="dxa"/>
            <w:gridSpan w:val="3"/>
            <w:tcBorders>
              <w:bottom w:val="dashed" w:sz="4" w:space="0" w:color="auto"/>
            </w:tcBorders>
          </w:tcPr>
          <w:p w:rsidR="00027D04" w:rsidRPr="00794357" w:rsidRDefault="00027D04" w:rsidP="004D11E8"/>
        </w:tc>
        <w:tc>
          <w:tcPr>
            <w:tcW w:w="567" w:type="dxa"/>
          </w:tcPr>
          <w:p w:rsidR="00027D04" w:rsidRPr="00794357" w:rsidRDefault="00027D04" w:rsidP="004D11E8"/>
        </w:tc>
        <w:tc>
          <w:tcPr>
            <w:tcW w:w="4464" w:type="dxa"/>
            <w:gridSpan w:val="3"/>
            <w:tcBorders>
              <w:bottom w:val="dashed" w:sz="4" w:space="0" w:color="auto"/>
            </w:tcBorders>
          </w:tcPr>
          <w:p w:rsidR="00027D04" w:rsidRPr="00794357" w:rsidRDefault="00027D04" w:rsidP="004D11E8"/>
        </w:tc>
      </w:tr>
      <w:tr w:rsidR="00027D04" w:rsidRPr="00794357" w:rsidTr="004D11E8">
        <w:tc>
          <w:tcPr>
            <w:tcW w:w="4465" w:type="dxa"/>
            <w:gridSpan w:val="3"/>
            <w:tcBorders>
              <w:top w:val="dashed" w:sz="4" w:space="0" w:color="auto"/>
            </w:tcBorders>
          </w:tcPr>
          <w:p w:rsidR="00592902" w:rsidRPr="00794357" w:rsidRDefault="00592902" w:rsidP="00592902">
            <w:pPr>
              <w:pStyle w:val="zarovnannasted"/>
              <w:rPr>
                <w:sz w:val="20"/>
              </w:rPr>
            </w:pPr>
            <w:r w:rsidRPr="00794357">
              <w:rPr>
                <w:noProof/>
                <w:sz w:val="20"/>
              </w:rPr>
              <w:t>ATJ special, s.r.o.</w:t>
            </w:r>
          </w:p>
          <w:p w:rsidR="00027D04" w:rsidRPr="00794357" w:rsidRDefault="00592902" w:rsidP="00592902">
            <w:pPr>
              <w:pStyle w:val="zarovnannasted"/>
              <w:rPr>
                <w:sz w:val="20"/>
              </w:rPr>
            </w:pPr>
            <w:r>
              <w:rPr>
                <w:noProof/>
                <w:sz w:val="20"/>
              </w:rPr>
              <w:t>Dana Psotová</w:t>
            </w:r>
            <w:r w:rsidRPr="00794357">
              <w:rPr>
                <w:noProof/>
                <w:sz w:val="20"/>
              </w:rPr>
              <w:t>, jednatel</w:t>
            </w:r>
            <w:r>
              <w:rPr>
                <w:noProof/>
                <w:sz w:val="20"/>
              </w:rPr>
              <w:t>ka</w:t>
            </w:r>
          </w:p>
        </w:tc>
        <w:tc>
          <w:tcPr>
            <w:tcW w:w="567" w:type="dxa"/>
          </w:tcPr>
          <w:p w:rsidR="00027D04" w:rsidRPr="00794357" w:rsidRDefault="00027D04" w:rsidP="004D11E8"/>
        </w:tc>
        <w:tc>
          <w:tcPr>
            <w:tcW w:w="4464" w:type="dxa"/>
            <w:gridSpan w:val="3"/>
            <w:tcBorders>
              <w:top w:val="dashed" w:sz="4" w:space="0" w:color="auto"/>
            </w:tcBorders>
          </w:tcPr>
          <w:p w:rsidR="00027D04" w:rsidRPr="00794357" w:rsidRDefault="00027D04" w:rsidP="004D11E8">
            <w:pPr>
              <w:pStyle w:val="zarovnannasted"/>
              <w:rPr>
                <w:sz w:val="20"/>
              </w:rPr>
            </w:pPr>
            <w:r w:rsidRPr="00794357">
              <w:rPr>
                <w:sz w:val="20"/>
              </w:rPr>
              <w:t>Brněnské vodárny a kanalizace, a.s.</w:t>
            </w:r>
          </w:p>
          <w:p w:rsidR="00027D04" w:rsidRPr="00794357" w:rsidRDefault="00B615E4" w:rsidP="00027D04">
            <w:pPr>
              <w:pStyle w:val="zarovnannasted"/>
              <w:rPr>
                <w:sz w:val="20"/>
              </w:rPr>
            </w:pPr>
            <w:r>
              <w:rPr>
                <w:sz w:val="20"/>
              </w:rPr>
              <w:t>XXX</w:t>
            </w:r>
          </w:p>
        </w:tc>
      </w:tr>
    </w:tbl>
    <w:p w:rsidR="00027D04" w:rsidRPr="00794357" w:rsidRDefault="00027D04" w:rsidP="00257A5F"/>
    <w:tbl>
      <w:tblPr>
        <w:tblW w:w="0" w:type="auto"/>
        <w:tblCellMar>
          <w:left w:w="70" w:type="dxa"/>
          <w:right w:w="70" w:type="dxa"/>
        </w:tblCellMar>
        <w:tblLook w:val="0000" w:firstRow="0" w:lastRow="0" w:firstColumn="0" w:lastColumn="0" w:noHBand="0" w:noVBand="0"/>
      </w:tblPr>
      <w:tblGrid>
        <w:gridCol w:w="4465"/>
      </w:tblGrid>
      <w:tr w:rsidR="001876C1" w:rsidRPr="00794357" w:rsidTr="00E377CF">
        <w:trPr>
          <w:trHeight w:val="1475"/>
        </w:trPr>
        <w:tc>
          <w:tcPr>
            <w:tcW w:w="4465" w:type="dxa"/>
            <w:tcBorders>
              <w:bottom w:val="dashed" w:sz="4" w:space="0" w:color="auto"/>
            </w:tcBorders>
          </w:tcPr>
          <w:p w:rsidR="001876C1" w:rsidRPr="00794357" w:rsidRDefault="001876C1" w:rsidP="00E377CF"/>
        </w:tc>
      </w:tr>
      <w:tr w:rsidR="001876C1" w:rsidRPr="00794357" w:rsidTr="001876C1">
        <w:trPr>
          <w:trHeight w:val="70"/>
        </w:trPr>
        <w:tc>
          <w:tcPr>
            <w:tcW w:w="4465" w:type="dxa"/>
            <w:tcBorders>
              <w:top w:val="dashed" w:sz="4" w:space="0" w:color="auto"/>
            </w:tcBorders>
          </w:tcPr>
          <w:p w:rsidR="001876C1" w:rsidRPr="00794357" w:rsidRDefault="001876C1" w:rsidP="00E377CF">
            <w:pPr>
              <w:pStyle w:val="zarovnannasted"/>
              <w:rPr>
                <w:sz w:val="20"/>
              </w:rPr>
            </w:pPr>
            <w:r w:rsidRPr="00794357">
              <w:rPr>
                <w:noProof/>
                <w:sz w:val="20"/>
              </w:rPr>
              <w:t>ATJ special, s.r.o.</w:t>
            </w:r>
          </w:p>
          <w:p w:rsidR="001876C1" w:rsidRDefault="001876C1" w:rsidP="00E377CF">
            <w:pPr>
              <w:pStyle w:val="zarovnannasted"/>
              <w:rPr>
                <w:noProof/>
                <w:sz w:val="20"/>
              </w:rPr>
            </w:pPr>
            <w:r>
              <w:rPr>
                <w:noProof/>
                <w:sz w:val="20"/>
              </w:rPr>
              <w:t>Ing. Pavel Kazda</w:t>
            </w:r>
            <w:r w:rsidRPr="00794357">
              <w:rPr>
                <w:noProof/>
                <w:sz w:val="20"/>
              </w:rPr>
              <w:t>,</w:t>
            </w:r>
            <w:r>
              <w:rPr>
                <w:noProof/>
                <w:sz w:val="20"/>
              </w:rPr>
              <w:t xml:space="preserve"> MBA,</w:t>
            </w:r>
          </w:p>
          <w:p w:rsidR="001876C1" w:rsidRPr="00794357" w:rsidRDefault="001876C1" w:rsidP="00E377CF">
            <w:pPr>
              <w:pStyle w:val="zarovnannasted"/>
              <w:rPr>
                <w:sz w:val="20"/>
              </w:rPr>
            </w:pPr>
            <w:r w:rsidRPr="00794357">
              <w:rPr>
                <w:noProof/>
                <w:sz w:val="20"/>
              </w:rPr>
              <w:t xml:space="preserve"> jednatel</w:t>
            </w:r>
            <w:r>
              <w:rPr>
                <w:noProof/>
                <w:sz w:val="20"/>
              </w:rPr>
              <w:t xml:space="preserve"> a ředitel společnosti</w:t>
            </w:r>
          </w:p>
        </w:tc>
      </w:tr>
    </w:tbl>
    <w:p w:rsidR="00027D04" w:rsidRPr="00794357" w:rsidRDefault="00027D04" w:rsidP="00F54A43">
      <w:r w:rsidRPr="00794357">
        <w:br w:type="page"/>
      </w:r>
    </w:p>
    <w:p w:rsidR="009C57CE" w:rsidRDefault="00027D04" w:rsidP="006B463D">
      <w:pPr>
        <w:pStyle w:val="0Nzevsmlouvy-nejvyssiroven"/>
      </w:pPr>
      <w:r w:rsidRPr="00794357">
        <w:lastRenderedPageBreak/>
        <w:t xml:space="preserve">Příloha č. 1 ke kupní smlouvě </w:t>
      </w:r>
      <w:r w:rsidR="006B463D">
        <w:t>č. SML/0478/22</w:t>
      </w:r>
    </w:p>
    <w:p w:rsidR="006B463D" w:rsidRDefault="006B463D" w:rsidP="006B463D"/>
    <w:p w:rsidR="006B463D" w:rsidRPr="006B463D" w:rsidRDefault="006B463D" w:rsidP="006B463D"/>
    <w:p w:rsidR="00027D04" w:rsidRPr="00794357" w:rsidRDefault="00027D04" w:rsidP="004D11E8">
      <w:pPr>
        <w:pStyle w:val="text"/>
        <w:rPr>
          <w:b/>
        </w:rPr>
      </w:pPr>
      <w:r w:rsidRPr="00794357">
        <w:rPr>
          <w:b/>
        </w:rPr>
        <w:t>Prodávající:</w:t>
      </w:r>
    </w:p>
    <w:tbl>
      <w:tblPr>
        <w:tblW w:w="8538" w:type="dxa"/>
        <w:tblInd w:w="534" w:type="dxa"/>
        <w:tblLook w:val="04A0" w:firstRow="1" w:lastRow="0" w:firstColumn="1" w:lastColumn="0" w:noHBand="0" w:noVBand="1"/>
      </w:tblPr>
      <w:tblGrid>
        <w:gridCol w:w="1120"/>
        <w:gridCol w:w="7418"/>
      </w:tblGrid>
      <w:tr w:rsidR="00916F2D" w:rsidRPr="00794357" w:rsidTr="00916F2D">
        <w:tc>
          <w:tcPr>
            <w:tcW w:w="1120" w:type="dxa"/>
            <w:shd w:val="clear" w:color="auto" w:fill="auto"/>
          </w:tcPr>
          <w:p w:rsidR="00916F2D" w:rsidRPr="00794357" w:rsidRDefault="00916F2D" w:rsidP="00916F2D">
            <w:pPr>
              <w:pStyle w:val="text"/>
            </w:pPr>
          </w:p>
        </w:tc>
        <w:tc>
          <w:tcPr>
            <w:tcW w:w="7418" w:type="dxa"/>
          </w:tcPr>
          <w:p w:rsidR="00916F2D" w:rsidRPr="008F114E" w:rsidRDefault="0025636D" w:rsidP="00916F2D">
            <w:pPr>
              <w:pStyle w:val="text"/>
            </w:pPr>
            <w:r>
              <w:rPr>
                <w:noProof/>
              </w:rPr>
              <w:t>ATJ special,</w:t>
            </w:r>
            <w:r w:rsidR="00916F2D" w:rsidRPr="008F114E">
              <w:rPr>
                <w:noProof/>
              </w:rPr>
              <w:t xml:space="preserve"> s r.o.</w:t>
            </w:r>
          </w:p>
        </w:tc>
      </w:tr>
      <w:tr w:rsidR="00916F2D" w:rsidRPr="00794357" w:rsidTr="00916F2D">
        <w:tc>
          <w:tcPr>
            <w:tcW w:w="1120" w:type="dxa"/>
            <w:shd w:val="clear" w:color="auto" w:fill="auto"/>
          </w:tcPr>
          <w:p w:rsidR="00916F2D" w:rsidRPr="00794357" w:rsidRDefault="00916F2D" w:rsidP="00916F2D">
            <w:pPr>
              <w:pStyle w:val="text"/>
            </w:pPr>
            <w:r w:rsidRPr="00794357">
              <w:t>Sídlo:</w:t>
            </w:r>
          </w:p>
        </w:tc>
        <w:tc>
          <w:tcPr>
            <w:tcW w:w="7418" w:type="dxa"/>
          </w:tcPr>
          <w:p w:rsidR="00916F2D" w:rsidRPr="008F114E" w:rsidRDefault="0025636D" w:rsidP="00916F2D">
            <w:pPr>
              <w:pStyle w:val="text"/>
            </w:pPr>
            <w:r>
              <w:rPr>
                <w:noProof/>
              </w:rPr>
              <w:t>Veveří 211, 664 81 Ostrovačice</w:t>
            </w:r>
          </w:p>
        </w:tc>
      </w:tr>
      <w:tr w:rsidR="00916F2D" w:rsidRPr="00794357" w:rsidTr="00916F2D">
        <w:tc>
          <w:tcPr>
            <w:tcW w:w="8538" w:type="dxa"/>
            <w:gridSpan w:val="2"/>
            <w:shd w:val="clear" w:color="auto" w:fill="auto"/>
          </w:tcPr>
          <w:p w:rsidR="00916F2D" w:rsidRPr="00794357" w:rsidRDefault="0025636D" w:rsidP="00E93804">
            <w:pPr>
              <w:pStyle w:val="text"/>
            </w:pPr>
            <w:r>
              <w:rPr>
                <w:noProof/>
              </w:rPr>
              <w:t>Subjekt zapsán v</w:t>
            </w:r>
            <w:r w:rsidR="00E93804">
              <w:rPr>
                <w:noProof/>
              </w:rPr>
              <w:t> obchodním rejstříku</w:t>
            </w:r>
            <w:r>
              <w:rPr>
                <w:noProof/>
              </w:rPr>
              <w:t xml:space="preserve"> u Krajského soudu v Brně, oddíl </w:t>
            </w:r>
            <w:r w:rsidR="00916F2D" w:rsidRPr="00794357">
              <w:rPr>
                <w:noProof/>
              </w:rPr>
              <w:t>C, vložka 11687</w:t>
            </w:r>
          </w:p>
        </w:tc>
      </w:tr>
      <w:tr w:rsidR="00916F2D" w:rsidRPr="00794357" w:rsidTr="00916F2D">
        <w:tc>
          <w:tcPr>
            <w:tcW w:w="1120" w:type="dxa"/>
            <w:shd w:val="clear" w:color="auto" w:fill="auto"/>
          </w:tcPr>
          <w:p w:rsidR="00916F2D" w:rsidRPr="00794357" w:rsidRDefault="00916F2D" w:rsidP="00916F2D">
            <w:pPr>
              <w:pStyle w:val="text"/>
            </w:pPr>
            <w:r w:rsidRPr="00794357">
              <w:t>IČO:</w:t>
            </w:r>
          </w:p>
        </w:tc>
        <w:tc>
          <w:tcPr>
            <w:tcW w:w="7418" w:type="dxa"/>
          </w:tcPr>
          <w:p w:rsidR="00916F2D" w:rsidRPr="008F114E" w:rsidRDefault="0025636D" w:rsidP="00916F2D">
            <w:pPr>
              <w:pStyle w:val="text"/>
            </w:pPr>
            <w:r>
              <w:rPr>
                <w:noProof/>
              </w:rPr>
              <w:t>494 32 851</w:t>
            </w:r>
          </w:p>
        </w:tc>
      </w:tr>
    </w:tbl>
    <w:p w:rsidR="00027D04" w:rsidRPr="00794357" w:rsidRDefault="00027D04" w:rsidP="004D11E8">
      <w:pPr>
        <w:pStyle w:val="text"/>
        <w:rPr>
          <w:b/>
        </w:rPr>
      </w:pPr>
      <w:r w:rsidRPr="00794357">
        <w:rPr>
          <w:b/>
        </w:rPr>
        <w:t>Kupující:</w:t>
      </w:r>
    </w:p>
    <w:tbl>
      <w:tblPr>
        <w:tblW w:w="0" w:type="auto"/>
        <w:tblInd w:w="534" w:type="dxa"/>
        <w:tblLook w:val="04A0" w:firstRow="1" w:lastRow="0" w:firstColumn="1" w:lastColumn="0" w:noHBand="0" w:noVBand="1"/>
      </w:tblPr>
      <w:tblGrid>
        <w:gridCol w:w="1120"/>
        <w:gridCol w:w="7418"/>
      </w:tblGrid>
      <w:tr w:rsidR="00027D04" w:rsidRPr="00794357" w:rsidTr="00C4410B">
        <w:trPr>
          <w:trHeight w:val="57"/>
        </w:trPr>
        <w:tc>
          <w:tcPr>
            <w:tcW w:w="1134" w:type="dxa"/>
            <w:shd w:val="clear" w:color="auto" w:fill="auto"/>
          </w:tcPr>
          <w:p w:rsidR="00027D04" w:rsidRPr="00794357" w:rsidRDefault="00027D04" w:rsidP="00C4410B">
            <w:pPr>
              <w:pStyle w:val="text"/>
            </w:pPr>
          </w:p>
        </w:tc>
        <w:tc>
          <w:tcPr>
            <w:tcW w:w="7620" w:type="dxa"/>
            <w:shd w:val="clear" w:color="auto" w:fill="auto"/>
          </w:tcPr>
          <w:p w:rsidR="00027D04" w:rsidRPr="00794357" w:rsidRDefault="00027D04" w:rsidP="00C4410B">
            <w:pPr>
              <w:pStyle w:val="text"/>
            </w:pPr>
            <w:r w:rsidRPr="00794357">
              <w:t>Brněnské vodárny a kanalizace, a.s.</w:t>
            </w:r>
          </w:p>
        </w:tc>
      </w:tr>
      <w:tr w:rsidR="00027D04" w:rsidRPr="00794357" w:rsidTr="00C4410B">
        <w:trPr>
          <w:trHeight w:val="57"/>
        </w:trPr>
        <w:tc>
          <w:tcPr>
            <w:tcW w:w="1134" w:type="dxa"/>
            <w:shd w:val="clear" w:color="auto" w:fill="auto"/>
          </w:tcPr>
          <w:p w:rsidR="00027D04" w:rsidRPr="00794357" w:rsidRDefault="00027D04" w:rsidP="00C4410B">
            <w:pPr>
              <w:pStyle w:val="text"/>
            </w:pPr>
            <w:r w:rsidRPr="00794357">
              <w:t>Sídlo:</w:t>
            </w:r>
          </w:p>
        </w:tc>
        <w:tc>
          <w:tcPr>
            <w:tcW w:w="7620" w:type="dxa"/>
            <w:shd w:val="clear" w:color="auto" w:fill="auto"/>
          </w:tcPr>
          <w:p w:rsidR="00027D04" w:rsidRPr="00794357" w:rsidRDefault="00027D04" w:rsidP="00C4410B">
            <w:pPr>
              <w:pStyle w:val="text"/>
            </w:pPr>
            <w:r w:rsidRPr="00794357">
              <w:t>Pisárecká 555/1a, Pisárky, 603 00 Brno</w:t>
            </w:r>
          </w:p>
        </w:tc>
      </w:tr>
      <w:tr w:rsidR="00027D04" w:rsidRPr="00794357" w:rsidTr="00C4410B">
        <w:trPr>
          <w:trHeight w:val="57"/>
        </w:trPr>
        <w:tc>
          <w:tcPr>
            <w:tcW w:w="8754" w:type="dxa"/>
            <w:gridSpan w:val="2"/>
            <w:shd w:val="clear" w:color="auto" w:fill="auto"/>
          </w:tcPr>
          <w:p w:rsidR="00027D04" w:rsidRPr="00794357" w:rsidRDefault="00027D04" w:rsidP="00E93804">
            <w:pPr>
              <w:pStyle w:val="text"/>
            </w:pPr>
            <w:r w:rsidRPr="00794357">
              <w:t>Subjekt je zapsán v</w:t>
            </w:r>
            <w:r w:rsidR="00E93804">
              <w:t> obchodním rejstříku</w:t>
            </w:r>
            <w:r w:rsidRPr="00794357">
              <w:t xml:space="preserve"> u Krajského soudu v Brně, oddíl B, vložka 783</w:t>
            </w:r>
          </w:p>
        </w:tc>
      </w:tr>
      <w:tr w:rsidR="00027D04" w:rsidRPr="00794357" w:rsidTr="00C4410B">
        <w:trPr>
          <w:trHeight w:val="57"/>
        </w:trPr>
        <w:tc>
          <w:tcPr>
            <w:tcW w:w="1134" w:type="dxa"/>
            <w:shd w:val="clear" w:color="auto" w:fill="auto"/>
          </w:tcPr>
          <w:p w:rsidR="00027D04" w:rsidRPr="00794357" w:rsidRDefault="00027D04" w:rsidP="00C4410B">
            <w:pPr>
              <w:pStyle w:val="text"/>
            </w:pPr>
            <w:r w:rsidRPr="00794357">
              <w:t>IČO:</w:t>
            </w:r>
          </w:p>
        </w:tc>
        <w:tc>
          <w:tcPr>
            <w:tcW w:w="7620" w:type="dxa"/>
            <w:shd w:val="clear" w:color="auto" w:fill="auto"/>
          </w:tcPr>
          <w:p w:rsidR="00027D04" w:rsidRPr="00794357" w:rsidRDefault="00027D04" w:rsidP="00C4410B">
            <w:pPr>
              <w:pStyle w:val="text"/>
            </w:pPr>
            <w:r w:rsidRPr="00794357">
              <w:t>463</w:t>
            </w:r>
            <w:r w:rsidR="0025636D">
              <w:t xml:space="preserve"> </w:t>
            </w:r>
            <w:r w:rsidRPr="00794357">
              <w:t>47</w:t>
            </w:r>
            <w:r w:rsidR="0025636D">
              <w:t xml:space="preserve"> </w:t>
            </w:r>
            <w:r w:rsidRPr="00794357">
              <w:t>275</w:t>
            </w:r>
          </w:p>
        </w:tc>
      </w:tr>
    </w:tbl>
    <w:p w:rsidR="009C57CE" w:rsidRDefault="009C57CE" w:rsidP="00DB3811">
      <w:pPr>
        <w:rPr>
          <w:b/>
          <w:sz w:val="28"/>
          <w:szCs w:val="28"/>
        </w:rPr>
      </w:pPr>
    </w:p>
    <w:p w:rsidR="006B463D" w:rsidRDefault="006B463D" w:rsidP="00DB3811">
      <w:pPr>
        <w:rPr>
          <w:b/>
          <w:sz w:val="28"/>
          <w:szCs w:val="28"/>
        </w:rPr>
      </w:pPr>
    </w:p>
    <w:p w:rsidR="006B463D" w:rsidRDefault="006B463D" w:rsidP="00DB3811">
      <w:pPr>
        <w:rPr>
          <w:b/>
          <w:sz w:val="28"/>
          <w:szCs w:val="28"/>
        </w:rPr>
      </w:pPr>
    </w:p>
    <w:p w:rsidR="006B463D" w:rsidRPr="00794357" w:rsidRDefault="006B463D" w:rsidP="00DB3811">
      <w:pPr>
        <w:rPr>
          <w:b/>
          <w:sz w:val="28"/>
          <w:szCs w:val="28"/>
        </w:rPr>
      </w:pPr>
    </w:p>
    <w:p w:rsidR="00027D04" w:rsidRPr="00794357" w:rsidRDefault="00027D04" w:rsidP="004D11E8">
      <w:pPr>
        <w:jc w:val="center"/>
        <w:rPr>
          <w:b/>
          <w:sz w:val="28"/>
          <w:szCs w:val="28"/>
        </w:rPr>
      </w:pPr>
    </w:p>
    <w:p w:rsidR="00DB3811" w:rsidRPr="00794357" w:rsidRDefault="00027D04" w:rsidP="00DB3811">
      <w:pPr>
        <w:jc w:val="center"/>
        <w:rPr>
          <w:b/>
          <w:sz w:val="28"/>
          <w:szCs w:val="28"/>
        </w:rPr>
      </w:pPr>
      <w:r w:rsidRPr="00794357">
        <w:rPr>
          <w:b/>
          <w:sz w:val="28"/>
          <w:szCs w:val="28"/>
        </w:rPr>
        <w:t>Specifikace předmětu plnění</w:t>
      </w:r>
    </w:p>
    <w:tbl>
      <w:tblPr>
        <w:tblW w:w="6347" w:type="dxa"/>
        <w:jc w:val="center"/>
        <w:tblCellMar>
          <w:left w:w="70" w:type="dxa"/>
          <w:right w:w="70" w:type="dxa"/>
        </w:tblCellMar>
        <w:tblLook w:val="04A0" w:firstRow="1" w:lastRow="0" w:firstColumn="1" w:lastColumn="0" w:noHBand="0" w:noVBand="1"/>
      </w:tblPr>
      <w:tblGrid>
        <w:gridCol w:w="663"/>
        <w:gridCol w:w="2304"/>
        <w:gridCol w:w="1592"/>
        <w:gridCol w:w="1788"/>
      </w:tblGrid>
      <w:tr w:rsidR="00027D04" w:rsidRPr="00794357" w:rsidTr="009F3307">
        <w:trPr>
          <w:trHeight w:val="330"/>
          <w:jc w:val="center"/>
        </w:trPr>
        <w:tc>
          <w:tcPr>
            <w:tcW w:w="6347"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027D04" w:rsidRPr="00794357" w:rsidRDefault="00027D04" w:rsidP="00027D04">
            <w:pPr>
              <w:rPr>
                <w:b/>
                <w:bCs/>
              </w:rPr>
            </w:pPr>
            <w:r w:rsidRPr="00794357">
              <w:rPr>
                <w:b/>
                <w:bCs/>
              </w:rPr>
              <w:t>Teleskopické zemní soupravy na navrtávací pasy a podkladové desky</w:t>
            </w:r>
          </w:p>
        </w:tc>
      </w:tr>
      <w:tr w:rsidR="00027D04" w:rsidRPr="00794357" w:rsidTr="009F3307">
        <w:trPr>
          <w:trHeight w:val="274"/>
          <w:jc w:val="center"/>
        </w:trPr>
        <w:tc>
          <w:tcPr>
            <w:tcW w:w="2967"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27D04" w:rsidRPr="00794357" w:rsidRDefault="00027D04" w:rsidP="00027D04">
            <w:pPr>
              <w:rPr>
                <w:b/>
                <w:bCs/>
              </w:rPr>
            </w:pPr>
            <w:r w:rsidRPr="00794357">
              <w:rPr>
                <w:b/>
                <w:bCs/>
              </w:rPr>
              <w:t>materiál</w:t>
            </w:r>
          </w:p>
        </w:tc>
        <w:tc>
          <w:tcPr>
            <w:tcW w:w="3380" w:type="dxa"/>
            <w:gridSpan w:val="2"/>
            <w:tcBorders>
              <w:top w:val="single" w:sz="8" w:space="0" w:color="auto"/>
              <w:left w:val="nil"/>
              <w:bottom w:val="nil"/>
              <w:right w:val="single" w:sz="8" w:space="0" w:color="000000"/>
            </w:tcBorders>
            <w:shd w:val="clear" w:color="auto" w:fill="auto"/>
            <w:noWrap/>
            <w:vAlign w:val="bottom"/>
            <w:hideMark/>
          </w:tcPr>
          <w:p w:rsidR="00027D04" w:rsidRPr="00794357" w:rsidRDefault="00B615E4" w:rsidP="00027D04">
            <w:r>
              <w:t>XXX</w:t>
            </w:r>
            <w:r w:rsidR="00027D04" w:rsidRPr="00794357">
              <w:t>,</w:t>
            </w:r>
          </w:p>
        </w:tc>
      </w:tr>
      <w:tr w:rsidR="00027D04" w:rsidRPr="00794357" w:rsidTr="009F3307">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D04" w:rsidRPr="00794357" w:rsidRDefault="00027D04" w:rsidP="00027D04">
            <w:pPr>
              <w:rPr>
                <w:b/>
                <w:bCs/>
              </w:rPr>
            </w:pPr>
            <w:r w:rsidRPr="00794357">
              <w:rPr>
                <w:b/>
                <w:bCs/>
              </w:rPr>
              <w:t> </w:t>
            </w:r>
          </w:p>
        </w:tc>
        <w:tc>
          <w:tcPr>
            <w:tcW w:w="33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027D04" w:rsidRPr="00794357" w:rsidRDefault="00B615E4" w:rsidP="00027D04">
            <w:r>
              <w:t>XXX</w:t>
            </w:r>
          </w:p>
        </w:tc>
      </w:tr>
      <w:tr w:rsidR="00027D04" w:rsidRPr="00794357" w:rsidTr="009F3307">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D04" w:rsidRPr="00794357" w:rsidRDefault="00027D04" w:rsidP="00027D04">
            <w:pPr>
              <w:rPr>
                <w:b/>
                <w:bCs/>
              </w:rPr>
            </w:pPr>
            <w:r w:rsidRPr="00794357">
              <w:rPr>
                <w:b/>
                <w:bCs/>
              </w:rPr>
              <w:t>Dolní ovládací oříšek</w:t>
            </w:r>
          </w:p>
        </w:tc>
        <w:tc>
          <w:tcPr>
            <w:tcW w:w="3380" w:type="dxa"/>
            <w:gridSpan w:val="2"/>
            <w:tcBorders>
              <w:top w:val="nil"/>
              <w:left w:val="nil"/>
              <w:bottom w:val="nil"/>
              <w:right w:val="single" w:sz="8" w:space="0" w:color="000000"/>
            </w:tcBorders>
            <w:shd w:val="clear" w:color="auto" w:fill="auto"/>
            <w:noWrap/>
            <w:vAlign w:val="bottom"/>
            <w:hideMark/>
          </w:tcPr>
          <w:p w:rsidR="00027D04" w:rsidRPr="00794357" w:rsidRDefault="00B615E4" w:rsidP="00027D04">
            <w:r>
              <w:t>XXX</w:t>
            </w:r>
          </w:p>
        </w:tc>
      </w:tr>
      <w:tr w:rsidR="00027D04" w:rsidRPr="00794357" w:rsidTr="009F3307">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D04" w:rsidRPr="00794357" w:rsidRDefault="00027D04" w:rsidP="00027D04">
            <w:pPr>
              <w:rPr>
                <w:b/>
                <w:bCs/>
              </w:rPr>
            </w:pPr>
            <w:r w:rsidRPr="00794357">
              <w:rPr>
                <w:b/>
                <w:bCs/>
              </w:rPr>
              <w:t>Horní čtyřhran</w:t>
            </w:r>
          </w:p>
        </w:tc>
        <w:tc>
          <w:tcPr>
            <w:tcW w:w="3380" w:type="dxa"/>
            <w:gridSpan w:val="2"/>
            <w:tcBorders>
              <w:top w:val="single" w:sz="4" w:space="0" w:color="auto"/>
              <w:left w:val="nil"/>
              <w:bottom w:val="nil"/>
              <w:right w:val="single" w:sz="8" w:space="0" w:color="000000"/>
            </w:tcBorders>
            <w:shd w:val="clear" w:color="auto" w:fill="auto"/>
            <w:noWrap/>
            <w:vAlign w:val="bottom"/>
            <w:hideMark/>
          </w:tcPr>
          <w:p w:rsidR="00027D04" w:rsidRPr="00794357" w:rsidRDefault="00B615E4" w:rsidP="00027D04">
            <w:r>
              <w:t>XXX</w:t>
            </w:r>
          </w:p>
        </w:tc>
      </w:tr>
      <w:tr w:rsidR="00027D04" w:rsidRPr="00794357" w:rsidTr="009F3307">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D04" w:rsidRPr="00794357" w:rsidRDefault="00027D04" w:rsidP="00027D04">
            <w:pPr>
              <w:rPr>
                <w:b/>
                <w:bCs/>
              </w:rPr>
            </w:pPr>
            <w:r w:rsidRPr="00794357">
              <w:rPr>
                <w:b/>
                <w:bCs/>
              </w:rPr>
              <w:t> </w:t>
            </w:r>
          </w:p>
        </w:tc>
        <w:tc>
          <w:tcPr>
            <w:tcW w:w="33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027D04" w:rsidRPr="00794357" w:rsidRDefault="00B615E4" w:rsidP="00027D04">
            <w:r>
              <w:t>XXX</w:t>
            </w:r>
          </w:p>
        </w:tc>
      </w:tr>
      <w:tr w:rsidR="00027D04" w:rsidRPr="00794357" w:rsidTr="009F3307">
        <w:trPr>
          <w:trHeight w:val="274"/>
          <w:jc w:val="center"/>
        </w:trPr>
        <w:tc>
          <w:tcPr>
            <w:tcW w:w="296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D04" w:rsidRPr="00794357" w:rsidRDefault="00027D04" w:rsidP="00027D04">
            <w:pPr>
              <w:rPr>
                <w:b/>
                <w:bCs/>
              </w:rPr>
            </w:pPr>
            <w:r w:rsidRPr="00794357">
              <w:rPr>
                <w:b/>
                <w:bCs/>
              </w:rPr>
              <w:t>Podkladová deska</w:t>
            </w:r>
          </w:p>
        </w:tc>
        <w:tc>
          <w:tcPr>
            <w:tcW w:w="3380" w:type="dxa"/>
            <w:gridSpan w:val="2"/>
            <w:tcBorders>
              <w:top w:val="single" w:sz="4" w:space="0" w:color="auto"/>
              <w:left w:val="nil"/>
              <w:bottom w:val="single" w:sz="4" w:space="0" w:color="auto"/>
              <w:right w:val="single" w:sz="8" w:space="0" w:color="000000"/>
            </w:tcBorders>
            <w:shd w:val="clear" w:color="auto" w:fill="auto"/>
            <w:noWrap/>
            <w:vAlign w:val="bottom"/>
          </w:tcPr>
          <w:p w:rsidR="00027D04" w:rsidRPr="00794357" w:rsidRDefault="00B615E4" w:rsidP="00DB3811">
            <w:r>
              <w:t>XXX</w:t>
            </w:r>
          </w:p>
        </w:tc>
      </w:tr>
      <w:tr w:rsidR="00027D04" w:rsidRPr="00794357" w:rsidTr="009F3307">
        <w:trPr>
          <w:trHeight w:val="285"/>
          <w:jc w:val="center"/>
        </w:trPr>
        <w:tc>
          <w:tcPr>
            <w:tcW w:w="2967" w:type="dxa"/>
            <w:gridSpan w:val="2"/>
            <w:tcBorders>
              <w:top w:val="single" w:sz="4" w:space="0" w:color="auto"/>
              <w:left w:val="single" w:sz="8" w:space="0" w:color="auto"/>
              <w:bottom w:val="nil"/>
              <w:right w:val="single" w:sz="8" w:space="0" w:color="000000"/>
            </w:tcBorders>
            <w:shd w:val="clear" w:color="auto" w:fill="auto"/>
            <w:noWrap/>
            <w:vAlign w:val="bottom"/>
            <w:hideMark/>
          </w:tcPr>
          <w:p w:rsidR="00027D04" w:rsidRPr="00794357" w:rsidRDefault="00027D04" w:rsidP="00027D04">
            <w:pPr>
              <w:rPr>
                <w:b/>
                <w:bCs/>
              </w:rPr>
            </w:pPr>
            <w:r w:rsidRPr="00794357">
              <w:rPr>
                <w:b/>
                <w:bCs/>
              </w:rPr>
              <w:t>Dokumentace</w:t>
            </w:r>
          </w:p>
        </w:tc>
        <w:tc>
          <w:tcPr>
            <w:tcW w:w="3380" w:type="dxa"/>
            <w:gridSpan w:val="2"/>
            <w:tcBorders>
              <w:top w:val="nil"/>
              <w:left w:val="nil"/>
              <w:bottom w:val="nil"/>
              <w:right w:val="single" w:sz="8" w:space="0" w:color="000000"/>
            </w:tcBorders>
            <w:shd w:val="clear" w:color="auto" w:fill="auto"/>
            <w:noWrap/>
            <w:vAlign w:val="bottom"/>
            <w:hideMark/>
          </w:tcPr>
          <w:p w:rsidR="00027D04" w:rsidRPr="00794357" w:rsidRDefault="00B615E4" w:rsidP="00027D04">
            <w:r>
              <w:t>XXX</w:t>
            </w:r>
          </w:p>
        </w:tc>
      </w:tr>
      <w:tr w:rsidR="00027D04" w:rsidRPr="00794357" w:rsidTr="009F3307">
        <w:trPr>
          <w:trHeight w:val="274"/>
          <w:jc w:val="center"/>
        </w:trPr>
        <w:tc>
          <w:tcPr>
            <w:tcW w:w="2967" w:type="dxa"/>
            <w:gridSpan w:val="2"/>
            <w:tcBorders>
              <w:top w:val="single" w:sz="8" w:space="0" w:color="auto"/>
              <w:left w:val="single" w:sz="8" w:space="0" w:color="auto"/>
              <w:bottom w:val="nil"/>
              <w:right w:val="single" w:sz="8" w:space="0" w:color="000000"/>
            </w:tcBorders>
            <w:shd w:val="clear" w:color="auto" w:fill="auto"/>
            <w:noWrap/>
            <w:vAlign w:val="bottom"/>
            <w:hideMark/>
          </w:tcPr>
          <w:p w:rsidR="00027D04" w:rsidRPr="00794357" w:rsidRDefault="00027D04" w:rsidP="00027D04">
            <w:pPr>
              <w:rPr>
                <w:b/>
                <w:bCs/>
              </w:rPr>
            </w:pPr>
            <w:r w:rsidRPr="00794357">
              <w:rPr>
                <w:b/>
                <w:bCs/>
              </w:rPr>
              <w:t>Výrobce</w:t>
            </w:r>
          </w:p>
        </w:tc>
        <w:tc>
          <w:tcPr>
            <w:tcW w:w="3380" w:type="dxa"/>
            <w:gridSpan w:val="2"/>
            <w:tcBorders>
              <w:top w:val="single" w:sz="8" w:space="0" w:color="auto"/>
              <w:left w:val="nil"/>
              <w:bottom w:val="nil"/>
              <w:right w:val="single" w:sz="8" w:space="0" w:color="000000"/>
            </w:tcBorders>
            <w:shd w:val="clear" w:color="auto" w:fill="auto"/>
            <w:noWrap/>
            <w:vAlign w:val="bottom"/>
          </w:tcPr>
          <w:p w:rsidR="00027D04" w:rsidRPr="00794357" w:rsidRDefault="00B615E4" w:rsidP="00027D04">
            <w:r>
              <w:t>XXX</w:t>
            </w:r>
          </w:p>
        </w:tc>
      </w:tr>
      <w:tr w:rsidR="00027D04" w:rsidRPr="00794357" w:rsidTr="009F3307">
        <w:trPr>
          <w:trHeight w:val="330"/>
          <w:jc w:val="center"/>
        </w:trPr>
        <w:tc>
          <w:tcPr>
            <w:tcW w:w="663" w:type="dxa"/>
            <w:tcBorders>
              <w:top w:val="nil"/>
              <w:left w:val="single" w:sz="8" w:space="0" w:color="auto"/>
              <w:bottom w:val="nil"/>
              <w:right w:val="single" w:sz="8" w:space="0" w:color="auto"/>
            </w:tcBorders>
            <w:shd w:val="clear" w:color="000000" w:fill="C0C0C0"/>
            <w:noWrap/>
            <w:vAlign w:val="bottom"/>
            <w:hideMark/>
          </w:tcPr>
          <w:p w:rsidR="00027D04" w:rsidRPr="00794357" w:rsidRDefault="00027D04" w:rsidP="00027D04">
            <w:proofErr w:type="spellStart"/>
            <w:proofErr w:type="gramStart"/>
            <w:r w:rsidRPr="00794357">
              <w:t>Poř.č</w:t>
            </w:r>
            <w:proofErr w:type="spellEnd"/>
            <w:r w:rsidRPr="00794357">
              <w:t>.</w:t>
            </w:r>
            <w:proofErr w:type="gramEnd"/>
          </w:p>
        </w:tc>
        <w:tc>
          <w:tcPr>
            <w:tcW w:w="2304" w:type="dxa"/>
            <w:tcBorders>
              <w:top w:val="nil"/>
              <w:left w:val="nil"/>
              <w:bottom w:val="nil"/>
              <w:right w:val="single" w:sz="8" w:space="0" w:color="auto"/>
            </w:tcBorders>
            <w:shd w:val="clear" w:color="000000" w:fill="C0C0C0"/>
            <w:noWrap/>
            <w:vAlign w:val="bottom"/>
            <w:hideMark/>
          </w:tcPr>
          <w:p w:rsidR="00027D04" w:rsidRPr="00794357" w:rsidRDefault="00027D04" w:rsidP="00027D04">
            <w:r w:rsidRPr="00794357">
              <w:t>Název materiálu/DN</w:t>
            </w:r>
          </w:p>
        </w:tc>
        <w:tc>
          <w:tcPr>
            <w:tcW w:w="1592" w:type="dxa"/>
            <w:tcBorders>
              <w:top w:val="nil"/>
              <w:left w:val="nil"/>
              <w:bottom w:val="nil"/>
              <w:right w:val="single" w:sz="8" w:space="0" w:color="auto"/>
            </w:tcBorders>
            <w:shd w:val="clear" w:color="000000" w:fill="C0C0C0"/>
            <w:noWrap/>
            <w:vAlign w:val="bottom"/>
            <w:hideMark/>
          </w:tcPr>
          <w:p w:rsidR="00027D04" w:rsidRPr="00794357" w:rsidRDefault="00027D04" w:rsidP="00027D04">
            <w:proofErr w:type="spellStart"/>
            <w:r w:rsidRPr="00794357">
              <w:t>Předp</w:t>
            </w:r>
            <w:proofErr w:type="spellEnd"/>
            <w:r w:rsidRPr="00794357">
              <w:t>. odběr/ks</w:t>
            </w:r>
          </w:p>
        </w:tc>
        <w:tc>
          <w:tcPr>
            <w:tcW w:w="1788" w:type="dxa"/>
            <w:tcBorders>
              <w:top w:val="nil"/>
              <w:left w:val="nil"/>
              <w:bottom w:val="nil"/>
              <w:right w:val="single" w:sz="8" w:space="0" w:color="auto"/>
            </w:tcBorders>
            <w:shd w:val="clear" w:color="000000" w:fill="C0C0C0"/>
            <w:noWrap/>
            <w:vAlign w:val="bottom"/>
            <w:hideMark/>
          </w:tcPr>
          <w:p w:rsidR="00027D04" w:rsidRPr="00794357" w:rsidRDefault="00027D04" w:rsidP="00027D04">
            <w:r w:rsidRPr="00794357">
              <w:t>Cena bez DPH/ks</w:t>
            </w:r>
          </w:p>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r w:rsidRPr="00794357">
              <w:t>1.</w:t>
            </w:r>
          </w:p>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r w:rsidRPr="00794357">
              <w:t>Tel. zemní souprava</w:t>
            </w:r>
          </w:p>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r w:rsidRPr="00794357">
              <w:t>délka cca 1,20-1,80 m</w:t>
            </w:r>
          </w:p>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B615E4" w:rsidP="00245E0E">
            <w:r>
              <w:t>XXX</w:t>
            </w:r>
          </w:p>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B615E4" w:rsidP="00245E0E">
            <w:r>
              <w:t>XXX</w:t>
            </w:r>
          </w:p>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r w:rsidRPr="00794357">
              <w:t>2.</w:t>
            </w:r>
          </w:p>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r w:rsidRPr="00794357">
              <w:t>Tel. zemní souprava</w:t>
            </w:r>
          </w:p>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r w:rsidRPr="00794357">
              <w:t>délka cca 1,50-2,20 m</w:t>
            </w:r>
          </w:p>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B615E4" w:rsidP="00245E0E">
            <w:r>
              <w:t>XXX</w:t>
            </w:r>
          </w:p>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B615E4" w:rsidP="00245E0E">
            <w:r>
              <w:t>XXX</w:t>
            </w:r>
          </w:p>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r w:rsidRPr="00794357">
              <w:t>3.</w:t>
            </w:r>
          </w:p>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r w:rsidRPr="00794357">
              <w:t>Tel. zemní souprava</w:t>
            </w:r>
          </w:p>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r w:rsidRPr="00794357">
              <w:t>délka cca 1,70-2,50 m</w:t>
            </w:r>
          </w:p>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B615E4" w:rsidP="00245E0E">
            <w:r>
              <w:t>XXX</w:t>
            </w:r>
          </w:p>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B615E4" w:rsidP="00245E0E">
            <w:r>
              <w:t>XXX</w:t>
            </w:r>
          </w:p>
        </w:tc>
      </w:tr>
      <w:tr w:rsidR="00027D04" w:rsidRPr="00794357" w:rsidTr="003A7124">
        <w:trPr>
          <w:trHeight w:val="274"/>
          <w:jc w:val="center"/>
        </w:trPr>
        <w:tc>
          <w:tcPr>
            <w:tcW w:w="663" w:type="dxa"/>
            <w:tcBorders>
              <w:top w:val="nil"/>
              <w:left w:val="single" w:sz="8" w:space="0" w:color="auto"/>
              <w:bottom w:val="single" w:sz="4" w:space="0" w:color="auto"/>
              <w:right w:val="single" w:sz="8" w:space="0" w:color="auto"/>
            </w:tcBorders>
            <w:shd w:val="clear" w:color="auto" w:fill="auto"/>
            <w:noWrap/>
            <w:hideMark/>
          </w:tcPr>
          <w:p w:rsidR="00027D04" w:rsidRPr="00794357" w:rsidRDefault="00027D04" w:rsidP="00245E0E"/>
        </w:tc>
        <w:tc>
          <w:tcPr>
            <w:tcW w:w="2304"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592"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c>
          <w:tcPr>
            <w:tcW w:w="1788" w:type="dxa"/>
            <w:tcBorders>
              <w:top w:val="nil"/>
              <w:left w:val="nil"/>
              <w:bottom w:val="single" w:sz="4" w:space="0" w:color="auto"/>
              <w:right w:val="single" w:sz="8" w:space="0" w:color="auto"/>
            </w:tcBorders>
            <w:shd w:val="clear" w:color="auto" w:fill="auto"/>
            <w:noWrap/>
            <w:hideMark/>
          </w:tcPr>
          <w:p w:rsidR="00027D04" w:rsidRPr="00794357" w:rsidRDefault="00027D04" w:rsidP="00245E0E"/>
        </w:tc>
      </w:tr>
      <w:tr w:rsidR="00027D04" w:rsidRPr="00794357" w:rsidTr="009F3307">
        <w:trPr>
          <w:trHeight w:val="274"/>
          <w:jc w:val="center"/>
        </w:trPr>
        <w:tc>
          <w:tcPr>
            <w:tcW w:w="66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27D04" w:rsidRPr="00794357" w:rsidRDefault="00027D04" w:rsidP="00027D04">
            <w:pPr>
              <w:jc w:val="left"/>
              <w:rPr>
                <w:rFonts w:cstheme="minorHAnsi"/>
              </w:rPr>
            </w:pPr>
            <w:r w:rsidRPr="00794357">
              <w:rPr>
                <w:rFonts w:cstheme="minorHAnsi"/>
              </w:rPr>
              <w:t>4.</w:t>
            </w:r>
          </w:p>
        </w:tc>
        <w:tc>
          <w:tcPr>
            <w:tcW w:w="2304" w:type="dxa"/>
            <w:tcBorders>
              <w:top w:val="single" w:sz="4" w:space="0" w:color="auto"/>
              <w:left w:val="nil"/>
              <w:bottom w:val="single" w:sz="8" w:space="0" w:color="auto"/>
              <w:right w:val="single" w:sz="8" w:space="0" w:color="auto"/>
            </w:tcBorders>
            <w:shd w:val="clear" w:color="auto" w:fill="auto"/>
            <w:noWrap/>
            <w:vAlign w:val="bottom"/>
            <w:hideMark/>
          </w:tcPr>
          <w:p w:rsidR="00027D04" w:rsidRPr="00794357" w:rsidRDefault="00027D04" w:rsidP="00027D04">
            <w:pPr>
              <w:jc w:val="left"/>
              <w:rPr>
                <w:rFonts w:cstheme="minorHAnsi"/>
                <w:bCs/>
              </w:rPr>
            </w:pPr>
            <w:r w:rsidRPr="00794357">
              <w:rPr>
                <w:rFonts w:cstheme="minorHAnsi"/>
                <w:bCs/>
              </w:rPr>
              <w:t>Podkladová deska</w:t>
            </w:r>
          </w:p>
        </w:tc>
        <w:tc>
          <w:tcPr>
            <w:tcW w:w="1592" w:type="dxa"/>
            <w:tcBorders>
              <w:top w:val="single" w:sz="4" w:space="0" w:color="auto"/>
              <w:left w:val="nil"/>
              <w:bottom w:val="single" w:sz="8" w:space="0" w:color="auto"/>
              <w:right w:val="single" w:sz="8" w:space="0" w:color="auto"/>
            </w:tcBorders>
            <w:shd w:val="clear" w:color="auto" w:fill="auto"/>
            <w:noWrap/>
            <w:vAlign w:val="bottom"/>
            <w:hideMark/>
          </w:tcPr>
          <w:p w:rsidR="00027D04" w:rsidRPr="00794357" w:rsidRDefault="00B615E4" w:rsidP="00027D04">
            <w:pPr>
              <w:jc w:val="left"/>
              <w:rPr>
                <w:rFonts w:cstheme="minorHAnsi"/>
              </w:rPr>
            </w:pPr>
            <w:r>
              <w:rPr>
                <w:rFonts w:cstheme="minorHAnsi"/>
              </w:rPr>
              <w:t>XXX</w:t>
            </w:r>
          </w:p>
        </w:tc>
        <w:tc>
          <w:tcPr>
            <w:tcW w:w="1788" w:type="dxa"/>
            <w:tcBorders>
              <w:top w:val="single" w:sz="4" w:space="0" w:color="auto"/>
              <w:left w:val="nil"/>
              <w:bottom w:val="single" w:sz="8" w:space="0" w:color="auto"/>
              <w:right w:val="single" w:sz="8" w:space="0" w:color="auto"/>
            </w:tcBorders>
            <w:shd w:val="clear" w:color="auto" w:fill="auto"/>
            <w:noWrap/>
            <w:vAlign w:val="bottom"/>
            <w:hideMark/>
          </w:tcPr>
          <w:p w:rsidR="00027D04" w:rsidRPr="00794357" w:rsidRDefault="00B615E4" w:rsidP="00027D04">
            <w:pPr>
              <w:jc w:val="left"/>
              <w:rPr>
                <w:rFonts w:cstheme="minorHAnsi"/>
              </w:rPr>
            </w:pPr>
            <w:r>
              <w:rPr>
                <w:rFonts w:cstheme="minorHAnsi"/>
              </w:rPr>
              <w:t>XXX</w:t>
            </w:r>
          </w:p>
        </w:tc>
      </w:tr>
    </w:tbl>
    <w:p w:rsidR="00027D04" w:rsidRPr="00794357" w:rsidRDefault="00027D04" w:rsidP="00027D04">
      <w:pPr>
        <w:pStyle w:val="text"/>
        <w:widowControl w:val="0"/>
        <w:spacing w:before="0" w:after="0"/>
      </w:pPr>
    </w:p>
    <w:p w:rsidR="00027D04" w:rsidRPr="00794357" w:rsidRDefault="00027D04" w:rsidP="00027D04">
      <w:pPr>
        <w:pStyle w:val="text"/>
        <w:widowControl w:val="0"/>
        <w:spacing w:before="0" w:after="0"/>
      </w:pPr>
    </w:p>
    <w:p w:rsidR="00027D04" w:rsidRPr="00794357" w:rsidRDefault="00027D04" w:rsidP="004D11E8"/>
    <w:p w:rsidR="00027D04" w:rsidRPr="00794357" w:rsidRDefault="00027D04" w:rsidP="004D11E8">
      <w:pPr>
        <w:rPr>
          <w:b/>
        </w:rPr>
      </w:pPr>
    </w:p>
    <w:tbl>
      <w:tblPr>
        <w:tblW w:w="0" w:type="auto"/>
        <w:tblCellMar>
          <w:left w:w="70" w:type="dxa"/>
          <w:right w:w="70" w:type="dxa"/>
        </w:tblCellMar>
        <w:tblLook w:val="0000" w:firstRow="0" w:lastRow="0" w:firstColumn="0" w:lastColumn="0" w:noHBand="0" w:noVBand="0"/>
      </w:tblPr>
      <w:tblGrid>
        <w:gridCol w:w="1873"/>
        <w:gridCol w:w="683"/>
        <w:gridCol w:w="1758"/>
        <w:gridCol w:w="527"/>
        <w:gridCol w:w="2071"/>
        <w:gridCol w:w="714"/>
        <w:gridCol w:w="1446"/>
      </w:tblGrid>
      <w:tr w:rsidR="00672EB7" w:rsidRPr="00794357" w:rsidTr="004D11E8">
        <w:tc>
          <w:tcPr>
            <w:tcW w:w="1913" w:type="dxa"/>
          </w:tcPr>
          <w:p w:rsidR="00027D04" w:rsidRPr="00794357" w:rsidRDefault="00027D04" w:rsidP="005F48CA">
            <w:r w:rsidRPr="00794357">
              <w:t xml:space="preserve">V  </w:t>
            </w:r>
            <w:r w:rsidR="005F48CA">
              <w:rPr>
                <w:noProof/>
              </w:rPr>
              <w:t>Ostrovačicích</w:t>
            </w:r>
          </w:p>
        </w:tc>
        <w:tc>
          <w:tcPr>
            <w:tcW w:w="709" w:type="dxa"/>
          </w:tcPr>
          <w:p w:rsidR="00027D04" w:rsidRPr="00794357" w:rsidRDefault="00027D04" w:rsidP="004D11E8">
            <w:r w:rsidRPr="00794357">
              <w:t>dne</w:t>
            </w:r>
          </w:p>
        </w:tc>
        <w:tc>
          <w:tcPr>
            <w:tcW w:w="1843" w:type="dxa"/>
          </w:tcPr>
          <w:p w:rsidR="00027D04" w:rsidRPr="00794357" w:rsidRDefault="00672EB7" w:rsidP="004D11E8">
            <w:proofErr w:type="gramStart"/>
            <w:r>
              <w:t>1.11.2022</w:t>
            </w:r>
            <w:proofErr w:type="gramEnd"/>
          </w:p>
        </w:tc>
        <w:tc>
          <w:tcPr>
            <w:tcW w:w="567" w:type="dxa"/>
          </w:tcPr>
          <w:p w:rsidR="00027D04" w:rsidRPr="00794357" w:rsidRDefault="00027D04" w:rsidP="004D11E8"/>
        </w:tc>
        <w:tc>
          <w:tcPr>
            <w:tcW w:w="2232" w:type="dxa"/>
          </w:tcPr>
          <w:p w:rsidR="00027D04" w:rsidRPr="00794357" w:rsidRDefault="00027D04" w:rsidP="004D11E8">
            <w:r w:rsidRPr="00794357">
              <w:t>V Brně</w:t>
            </w:r>
          </w:p>
        </w:tc>
        <w:tc>
          <w:tcPr>
            <w:tcW w:w="744" w:type="dxa"/>
          </w:tcPr>
          <w:p w:rsidR="00027D04" w:rsidRPr="00794357" w:rsidRDefault="00027D04" w:rsidP="004D11E8">
            <w:r w:rsidRPr="00794357">
              <w:t>dne</w:t>
            </w:r>
          </w:p>
        </w:tc>
        <w:tc>
          <w:tcPr>
            <w:tcW w:w="1488" w:type="dxa"/>
          </w:tcPr>
          <w:p w:rsidR="00027D04" w:rsidRPr="00794357" w:rsidRDefault="00672EB7" w:rsidP="004D11E8">
            <w:proofErr w:type="gramStart"/>
            <w:r>
              <w:t>31.10.2022</w:t>
            </w:r>
            <w:proofErr w:type="gramEnd"/>
          </w:p>
        </w:tc>
      </w:tr>
      <w:tr w:rsidR="00027D04" w:rsidRPr="00794357" w:rsidTr="004D11E8">
        <w:tc>
          <w:tcPr>
            <w:tcW w:w="4465" w:type="dxa"/>
            <w:gridSpan w:val="3"/>
          </w:tcPr>
          <w:p w:rsidR="00027D04" w:rsidRPr="00794357" w:rsidRDefault="00027D04" w:rsidP="004D11E8">
            <w:r w:rsidRPr="00794357">
              <w:t>Za prodávajícího</w:t>
            </w:r>
          </w:p>
        </w:tc>
        <w:tc>
          <w:tcPr>
            <w:tcW w:w="567" w:type="dxa"/>
          </w:tcPr>
          <w:p w:rsidR="00027D04" w:rsidRPr="00794357" w:rsidRDefault="00027D04" w:rsidP="004D11E8"/>
        </w:tc>
        <w:tc>
          <w:tcPr>
            <w:tcW w:w="4464" w:type="dxa"/>
            <w:gridSpan w:val="3"/>
          </w:tcPr>
          <w:p w:rsidR="00027D04" w:rsidRPr="00794357" w:rsidRDefault="00027D04" w:rsidP="004D11E8">
            <w:r w:rsidRPr="00794357">
              <w:t>Za kupujícího</w:t>
            </w:r>
          </w:p>
        </w:tc>
      </w:tr>
      <w:tr w:rsidR="00027D04" w:rsidRPr="00794357" w:rsidTr="004D11E8">
        <w:trPr>
          <w:trHeight w:val="1475"/>
        </w:trPr>
        <w:tc>
          <w:tcPr>
            <w:tcW w:w="4465" w:type="dxa"/>
            <w:gridSpan w:val="3"/>
            <w:tcBorders>
              <w:bottom w:val="dashed" w:sz="4" w:space="0" w:color="auto"/>
            </w:tcBorders>
          </w:tcPr>
          <w:p w:rsidR="00027D04" w:rsidRPr="00794357" w:rsidRDefault="00027D04" w:rsidP="004D11E8"/>
        </w:tc>
        <w:tc>
          <w:tcPr>
            <w:tcW w:w="567" w:type="dxa"/>
          </w:tcPr>
          <w:p w:rsidR="00027D04" w:rsidRPr="00794357" w:rsidRDefault="00027D04" w:rsidP="004D11E8"/>
        </w:tc>
        <w:tc>
          <w:tcPr>
            <w:tcW w:w="4464" w:type="dxa"/>
            <w:gridSpan w:val="3"/>
            <w:tcBorders>
              <w:bottom w:val="dashed" w:sz="4" w:space="0" w:color="auto"/>
            </w:tcBorders>
          </w:tcPr>
          <w:p w:rsidR="00027D04" w:rsidRPr="00794357" w:rsidRDefault="00027D04" w:rsidP="004D11E8"/>
        </w:tc>
      </w:tr>
      <w:tr w:rsidR="00027D04" w:rsidRPr="00A51C5B" w:rsidTr="004D11E8">
        <w:tc>
          <w:tcPr>
            <w:tcW w:w="4465" w:type="dxa"/>
            <w:gridSpan w:val="3"/>
            <w:tcBorders>
              <w:top w:val="dashed" w:sz="4" w:space="0" w:color="auto"/>
            </w:tcBorders>
          </w:tcPr>
          <w:p w:rsidR="00DB3811" w:rsidRPr="008F114E" w:rsidRDefault="00636D6E" w:rsidP="00DB3811">
            <w:pPr>
              <w:pStyle w:val="zarovnannasted"/>
              <w:rPr>
                <w:sz w:val="20"/>
              </w:rPr>
            </w:pPr>
            <w:r>
              <w:rPr>
                <w:noProof/>
                <w:sz w:val="20"/>
              </w:rPr>
              <w:t>ATJ special,</w:t>
            </w:r>
            <w:r w:rsidR="00DB3811" w:rsidRPr="008F114E">
              <w:rPr>
                <w:noProof/>
                <w:sz w:val="20"/>
              </w:rPr>
              <w:t xml:space="preserve"> s r.o.</w:t>
            </w:r>
          </w:p>
          <w:p w:rsidR="00027D04" w:rsidRPr="00794357" w:rsidRDefault="00636D6E" w:rsidP="00DB3811">
            <w:pPr>
              <w:pStyle w:val="zarovnannasted"/>
              <w:rPr>
                <w:sz w:val="20"/>
              </w:rPr>
            </w:pPr>
            <w:r>
              <w:rPr>
                <w:noProof/>
                <w:sz w:val="20"/>
              </w:rPr>
              <w:t>Dana Psotová, jednatelka</w:t>
            </w:r>
          </w:p>
        </w:tc>
        <w:tc>
          <w:tcPr>
            <w:tcW w:w="567" w:type="dxa"/>
          </w:tcPr>
          <w:p w:rsidR="00027D04" w:rsidRPr="00794357" w:rsidRDefault="00027D04" w:rsidP="004D11E8"/>
        </w:tc>
        <w:tc>
          <w:tcPr>
            <w:tcW w:w="4464" w:type="dxa"/>
            <w:gridSpan w:val="3"/>
            <w:tcBorders>
              <w:top w:val="dashed" w:sz="4" w:space="0" w:color="auto"/>
            </w:tcBorders>
          </w:tcPr>
          <w:p w:rsidR="00027D04" w:rsidRPr="00794357" w:rsidRDefault="00027D04" w:rsidP="00263502">
            <w:pPr>
              <w:pStyle w:val="zarovnannasted"/>
              <w:rPr>
                <w:sz w:val="20"/>
              </w:rPr>
            </w:pPr>
            <w:r w:rsidRPr="00794357">
              <w:rPr>
                <w:sz w:val="20"/>
              </w:rPr>
              <w:t>Brněnské vodárny a kanalizace, a.s.</w:t>
            </w:r>
          </w:p>
          <w:p w:rsidR="00027D04" w:rsidRPr="00A51C5B" w:rsidRDefault="00B615E4" w:rsidP="00027D04">
            <w:pPr>
              <w:pStyle w:val="zarovnannasted"/>
              <w:rPr>
                <w:sz w:val="20"/>
              </w:rPr>
            </w:pPr>
            <w:r>
              <w:rPr>
                <w:sz w:val="20"/>
              </w:rPr>
              <w:t>XXX</w:t>
            </w:r>
          </w:p>
        </w:tc>
      </w:tr>
    </w:tbl>
    <w:p w:rsidR="00027D04" w:rsidRDefault="00027D04" w:rsidP="004D11E8"/>
    <w:p w:rsidR="00027D04" w:rsidRDefault="00027D04" w:rsidP="00257A5F">
      <w:pPr>
        <w:sectPr w:rsidR="00027D04" w:rsidSect="00027D04">
          <w:footerReference w:type="default" r:id="rId8"/>
          <w:pgSz w:w="11906" w:h="16838"/>
          <w:pgMar w:top="1417" w:right="1417" w:bottom="1417" w:left="1417" w:header="708" w:footer="708" w:gutter="0"/>
          <w:pgNumType w:start="1"/>
          <w:cols w:space="708"/>
        </w:sectPr>
      </w:pPr>
    </w:p>
    <w:tbl>
      <w:tblPr>
        <w:tblW w:w="0" w:type="auto"/>
        <w:tblCellMar>
          <w:left w:w="70" w:type="dxa"/>
          <w:right w:w="70" w:type="dxa"/>
        </w:tblCellMar>
        <w:tblLook w:val="0000" w:firstRow="0" w:lastRow="0" w:firstColumn="0" w:lastColumn="0" w:noHBand="0" w:noVBand="0"/>
      </w:tblPr>
      <w:tblGrid>
        <w:gridCol w:w="4465"/>
      </w:tblGrid>
      <w:tr w:rsidR="001876C1" w:rsidRPr="00794357" w:rsidTr="00E377CF">
        <w:trPr>
          <w:trHeight w:val="1475"/>
        </w:trPr>
        <w:tc>
          <w:tcPr>
            <w:tcW w:w="4465" w:type="dxa"/>
            <w:tcBorders>
              <w:bottom w:val="dashed" w:sz="4" w:space="0" w:color="auto"/>
            </w:tcBorders>
          </w:tcPr>
          <w:p w:rsidR="001876C1" w:rsidRPr="00794357" w:rsidRDefault="001876C1" w:rsidP="00E377CF"/>
        </w:tc>
      </w:tr>
      <w:tr w:rsidR="001876C1" w:rsidRPr="00794357" w:rsidTr="00E377CF">
        <w:trPr>
          <w:trHeight w:val="70"/>
        </w:trPr>
        <w:tc>
          <w:tcPr>
            <w:tcW w:w="4465" w:type="dxa"/>
            <w:tcBorders>
              <w:top w:val="dashed" w:sz="4" w:space="0" w:color="auto"/>
            </w:tcBorders>
          </w:tcPr>
          <w:p w:rsidR="001876C1" w:rsidRPr="00794357" w:rsidRDefault="001876C1" w:rsidP="00E377CF">
            <w:pPr>
              <w:pStyle w:val="zarovnannasted"/>
              <w:rPr>
                <w:sz w:val="20"/>
              </w:rPr>
            </w:pPr>
            <w:r w:rsidRPr="00794357">
              <w:rPr>
                <w:noProof/>
                <w:sz w:val="20"/>
              </w:rPr>
              <w:t>ATJ special, s.r.o.</w:t>
            </w:r>
          </w:p>
          <w:p w:rsidR="001876C1" w:rsidRDefault="001876C1" w:rsidP="00E377CF">
            <w:pPr>
              <w:pStyle w:val="zarovnannasted"/>
              <w:rPr>
                <w:noProof/>
                <w:sz w:val="20"/>
              </w:rPr>
            </w:pPr>
            <w:r>
              <w:rPr>
                <w:noProof/>
                <w:sz w:val="20"/>
              </w:rPr>
              <w:t>Ing. Pavel Kazda</w:t>
            </w:r>
            <w:r w:rsidRPr="00794357">
              <w:rPr>
                <w:noProof/>
                <w:sz w:val="20"/>
              </w:rPr>
              <w:t>,</w:t>
            </w:r>
            <w:r>
              <w:rPr>
                <w:noProof/>
                <w:sz w:val="20"/>
              </w:rPr>
              <w:t xml:space="preserve"> MBA,</w:t>
            </w:r>
          </w:p>
          <w:p w:rsidR="001876C1" w:rsidRPr="00794357" w:rsidRDefault="001876C1" w:rsidP="00E377CF">
            <w:pPr>
              <w:pStyle w:val="zarovnannasted"/>
              <w:rPr>
                <w:sz w:val="20"/>
              </w:rPr>
            </w:pPr>
            <w:r w:rsidRPr="00794357">
              <w:rPr>
                <w:noProof/>
                <w:sz w:val="20"/>
              </w:rPr>
              <w:t xml:space="preserve"> jednatel</w:t>
            </w:r>
            <w:r>
              <w:rPr>
                <w:noProof/>
                <w:sz w:val="20"/>
              </w:rPr>
              <w:t xml:space="preserve"> a ředitel společnosti</w:t>
            </w:r>
          </w:p>
        </w:tc>
      </w:tr>
    </w:tbl>
    <w:p w:rsidR="00027D04" w:rsidRDefault="00027D04" w:rsidP="00257A5F">
      <w:bookmarkStart w:id="0" w:name="_GoBack"/>
      <w:bookmarkEnd w:id="0"/>
    </w:p>
    <w:sectPr w:rsidR="00027D04" w:rsidSect="00027D04">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C91" w:rsidRDefault="00990C91" w:rsidP="00C3612E">
      <w:r>
        <w:separator/>
      </w:r>
    </w:p>
  </w:endnote>
  <w:endnote w:type="continuationSeparator" w:id="0">
    <w:p w:rsidR="00990C91" w:rsidRDefault="00990C91"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20046"/>
      <w:docPartObj>
        <w:docPartGallery w:val="Page Numbers (Bottom of Page)"/>
        <w:docPartUnique/>
      </w:docPartObj>
    </w:sdtPr>
    <w:sdtEndPr/>
    <w:sdtContent>
      <w:p w:rsidR="00027D04" w:rsidRDefault="00027D04">
        <w:pPr>
          <w:pStyle w:val="Zpat"/>
          <w:jc w:val="center"/>
        </w:pPr>
        <w:r>
          <w:rPr>
            <w:noProof/>
          </w:rPr>
          <mc:AlternateContent>
            <mc:Choice Requires="wps">
              <w:drawing>
                <wp:inline distT="0" distB="0" distL="0" distR="0" wp14:anchorId="0BAEA892" wp14:editId="4685994B">
                  <wp:extent cx="5467350" cy="45085"/>
                  <wp:effectExtent l="9525"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DDC2C8C"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DRki9f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027D04" w:rsidRDefault="00027D04">
        <w:pPr>
          <w:pStyle w:val="Zpat"/>
          <w:jc w:val="center"/>
        </w:pPr>
        <w:r>
          <w:fldChar w:fldCharType="begin"/>
        </w:r>
        <w:r>
          <w:instrText>PAGE    \* MERGEFORMAT</w:instrText>
        </w:r>
        <w:r>
          <w:fldChar w:fldCharType="separate"/>
        </w:r>
        <w:r w:rsidR="00672EB7">
          <w:rPr>
            <w:noProof/>
          </w:rPr>
          <w:t>6</w:t>
        </w:r>
        <w:r>
          <w:fldChar w:fldCharType="end"/>
        </w:r>
      </w:p>
    </w:sdtContent>
  </w:sdt>
  <w:p w:rsidR="00027D04" w:rsidRDefault="00027D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0533E9" w:rsidRDefault="000533E9">
        <w:pPr>
          <w:pStyle w:val="Zpat"/>
          <w:jc w:val="center"/>
        </w:pPr>
        <w:r>
          <w:rPr>
            <w:noProof/>
          </w:rPr>
          <mc:AlternateContent>
            <mc:Choice Requires="wps">
              <w:drawing>
                <wp:inline distT="0" distB="0" distL="0" distR="0" wp14:anchorId="0BAEA892" wp14:editId="4685994B">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CF797F6"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" fillcolor="black" stroked="f">
                  <v:fill r:id="rId1" o:title="" type="pattern"/>
                  <w10:anchorlock/>
                </v:shape>
              </w:pict>
            </mc:Fallback>
          </mc:AlternateContent>
        </w:r>
      </w:p>
      <w:p w:rsidR="000533E9" w:rsidRDefault="000533E9">
        <w:pPr>
          <w:pStyle w:val="Zpat"/>
          <w:jc w:val="center"/>
        </w:pPr>
        <w:r>
          <w:fldChar w:fldCharType="begin"/>
        </w:r>
        <w:r>
          <w:instrText>PAGE    \* MERGEFORMAT</w:instrText>
        </w:r>
        <w:r>
          <w:fldChar w:fldCharType="separate"/>
        </w:r>
        <w:r w:rsidR="00027D04">
          <w:rPr>
            <w:noProof/>
          </w:rPr>
          <w:t>1</w:t>
        </w:r>
        <w:r>
          <w:fldChar w:fldCharType="end"/>
        </w:r>
      </w:p>
    </w:sdtContent>
  </w:sdt>
  <w:p w:rsidR="000533E9" w:rsidRDefault="000533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C91" w:rsidRDefault="00990C91" w:rsidP="00C3612E">
      <w:r>
        <w:separator/>
      </w:r>
    </w:p>
  </w:footnote>
  <w:footnote w:type="continuationSeparator" w:id="0">
    <w:p w:rsidR="00990C91" w:rsidRDefault="00990C91"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5"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3"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4"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6"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1"/>
  </w:num>
  <w:num w:numId="2">
    <w:abstractNumId w:val="6"/>
  </w:num>
  <w:num w:numId="3">
    <w:abstractNumId w:val="13"/>
  </w:num>
  <w:num w:numId="4">
    <w:abstractNumId w:val="8"/>
  </w:num>
  <w:num w:numId="5">
    <w:abstractNumId w:val="0"/>
  </w:num>
  <w:num w:numId="6">
    <w:abstractNumId w:val="1"/>
  </w:num>
  <w:num w:numId="7">
    <w:abstractNumId w:val="2"/>
  </w:num>
  <w:num w:numId="8">
    <w:abstractNumId w:val="5"/>
  </w:num>
  <w:num w:numId="9">
    <w:abstractNumId w:val="7"/>
  </w:num>
  <w:num w:numId="10">
    <w:abstractNumId w:val="9"/>
  </w:num>
  <w:num w:numId="11">
    <w:abstractNumId w:val="15"/>
  </w:num>
  <w:num w:numId="12">
    <w:abstractNumId w:val="4"/>
  </w:num>
  <w:num w:numId="13">
    <w:abstractNumId w:val="10"/>
  </w:num>
  <w:num w:numId="14">
    <w:abstractNumId w:val="11"/>
  </w:num>
  <w:num w:numId="15">
    <w:abstractNumId w:val="11"/>
  </w:num>
  <w:num w:numId="16">
    <w:abstractNumId w:val="3"/>
  </w:num>
  <w:num w:numId="17">
    <w:abstractNumId w:val="12"/>
  </w:num>
  <w:num w:numId="18">
    <w:abstractNumId w:val="3"/>
    <w:lvlOverride w:ilvl="0">
      <w:startOverride w:val="1"/>
    </w:lvlOverride>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54"/>
    <w:rsid w:val="00027D04"/>
    <w:rsid w:val="00041FC1"/>
    <w:rsid w:val="000533E9"/>
    <w:rsid w:val="00066EB5"/>
    <w:rsid w:val="00067385"/>
    <w:rsid w:val="00086D87"/>
    <w:rsid w:val="000A1121"/>
    <w:rsid w:val="000A439A"/>
    <w:rsid w:val="000B0E91"/>
    <w:rsid w:val="000C667D"/>
    <w:rsid w:val="000D5DC7"/>
    <w:rsid w:val="000E375C"/>
    <w:rsid w:val="000F2D51"/>
    <w:rsid w:val="0011681E"/>
    <w:rsid w:val="00131470"/>
    <w:rsid w:val="00140D29"/>
    <w:rsid w:val="00151A74"/>
    <w:rsid w:val="001800C5"/>
    <w:rsid w:val="00180E81"/>
    <w:rsid w:val="001876C1"/>
    <w:rsid w:val="001A65E0"/>
    <w:rsid w:val="001E4CAB"/>
    <w:rsid w:val="001E4EAB"/>
    <w:rsid w:val="001E5CB2"/>
    <w:rsid w:val="001F5836"/>
    <w:rsid w:val="001F6051"/>
    <w:rsid w:val="002045AB"/>
    <w:rsid w:val="00230491"/>
    <w:rsid w:val="00230726"/>
    <w:rsid w:val="00252177"/>
    <w:rsid w:val="0025636D"/>
    <w:rsid w:val="00257A5F"/>
    <w:rsid w:val="00261369"/>
    <w:rsid w:val="00263502"/>
    <w:rsid w:val="00280594"/>
    <w:rsid w:val="00296585"/>
    <w:rsid w:val="002C36A8"/>
    <w:rsid w:val="002E3E4A"/>
    <w:rsid w:val="002F1408"/>
    <w:rsid w:val="003213EE"/>
    <w:rsid w:val="00327D0F"/>
    <w:rsid w:val="0033282E"/>
    <w:rsid w:val="00350328"/>
    <w:rsid w:val="003541EA"/>
    <w:rsid w:val="00355B6D"/>
    <w:rsid w:val="00362CBD"/>
    <w:rsid w:val="00392C3D"/>
    <w:rsid w:val="003A5CE6"/>
    <w:rsid w:val="00414C90"/>
    <w:rsid w:val="00422B92"/>
    <w:rsid w:val="00457C01"/>
    <w:rsid w:val="00463219"/>
    <w:rsid w:val="00465148"/>
    <w:rsid w:val="00473804"/>
    <w:rsid w:val="00476275"/>
    <w:rsid w:val="00494690"/>
    <w:rsid w:val="004B2F65"/>
    <w:rsid w:val="004C7D31"/>
    <w:rsid w:val="004D11E8"/>
    <w:rsid w:val="004D43B9"/>
    <w:rsid w:val="004D4574"/>
    <w:rsid w:val="004E2B9A"/>
    <w:rsid w:val="004E4390"/>
    <w:rsid w:val="00506B29"/>
    <w:rsid w:val="00510DB9"/>
    <w:rsid w:val="00522554"/>
    <w:rsid w:val="005750A3"/>
    <w:rsid w:val="00585CB9"/>
    <w:rsid w:val="00587396"/>
    <w:rsid w:val="00592902"/>
    <w:rsid w:val="00593CB0"/>
    <w:rsid w:val="005B5301"/>
    <w:rsid w:val="005E38FB"/>
    <w:rsid w:val="005F48CA"/>
    <w:rsid w:val="00606A30"/>
    <w:rsid w:val="00606A7F"/>
    <w:rsid w:val="00612BC9"/>
    <w:rsid w:val="00636D6E"/>
    <w:rsid w:val="00637317"/>
    <w:rsid w:val="0064238A"/>
    <w:rsid w:val="0064250D"/>
    <w:rsid w:val="0064368D"/>
    <w:rsid w:val="00643E3C"/>
    <w:rsid w:val="00652916"/>
    <w:rsid w:val="00661FDB"/>
    <w:rsid w:val="00672EB7"/>
    <w:rsid w:val="0068455B"/>
    <w:rsid w:val="00691D0C"/>
    <w:rsid w:val="006B463D"/>
    <w:rsid w:val="006B7AED"/>
    <w:rsid w:val="006C5016"/>
    <w:rsid w:val="007046F0"/>
    <w:rsid w:val="00712844"/>
    <w:rsid w:val="00765980"/>
    <w:rsid w:val="00791058"/>
    <w:rsid w:val="00794357"/>
    <w:rsid w:val="0079478B"/>
    <w:rsid w:val="007C5F91"/>
    <w:rsid w:val="007C6882"/>
    <w:rsid w:val="008200F4"/>
    <w:rsid w:val="0085124A"/>
    <w:rsid w:val="00852DA4"/>
    <w:rsid w:val="008531FE"/>
    <w:rsid w:val="00854B49"/>
    <w:rsid w:val="00865BC5"/>
    <w:rsid w:val="00874D73"/>
    <w:rsid w:val="008761E7"/>
    <w:rsid w:val="008B615A"/>
    <w:rsid w:val="008C2D03"/>
    <w:rsid w:val="008D1D9F"/>
    <w:rsid w:val="008D6344"/>
    <w:rsid w:val="008E62AF"/>
    <w:rsid w:val="008F3A00"/>
    <w:rsid w:val="00905A6C"/>
    <w:rsid w:val="00916F2D"/>
    <w:rsid w:val="009310C0"/>
    <w:rsid w:val="00933A9C"/>
    <w:rsid w:val="00941142"/>
    <w:rsid w:val="00952B23"/>
    <w:rsid w:val="009717F2"/>
    <w:rsid w:val="009722F3"/>
    <w:rsid w:val="00987CDE"/>
    <w:rsid w:val="00990C91"/>
    <w:rsid w:val="009B1B17"/>
    <w:rsid w:val="009C57CE"/>
    <w:rsid w:val="009D61E6"/>
    <w:rsid w:val="00A03F7D"/>
    <w:rsid w:val="00A04DF0"/>
    <w:rsid w:val="00A057D8"/>
    <w:rsid w:val="00A132B5"/>
    <w:rsid w:val="00A1658D"/>
    <w:rsid w:val="00A27F9A"/>
    <w:rsid w:val="00A316B6"/>
    <w:rsid w:val="00A51C5B"/>
    <w:rsid w:val="00A571B0"/>
    <w:rsid w:val="00A61F8D"/>
    <w:rsid w:val="00A655D5"/>
    <w:rsid w:val="00A75DCC"/>
    <w:rsid w:val="00A7740F"/>
    <w:rsid w:val="00A82565"/>
    <w:rsid w:val="00A87B5E"/>
    <w:rsid w:val="00A932DB"/>
    <w:rsid w:val="00A934CD"/>
    <w:rsid w:val="00AA7C60"/>
    <w:rsid w:val="00AB5411"/>
    <w:rsid w:val="00AB6B3C"/>
    <w:rsid w:val="00AD6502"/>
    <w:rsid w:val="00AE6F72"/>
    <w:rsid w:val="00AF6763"/>
    <w:rsid w:val="00B22BAF"/>
    <w:rsid w:val="00B43FC2"/>
    <w:rsid w:val="00B50555"/>
    <w:rsid w:val="00B615E4"/>
    <w:rsid w:val="00B73868"/>
    <w:rsid w:val="00B80ADE"/>
    <w:rsid w:val="00B92653"/>
    <w:rsid w:val="00B92DE0"/>
    <w:rsid w:val="00BA0E4E"/>
    <w:rsid w:val="00BB084B"/>
    <w:rsid w:val="00BB11C8"/>
    <w:rsid w:val="00BC4001"/>
    <w:rsid w:val="00BD2097"/>
    <w:rsid w:val="00BE371F"/>
    <w:rsid w:val="00BF0E3D"/>
    <w:rsid w:val="00BF30F7"/>
    <w:rsid w:val="00BF5157"/>
    <w:rsid w:val="00C02B91"/>
    <w:rsid w:val="00C32946"/>
    <w:rsid w:val="00C32D8D"/>
    <w:rsid w:val="00C34A3E"/>
    <w:rsid w:val="00C3612E"/>
    <w:rsid w:val="00C4410B"/>
    <w:rsid w:val="00C45F47"/>
    <w:rsid w:val="00C5360E"/>
    <w:rsid w:val="00C56DFB"/>
    <w:rsid w:val="00C71884"/>
    <w:rsid w:val="00C77462"/>
    <w:rsid w:val="00C84AA6"/>
    <w:rsid w:val="00C84BE7"/>
    <w:rsid w:val="00CA6B9C"/>
    <w:rsid w:val="00CB205E"/>
    <w:rsid w:val="00CD10F6"/>
    <w:rsid w:val="00CD2584"/>
    <w:rsid w:val="00CD748B"/>
    <w:rsid w:val="00CE6E39"/>
    <w:rsid w:val="00D06CB1"/>
    <w:rsid w:val="00D20FBA"/>
    <w:rsid w:val="00D36A91"/>
    <w:rsid w:val="00D452C0"/>
    <w:rsid w:val="00D5684D"/>
    <w:rsid w:val="00D6709A"/>
    <w:rsid w:val="00D859F6"/>
    <w:rsid w:val="00DA0583"/>
    <w:rsid w:val="00DA543A"/>
    <w:rsid w:val="00DB3811"/>
    <w:rsid w:val="00DD4E19"/>
    <w:rsid w:val="00DF5DE9"/>
    <w:rsid w:val="00E42441"/>
    <w:rsid w:val="00E477E7"/>
    <w:rsid w:val="00E64715"/>
    <w:rsid w:val="00E7109C"/>
    <w:rsid w:val="00E71562"/>
    <w:rsid w:val="00E74D6A"/>
    <w:rsid w:val="00E77BA3"/>
    <w:rsid w:val="00E77CDC"/>
    <w:rsid w:val="00E86A9F"/>
    <w:rsid w:val="00E93804"/>
    <w:rsid w:val="00EA0136"/>
    <w:rsid w:val="00EA07E4"/>
    <w:rsid w:val="00EA14D4"/>
    <w:rsid w:val="00EA1CD2"/>
    <w:rsid w:val="00EB69CA"/>
    <w:rsid w:val="00EC3139"/>
    <w:rsid w:val="00EE3268"/>
    <w:rsid w:val="00EE6785"/>
    <w:rsid w:val="00F00081"/>
    <w:rsid w:val="00F14C7B"/>
    <w:rsid w:val="00F169DD"/>
    <w:rsid w:val="00F303C2"/>
    <w:rsid w:val="00F434D3"/>
    <w:rsid w:val="00F54A43"/>
    <w:rsid w:val="00F556D5"/>
    <w:rsid w:val="00F76C8B"/>
    <w:rsid w:val="00F8478A"/>
    <w:rsid w:val="00F8700E"/>
    <w:rsid w:val="00F94148"/>
    <w:rsid w:val="00FA3085"/>
    <w:rsid w:val="00FA40CA"/>
    <w:rsid w:val="00FA42E0"/>
    <w:rsid w:val="00FA6341"/>
    <w:rsid w:val="00FC2937"/>
    <w:rsid w:val="00FC359B"/>
    <w:rsid w:val="00FC5D7D"/>
    <w:rsid w:val="00FC6D98"/>
    <w:rsid w:val="00FD7619"/>
    <w:rsid w:val="00FE051B"/>
    <w:rsid w:val="00FF7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04539"/>
  <w15:docId w15:val="{446DB6F3-49EB-406C-BE81-23418A5F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709656">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5.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9623-071F-4AE4-88B9-44E89E55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smlouvav25.dotx</Template>
  <TotalTime>31</TotalTime>
  <Pages>7</Pages>
  <Words>2129</Words>
  <Characters>12564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Pechová</cp:lastModifiedBy>
  <cp:revision>4</cp:revision>
  <cp:lastPrinted>2015-01-16T11:13:00Z</cp:lastPrinted>
  <dcterms:created xsi:type="dcterms:W3CDTF">2022-11-09T08:10:00Z</dcterms:created>
  <dcterms:modified xsi:type="dcterms:W3CDTF">2022-11-09T11:53:00Z</dcterms:modified>
</cp:coreProperties>
</file>