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4310" w:h="883" w:wrap="none" w:hAnchor="page" w:x="1536" w:y="8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4"/>
        <w:keepNext w:val="0"/>
        <w:keepLines w:val="0"/>
        <w:framePr w:w="3221" w:h="1176" w:wrap="none" w:hAnchor="page" w:x="7963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framePr w:w="3221" w:h="1176" w:wrap="none" w:hAnchor="page" w:x="7963" w:y="1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6"/>
        <w:keepNext w:val="0"/>
        <w:keepLines w:val="0"/>
        <w:framePr w:w="3221" w:h="1176" w:wrap="none" w:hAnchor="page" w:x="7963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nnri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číslem: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03" w:left="1141" w:right="717" w:bottom="2043" w:header="0" w:footer="161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32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silnic Vysočiny</w:t>
      </w:r>
      <w:bookmarkEnd w:id="2"/>
      <w:bookmarkEnd w:id="3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č.29109/2022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3"/>
        <w:gridCol w:w="6970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65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65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..Zhotovitel“)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85"/>
        <w:gridCol w:w="581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Městys Kamenice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Kamenice u Jihlavy č. 481, 588 23 Kamenice u Jihlavy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Bc.Hanou Krejčovou - starostka městyse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00286079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85"/>
        <w:gridCol w:w="5808"/>
      </w:tblGrid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@ji.cz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/>
        <w:ind w:left="3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6" w:val="left"/>
        </w:tabs>
        <w:bidi w:val="0"/>
        <w:spacing w:before="0" w:after="320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posyp chemickým a inertním materiálem s pluhováním v délce 500,00 m.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54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či.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20" w:line="269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v Kamenici - zastávka AB před školou-50,00m, příjezd k nákupnímu stř. FLOP-100,00m, MK Řehořov-k prodejně COOP-300,00m, AB v obci Vržanov-50,00m.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32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32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32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 w:line="28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88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16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3" w:left="982" w:right="1362" w:bottom="1221" w:header="0" w:footer="79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41300" distB="0" distL="0" distR="0" simplePos="0" relativeHeight="12582937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241300</wp:posOffset>
                </wp:positionV>
                <wp:extent cx="1877695" cy="2832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6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dně :</w:t>
                              <w:tab/>
                              <w:t>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799999999999997pt;margin-top:19.pt;width:147.84999999999999pt;height:22.300000000000001pt;z-index:-125829375;mso-wrap-distance-left:0;mso-wrap-distance-top:19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dně :</w:t>
                        <w:tab/>
                        <w:t>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3850" distB="0" distL="0" distR="0" simplePos="0" relativeHeight="125829380" behindDoc="0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323850</wp:posOffset>
                </wp:positionV>
                <wp:extent cx="1109345" cy="2012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934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Kamenici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6.10000000000002pt;margin-top:25.5pt;width:87.349999999999994pt;height:15.85pt;z-index:-125829373;mso-wrap-distance-left:0;mso-wrap-distance-top:25.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Kamenici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0" w:right="0" w:bottom="139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12700</wp:posOffset>
                </wp:positionV>
                <wp:extent cx="1212850" cy="64008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285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Objednatelé</w:t>
                              <w:br/>
                              <w:t>Bc. Hana Krejčová</w:t>
                              <w:br/>
                              <w:t>starostka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0.85000000000002pt;margin-top:1.pt;width:95.5pt;height:50.3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Objednatelé</w:t>
                        <w:br/>
                        <w:t>Bc. Hana Krejčová</w:t>
                        <w:br/>
                        <w:t>starostka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316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1556" w:right="1330" w:bottom="139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 Ing. Radovan Necid ředitel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01.11.2022 do 31.03.2023</w:t>
      </w:r>
    </w:p>
    <w:tbl>
      <w:tblPr>
        <w:tblOverlap w:val="never"/>
        <w:jc w:val="center"/>
        <w:tblLayout w:type="fixed"/>
      </w:tblPr>
      <w:tblGrid>
        <w:gridCol w:w="6134"/>
        <w:gridCol w:w="864"/>
        <w:gridCol w:w="2016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 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50" w:left="1586" w:right="1300" w:bottom="1450" w:header="0" w:footer="102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Základní text (5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60"/>
      <w:ind w:firstLine="16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68"/>
      <w:szCs w:val="68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after="120" w:line="300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Základní text (5)"/>
    <w:basedOn w:val="Normal"/>
    <w:link w:val="CharStyle7"/>
    <w:pPr>
      <w:widowControl w:val="0"/>
      <w:shd w:val="clear" w:color="auto" w:fill="FFFFFF"/>
      <w:spacing w:line="33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