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46" w:h="245" w:wrap="none" w:hAnchor="page" w:x="1594" w:y="-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sz w:val="16"/>
          <w:szCs w:val="16"/>
        </w:rPr>
        <w:t>2022007967</w:t>
      </w:r>
    </w:p>
    <w:p>
      <w:pPr>
        <w:pStyle w:val="Style5"/>
        <w:keepNext/>
        <w:keepLines/>
        <w:framePr w:w="3226" w:h="331" w:wrap="none" w:hAnchor="page" w:x="4479" w:y="-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RÁMCOVÁ KUPNÍ SMLOUVA</w:t>
      </w:r>
      <w:bookmarkEnd w:id="0"/>
    </w:p>
    <w:p>
      <w:pPr>
        <w:widowControl w:val="0"/>
        <w:spacing w:after="240" w:line="1" w:lineRule="exact"/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427" w:right="1753" w:bottom="1323" w:left="138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2040" w:right="0" w:hanging="1280"/>
        <w:jc w:val="left"/>
        <w:rPr>
          <w:sz w:val="20"/>
          <w:szCs w:val="20"/>
        </w:rPr>
      </w:pPr>
      <w:r>
        <w:rPr>
          <w:rStyle w:val="CharStyle11"/>
          <w:sz w:val="20"/>
          <w:szCs w:val="20"/>
        </w:rPr>
        <w:t>uzavřená v souladu s ustanovením § 2079 a násl. zákona č. 89/2012 Sb„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02"/>
        <w:gridCol w:w="5482"/>
        <w:gridCol w:w="658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Zdravotnická záchranná služba Jihomoravského příspěvková organizace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kraje,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Kamenice 798/1 d, 625 00 Brno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MUDr. Hana Albrechtová, ředitelka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spacing w:val="4"/>
                <w:shd w:val="clear" w:color="auto" w:fill="000000"/>
              </w:rPr>
              <w:t>........</w:t>
            </w:r>
            <w:r>
              <w:rPr>
                <w:rStyle w:val="CharStyle14"/>
                <w:spacing w:val="5"/>
                <w:shd w:val="clear" w:color="auto" w:fill="000000"/>
              </w:rPr>
              <w:t>..</w:t>
            </w:r>
            <w:r>
              <w:rPr>
                <w:rStyle w:val="CharStyle14"/>
                <w:shd w:val="clear" w:color="auto" w:fill="000000"/>
              </w:rPr>
              <w:t>​..</w:t>
            </w:r>
            <w:r>
              <w:rPr>
                <w:rStyle w:val="CharStyle14"/>
                <w:spacing w:val="1"/>
                <w:shd w:val="clear" w:color="auto" w:fill="000000"/>
              </w:rPr>
              <w:t>.........</w:t>
            </w:r>
            <w:r>
              <w:rPr>
                <w:rStyle w:val="CharStyle14"/>
                <w:u w:val="single"/>
                <w:shd w:val="clear" w:color="auto" w:fill="000000"/>
                <w:lang w:val="en-US" w:eastAsia="en-US" w:bidi="en-US"/>
              </w:rPr>
              <w:t>​...........</w:t>
            </w:r>
            <w:r>
              <w:rPr>
                <w:rStyle w:val="CharStyle14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14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4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4"/>
                <w:shd w:val="clear" w:color="auto" w:fill="000000"/>
              </w:rPr>
              <w:t>​</w:t>
            </w:r>
            <w:r>
              <w:rPr>
                <w:rStyle w:val="CharStyle14"/>
                <w:spacing w:val="7"/>
                <w:shd w:val="clear" w:color="auto" w:fill="000000"/>
              </w:rPr>
              <w:t>......</w:t>
            </w:r>
            <w:r>
              <w:rPr>
                <w:rStyle w:val="CharStyle14"/>
                <w:shd w:val="clear" w:color="auto" w:fill="000000"/>
              </w:rPr>
              <w:t>​....</w:t>
            </w:r>
            <w:r>
              <w:rPr>
                <w:rStyle w:val="CharStyle14"/>
                <w:spacing w:val="1"/>
                <w:shd w:val="clear" w:color="auto" w:fill="000000"/>
              </w:rPr>
              <w:t>.....</w:t>
            </w:r>
            <w:r>
              <w:rPr>
                <w:rStyle w:val="CharStyle14"/>
                <w:shd w:val="clear" w:color="auto" w:fill="000000"/>
              </w:rPr>
              <w:t>​.......​.......​......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00346292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CZ00346292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Krajský soud v Brně sp. zn. Pr 1245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MONETA Money Bank, a.s., č. ú. 117203514/0600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1"/>
        </w:rPr>
        <w:t xml:space="preserve">(dále jen </w:t>
      </w:r>
      <w:r>
        <w:rPr>
          <w:rStyle w:val="CharStyle11"/>
          <w:b/>
          <w:bCs/>
          <w:i/>
          <w:iCs/>
        </w:rPr>
        <w:t>„kupující 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1"/>
        </w:rPr>
        <w:t>a</w:t>
      </w:r>
    </w:p>
    <w:tbl>
      <w:tblPr>
        <w:tblOverlap w:val="never"/>
        <w:jc w:val="center"/>
        <w:tblLayout w:type="fixed"/>
      </w:tblPr>
      <w:tblGrid>
        <w:gridCol w:w="2582"/>
        <w:gridCol w:w="5717"/>
      </w:tblGrid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B. Braun Medical s.r.o.</w:t>
            </w:r>
          </w:p>
        </w:tc>
      </w:tr>
      <w:tr>
        <w:trPr>
          <w:trHeight w:val="133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Sídlo: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Jednající: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Kontaktní osoba.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IČO: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DIČ: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V Parku 2335/20, 148 00 Praha 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Petr Císař, na základě plné moci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spacing w:val="1"/>
                <w:shd w:val="clear" w:color="auto" w:fill="000000"/>
              </w:rPr>
              <w:t>..</w:t>
            </w:r>
            <w:r>
              <w:rPr>
                <w:rStyle w:val="CharStyle14"/>
                <w:spacing w:val="2"/>
                <w:shd w:val="clear" w:color="auto" w:fill="000000"/>
              </w:rPr>
              <w:t>....</w:t>
            </w:r>
            <w:r>
              <w:rPr>
                <w:rStyle w:val="CharStyle14"/>
                <w:shd w:val="clear" w:color="auto" w:fill="000000"/>
              </w:rPr>
              <w:t>​</w:t>
            </w:r>
            <w:r>
              <w:rPr>
                <w:rStyle w:val="CharStyle14"/>
                <w:spacing w:val="5"/>
                <w:shd w:val="clear" w:color="auto" w:fill="000000"/>
              </w:rPr>
              <w:t>.........</w:t>
            </w:r>
            <w:r>
              <w:rPr>
                <w:rStyle w:val="CharStyle14"/>
                <w:spacing w:val="6"/>
                <w:shd w:val="clear" w:color="auto" w:fill="000000"/>
              </w:rPr>
              <w:t>.</w:t>
            </w:r>
            <w:r>
              <w:rPr>
                <w:rStyle w:val="CharStyle14"/>
                <w:shd w:val="clear" w:color="auto" w:fill="000000"/>
              </w:rPr>
              <w:t>​</w:t>
            </w:r>
            <w:r>
              <w:rPr>
                <w:rStyle w:val="CharStyle14"/>
                <w:spacing w:val="4"/>
                <w:shd w:val="clear" w:color="auto" w:fill="000000"/>
              </w:rPr>
              <w:t>.........</w:t>
            </w:r>
            <w:r>
              <w:rPr>
                <w:rStyle w:val="CharStyle14"/>
                <w:spacing w:val="5"/>
                <w:shd w:val="clear" w:color="auto" w:fill="000000"/>
              </w:rPr>
              <w:t>.</w:t>
            </w:r>
            <w:r>
              <w:rPr>
                <w:rStyle w:val="CharStyle14"/>
                <w:shd w:val="clear" w:color="auto" w:fill="000000"/>
              </w:rPr>
              <w:t>​</w:t>
            </w:r>
            <w:r>
              <w:rPr>
                <w:rStyle w:val="CharStyle14"/>
                <w:spacing w:val="7"/>
                <w:shd w:val="clear" w:color="auto" w:fill="000000"/>
              </w:rPr>
              <w:t>......</w:t>
            </w:r>
            <w:r>
              <w:rPr>
                <w:rStyle w:val="CharStyle14"/>
                <w:shd w:val="clear" w:color="auto" w:fill="000000"/>
              </w:rPr>
              <w:t>​....</w:t>
            </w:r>
            <w:r>
              <w:rPr>
                <w:rStyle w:val="CharStyle14"/>
                <w:spacing w:val="1"/>
                <w:shd w:val="clear" w:color="auto" w:fill="000000"/>
              </w:rPr>
              <w:t>.....</w:t>
            </w:r>
            <w:r>
              <w:rPr>
                <w:rStyle w:val="CharStyle14"/>
                <w:shd w:val="clear" w:color="auto" w:fill="000000"/>
              </w:rPr>
              <w:t>​.......​.......​</w:t>
            </w:r>
            <w:r>
              <w:rPr>
                <w:rStyle w:val="CharStyle14"/>
                <w:spacing w:val="5"/>
                <w:shd w:val="clear" w:color="auto" w:fill="000000"/>
              </w:rPr>
              <w:t>.....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48586285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CZ48586285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Městský soud v Praze, sp. zn. C 17893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UniCredit Bank Czech Republic and Slovakia, a.s., č 515293009/2700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5"/>
        </w:rPr>
        <w:t xml:space="preserve">(dále jen </w:t>
      </w:r>
      <w:r>
        <w:rPr>
          <w:rStyle w:val="CharStyle25"/>
          <w:b/>
          <w:bCs/>
          <w:i/>
          <w:iCs/>
        </w:rPr>
        <w:t>„prodávající )</w:t>
      </w:r>
    </w:p>
    <w:p>
      <w:pPr>
        <w:widowControl w:val="0"/>
        <w:spacing w:after="619" w:line="1" w:lineRule="exact"/>
      </w:pP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/>
        <w:ind w:left="400" w:right="0" w:hanging="400"/>
        <w:jc w:val="both"/>
      </w:pPr>
      <w:r>
        <w:rPr>
          <w:rStyle w:val="CharStyle11"/>
        </w:rPr>
        <w:t>Prodávající je oprávněn na základě svého vlastnického práva nakládat s tímto zbožím: intravenózní kanyly a krytí intravenózních kanyl. Bližší specifikace zboží je uvedena v příloze č. 1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1"/>
        </w:rPr>
        <w:t>Součástí dodávky zboží podle čl. 2 této smlouvy je vždy předání veškerých písemných dokladů, které jsou potřebné k používání tohoto zboží.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 xml:space="preserve">Prodávající se zavazuje plnit svůj závazek k dodání zboží podle čl. 1 této smlouvy vždy nejpozději do </w:t>
      </w:r>
      <w:r>
        <w:rPr>
          <w:rStyle w:val="CharStyle11"/>
          <w:b/>
          <w:bCs/>
        </w:rPr>
        <w:t xml:space="preserve">10-ti dní </w:t>
      </w:r>
      <w:r>
        <w:rPr>
          <w:rStyle w:val="CharStyle11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 w:line="286" w:lineRule="auto"/>
        <w:ind w:left="560" w:right="0" w:hanging="360"/>
        <w:jc w:val="both"/>
      </w:pPr>
      <w:r>
        <w:rPr>
          <w:rStyle w:val="CharStyle11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 w:line="288" w:lineRule="auto"/>
        <w:ind w:left="560" w:right="0" w:hanging="360"/>
        <w:jc w:val="both"/>
      </w:pPr>
      <w:r>
        <w:rPr>
          <w:rStyle w:val="CharStyle11"/>
        </w:rPr>
        <w:t>Kupující se zavazuje zaplatit prodávajícímu za předmět koupě a prodeje podle čl. 1 této smlouvy jednotkovou kupní cenu. Jednotkové ceny zboží jsou uvedeny v příloze č. 2 této smlouvy. Součástí těchto cen jsou veškeré náklady prodávajícího na splnění jeho závazku k dodání zboží podle této smlouvy. Výše uvedené ceny se prodávající zavazuje garantovat po dobu podle čl. 20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 w:line="283" w:lineRule="auto"/>
        <w:ind w:left="560" w:right="0" w:hanging="360"/>
        <w:jc w:val="both"/>
      </w:pPr>
      <w:r>
        <w:rPr>
          <w:rStyle w:val="CharStyle11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</w:t>
      </w:r>
      <w:r>
        <w:rPr>
          <w:rStyle w:val="CharStyle11"/>
          <w:shd w:val="clear" w:color="auto" w:fill="000000"/>
        </w:rPr>
        <w:t>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shd w:val="clear" w:color="auto" w:fill="000000"/>
          <w:lang w:val="en-US" w:eastAsia="en-US" w:bidi="en-US"/>
        </w:rPr>
        <w:t>..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color w:val="3E7DB3"/>
          <w:lang w:val="en-US" w:eastAsia="en-US" w:bidi="en-US"/>
        </w:rPr>
        <w:t xml:space="preserve"> </w:t>
      </w:r>
      <w:r>
        <w:rPr>
          <w:rStyle w:val="CharStyle11"/>
        </w:rPr>
        <w:t xml:space="preserve">Na faktuře musí být mimo jiné vždy uvedeno toto číslo veřejné zakázky, ke které se faktura vztahuje: </w:t>
      </w:r>
      <w:r>
        <w:rPr>
          <w:rStyle w:val="CharStyle11"/>
          <w:b/>
          <w:bCs/>
        </w:rPr>
        <w:t xml:space="preserve">P22V00003478. </w:t>
      </w:r>
      <w:r>
        <w:rPr>
          <w:rStyle w:val="CharStyle11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/>
        <w:ind w:left="560" w:right="0" w:hanging="360"/>
        <w:jc w:val="both"/>
      </w:pPr>
      <w:r>
        <w:rPr>
          <w:rStyle w:val="CharStyle11"/>
        </w:rPr>
        <w:t>S převodem zboží je podle čl. 1 této smlouvy spojena záruka za jeho jakost v trvání 24 měsíců ode dne předání příslušného zboží. V rámci záruky se prodávající zavazuje, že zboží podle čl. 1 této smlouvy bude nové, v neporušeném balení s řádným označením, s minimální skladovací životností po celou dobu uvedené záruční lhůty a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/>
        <w:ind w:left="560" w:right="0" w:hanging="360"/>
        <w:jc w:val="both"/>
      </w:pPr>
      <w:r>
        <w:rPr>
          <w:rStyle w:val="CharStyle11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/>
        <w:ind w:left="560" w:right="0" w:hanging="360"/>
        <w:jc w:val="both"/>
      </w:pPr>
      <w:r>
        <w:rPr>
          <w:rStyle w:val="CharStyle11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/>
        <w:ind w:left="560" w:right="0" w:hanging="360"/>
        <w:jc w:val="both"/>
      </w:pPr>
      <w:r>
        <w:rPr>
          <w:rStyle w:val="CharStyle11"/>
        </w:rPr>
        <w:t>Pro případ prodlení se splněním závazku prodávajícího k dodání zboží ve lhůtě podle čl. 4 této smlouvy se prodávající zavazuje platit kupujícímu smluvní pokutu ve výši 0,1 % z kupní podle čl. 7 této smlouvy za každý den tohoto prodlení Pro případ prodlení s odstraněním vady ve lhůtě podle čl. 9 této smlouvy se prodávající zavazuje platit kupujícímu smluvní pokutu ve výši 50,-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 w:line="266" w:lineRule="auto"/>
        <w:ind w:left="560" w:right="0" w:hanging="360"/>
        <w:jc w:val="both"/>
      </w:pPr>
      <w:r>
        <w:rPr>
          <w:rStyle w:val="CharStyle11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ód této smlouvy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8" w:val="left"/>
        </w:tabs>
        <w:bidi w:val="0"/>
        <w:spacing w:before="0" w:line="286" w:lineRule="auto"/>
        <w:ind w:left="560" w:right="0" w:hanging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0" w:right="1485" w:bottom="1718" w:left="1473" w:header="0" w:footer="3" w:gutter="0"/>
          <w:cols w:space="720"/>
          <w:noEndnote/>
          <w:rtlGutter w:val="0"/>
          <w:docGrid w:linePitch="360"/>
        </w:sectPr>
      </w:pPr>
      <w:r>
        <w:rPr>
          <w:rStyle w:val="CharStyle11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59" w:right="1541" w:bottom="1359" w:left="13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8746" w:h="4978" w:wrap="none" w:vAnchor="text" w:hAnchor="page" w:x="1432" w:y="21"/>
        <w:widowControl w:val="0"/>
        <w:numPr>
          <w:ilvl w:val="0"/>
          <w:numId w:val="3"/>
        </w:numPr>
        <w:shd w:val="clear" w:color="auto" w:fill="auto"/>
        <w:tabs>
          <w:tab w:pos="398" w:val="left"/>
        </w:tabs>
        <w:bidi w:val="0"/>
        <w:spacing w:before="0" w:after="220"/>
        <w:ind w:left="380" w:right="0" w:hanging="380"/>
        <w:jc w:val="both"/>
      </w:pPr>
      <w:r>
        <w:rPr>
          <w:rStyle w:val="CharStyle11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10"/>
        <w:keepNext w:val="0"/>
        <w:keepLines w:val="0"/>
        <w:framePr w:w="8746" w:h="4978" w:wrap="none" w:vAnchor="text" w:hAnchor="page" w:x="1432" w:y="21"/>
        <w:widowControl w:val="0"/>
        <w:numPr>
          <w:ilvl w:val="0"/>
          <w:numId w:val="3"/>
        </w:numPr>
        <w:shd w:val="clear" w:color="auto" w:fill="auto"/>
        <w:tabs>
          <w:tab w:pos="398" w:val="left"/>
        </w:tabs>
        <w:bidi w:val="0"/>
        <w:spacing w:before="0" w:after="220"/>
        <w:ind w:left="380" w:right="0" w:hanging="380"/>
        <w:jc w:val="both"/>
      </w:pPr>
      <w:r>
        <w:rPr>
          <w:rStyle w:val="CharStyle11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10"/>
        <w:keepNext w:val="0"/>
        <w:keepLines w:val="0"/>
        <w:framePr w:w="8746" w:h="4978" w:wrap="none" w:vAnchor="text" w:hAnchor="page" w:x="1432" w:y="21"/>
        <w:widowControl w:val="0"/>
        <w:numPr>
          <w:ilvl w:val="0"/>
          <w:numId w:val="3"/>
        </w:numPr>
        <w:shd w:val="clear" w:color="auto" w:fill="auto"/>
        <w:tabs>
          <w:tab w:pos="398" w:val="left"/>
        </w:tabs>
        <w:bidi w:val="0"/>
        <w:spacing w:before="0" w:after="220"/>
        <w:ind w:left="380" w:right="0" w:hanging="380"/>
        <w:jc w:val="both"/>
      </w:pPr>
      <w:r>
        <w:rPr>
          <w:rStyle w:val="CharStyle11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0"/>
        <w:keepNext w:val="0"/>
        <w:keepLines w:val="0"/>
        <w:framePr w:w="8746" w:h="4978" w:wrap="none" w:vAnchor="text" w:hAnchor="page" w:x="1432" w:y="21"/>
        <w:widowControl w:val="0"/>
        <w:numPr>
          <w:ilvl w:val="0"/>
          <w:numId w:val="3"/>
        </w:numPr>
        <w:shd w:val="clear" w:color="auto" w:fill="auto"/>
        <w:tabs>
          <w:tab w:pos="398" w:val="left"/>
        </w:tabs>
        <w:bidi w:val="0"/>
        <w:spacing w:before="0" w:after="220"/>
        <w:ind w:left="380" w:right="0" w:hanging="380"/>
        <w:jc w:val="both"/>
      </w:pPr>
      <w:r>
        <w:rPr>
          <w:rStyle w:val="CharStyle11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0"/>
        <w:keepNext w:val="0"/>
        <w:keepLines w:val="0"/>
        <w:framePr w:w="8746" w:h="998" w:wrap="none" w:vAnchor="text" w:hAnchor="page" w:x="1418" w:y="5209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220"/>
        <w:ind w:left="420" w:right="0" w:hanging="420"/>
        <w:jc w:val="left"/>
      </w:pPr>
      <w:r>
        <w:rPr>
          <w:rStyle w:val="CharStyle11"/>
        </w:rPr>
        <w:t xml:space="preserve">Tato smlouva nabývá účinnosti po jejím podpisu oběma smluvními stranami dnem jejího uveřejnění v Registru smluv, nejdříve však </w:t>
      </w:r>
      <w:r>
        <w:rPr>
          <w:rStyle w:val="CharStyle11"/>
          <w:b/>
          <w:bCs/>
        </w:rPr>
        <w:t>1.1. 2023.</w:t>
      </w:r>
    </w:p>
    <w:p>
      <w:pPr>
        <w:pStyle w:val="Style10"/>
        <w:keepNext w:val="0"/>
        <w:keepLines w:val="0"/>
        <w:framePr w:w="8746" w:h="998" w:wrap="none" w:vAnchor="text" w:hAnchor="page" w:x="1418" w:y="5209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left"/>
      </w:pPr>
      <w:r>
        <w:rPr>
          <w:rStyle w:val="CharStyle11"/>
        </w:rPr>
        <w:t xml:space="preserve">Tato smlouva se uzavírá na dobu určitou, a to do </w:t>
      </w:r>
      <w:r>
        <w:rPr>
          <w:rStyle w:val="CharStyle11"/>
          <w:b/>
          <w:bCs/>
        </w:rPr>
        <w:t>31. 12. 2023.</w:t>
      </w:r>
    </w:p>
    <w:p>
      <w:pPr>
        <w:pStyle w:val="Style10"/>
        <w:keepNext w:val="0"/>
        <w:keepLines w:val="0"/>
        <w:framePr w:w="8741" w:h="523" w:wrap="none" w:vAnchor="text" w:hAnchor="page" w:x="1418" w:y="6414"/>
        <w:widowControl w:val="0"/>
        <w:shd w:val="clear" w:color="auto" w:fill="auto"/>
        <w:bidi w:val="0"/>
        <w:spacing w:before="0" w:after="0"/>
        <w:ind w:left="400" w:right="0" w:hanging="400"/>
        <w:jc w:val="left"/>
      </w:pPr>
      <w:r>
        <w:rPr>
          <w:rStyle w:val="CharStyle11"/>
          <w:b/>
          <w:bCs/>
        </w:rPr>
        <w:t xml:space="preserve">21. </w:t>
      </w:r>
      <w:r>
        <w:rPr>
          <w:rStyle w:val="CharStyle11"/>
        </w:rPr>
        <w:t>Dáno ve dvou originálních písemných vyhotoveních, z nichž každá ze smluvních stran obdrží po jednom.</w:t>
      </w:r>
    </w:p>
    <w:p>
      <w:pPr>
        <w:pStyle w:val="Style10"/>
        <w:keepNext w:val="0"/>
        <w:keepLines w:val="0"/>
        <w:framePr w:w="2856" w:h="235" w:wrap="none" w:vAnchor="text" w:hAnchor="page" w:x="6405" w:y="7374"/>
        <w:widowControl w:val="0"/>
        <w:shd w:val="clear" w:color="auto" w:fill="auto"/>
        <w:tabs>
          <w:tab w:leader="dot" w:pos="27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V Praze dne</w:t>
        <w:tab/>
      </w:r>
    </w:p>
    <w:p>
      <w:pPr>
        <w:pStyle w:val="Style35"/>
        <w:keepNext w:val="0"/>
        <w:keepLines w:val="0"/>
        <w:framePr w:w="1003" w:h="235" w:wrap="none" w:vAnchor="text" w:hAnchor="page" w:x="1413" w:y="7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</w:pPr>
      <w:r>
        <w:rPr>
          <w:rStyle w:val="CharStyle36"/>
          <w:rFonts w:ascii="Arial" w:eastAsia="Arial" w:hAnsi="Arial" w:cs="Arial"/>
          <w:sz w:val="19"/>
          <w:szCs w:val="19"/>
        </w:rPr>
        <w:t>V Brně dne</w:t>
      </w:r>
    </w:p>
    <w:p>
      <w:pPr>
        <w:pStyle w:val="Style10"/>
        <w:keepNext w:val="0"/>
        <w:keepLines w:val="0"/>
        <w:framePr w:w="2165" w:h="773" w:wrap="none" w:vAnchor="text" w:hAnchor="page" w:x="1423" w:y="894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1"/>
        </w:rPr>
        <w:t>MUDr. Hana Albrechtová ředitelka</w:t>
      </w:r>
    </w:p>
    <w:p>
      <w:pPr>
        <w:pStyle w:val="Style10"/>
        <w:keepNext w:val="0"/>
        <w:keepLines w:val="0"/>
        <w:framePr w:w="2165" w:h="773" w:wrap="none" w:vAnchor="text" w:hAnchor="page" w:x="1423" w:y="894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1"/>
          <w:b/>
          <w:bCs/>
          <w:i/>
          <w:iCs/>
        </w:rPr>
        <w:t>Kupující</w:t>
      </w:r>
    </w:p>
    <w:p>
      <w:pPr>
        <w:pStyle w:val="Style10"/>
        <w:keepNext w:val="0"/>
        <w:keepLines w:val="0"/>
        <w:framePr w:w="1003" w:h="451" w:wrap="none" w:vAnchor="text" w:hAnchor="page" w:x="1427" w:y="10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Příloha č. 1</w:t>
      </w:r>
    </w:p>
    <w:p>
      <w:pPr>
        <w:pStyle w:val="Style10"/>
        <w:keepNext w:val="0"/>
        <w:keepLines w:val="0"/>
        <w:framePr w:w="1003" w:h="451" w:wrap="none" w:vAnchor="text" w:hAnchor="page" w:x="1427" w:y="10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Příloha č. 2</w:t>
      </w:r>
    </w:p>
    <w:p>
      <w:pPr>
        <w:pStyle w:val="Style10"/>
        <w:keepNext w:val="0"/>
        <w:keepLines w:val="0"/>
        <w:framePr w:w="1829" w:h="451" w:wrap="none" w:vAnchor="text" w:hAnchor="page" w:x="2776" w:y="10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Specifikace</w:t>
      </w:r>
    </w:p>
    <w:p>
      <w:pPr>
        <w:pStyle w:val="Style10"/>
        <w:keepNext w:val="0"/>
        <w:keepLines w:val="0"/>
        <w:framePr w:w="1829" w:h="451" w:wrap="none" w:vAnchor="text" w:hAnchor="page" w:x="2776" w:y="10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Seznam zboží, ceník</w:t>
      </w:r>
    </w:p>
    <w:p>
      <w:pPr>
        <w:pStyle w:val="Style38"/>
        <w:keepNext w:val="0"/>
        <w:keepLines w:val="0"/>
        <w:framePr w:w="730" w:h="686" w:wrap="none" w:vAnchor="text" w:hAnchor="page" w:x="6410" w:y="7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</w:rPr>
        <w:t>Petr</w:t>
      </w:r>
    </w:p>
    <w:p>
      <w:pPr>
        <w:pStyle w:val="Style38"/>
        <w:keepNext w:val="0"/>
        <w:keepLines w:val="0"/>
        <w:framePr w:w="730" w:h="686" w:wrap="none" w:vAnchor="text" w:hAnchor="page" w:x="6410" w:y="7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</w:rPr>
        <w:t>Císař</w:t>
      </w:r>
    </w:p>
    <w:p>
      <w:pPr>
        <w:pStyle w:val="Style40"/>
        <w:keepNext w:val="0"/>
        <w:keepLines w:val="0"/>
        <w:framePr w:w="1104" w:h="638" w:wrap="none" w:vAnchor="text" w:hAnchor="page" w:x="7519" w:y="80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1"/>
        </w:rPr>
        <w:t>Digitálně podepsal Petr Císař</w:t>
      </w:r>
    </w:p>
    <w:p>
      <w:pPr>
        <w:pStyle w:val="Style40"/>
        <w:keepNext w:val="0"/>
        <w:keepLines w:val="0"/>
        <w:framePr w:w="1104" w:h="638" w:wrap="none" w:vAnchor="text" w:hAnchor="page" w:x="7519" w:y="80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1"/>
        </w:rPr>
        <w:t>Datum: 2022.11.01</w:t>
      </w:r>
    </w:p>
    <w:p>
      <w:pPr>
        <w:pStyle w:val="Style40"/>
        <w:keepNext w:val="0"/>
        <w:keepLines w:val="0"/>
        <w:framePr w:w="1104" w:h="638" w:wrap="none" w:vAnchor="text" w:hAnchor="page" w:x="7519" w:y="80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1"/>
        </w:rPr>
        <w:t>08:37:48 +01'00'</w:t>
      </w:r>
    </w:p>
    <w:p>
      <w:pPr>
        <w:pStyle w:val="Style10"/>
        <w:keepNext w:val="0"/>
        <w:keepLines w:val="0"/>
        <w:framePr w:w="1838" w:h="768" w:wrap="none" w:vAnchor="text" w:hAnchor="page" w:x="6415" w:y="893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1"/>
        </w:rPr>
        <w:t xml:space="preserve">Petr Císař, na základě plné moci </w:t>
      </w:r>
      <w:r>
        <w:rPr>
          <w:rStyle w:val="CharStyle11"/>
          <w:b/>
          <w:bCs/>
          <w:i/>
          <w:iCs/>
        </w:rPr>
        <w:t>Prodávající</w:t>
      </w:r>
    </w:p>
    <w:tbl>
      <w:tblPr>
        <w:tblOverlap w:val="never"/>
        <w:jc w:val="left"/>
        <w:tblLayout w:type="fixed"/>
      </w:tblPr>
      <w:tblGrid>
        <w:gridCol w:w="2030"/>
        <w:gridCol w:w="2314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4344" w:h="715" w:wrap="none" w:vAnchor="text" w:hAnchor="page" w:x="6016" w:y="135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rFonts w:ascii="Calibri" w:eastAsia="Calibri" w:hAnsi="Calibri" w:cs="Calibri"/>
                <w:color w:val="3BABAC"/>
                <w:sz w:val="22"/>
                <w:szCs w:val="22"/>
              </w:rPr>
              <w:t>Schválil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4344" w:h="715" w:wrap="none" w:vAnchor="text" w:hAnchor="page" w:x="6016" w:y="135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rFonts w:ascii="Calibri" w:eastAsia="Calibri" w:hAnsi="Calibri" w:cs="Calibri"/>
                <w:color w:val="3BABAC"/>
                <w:sz w:val="22"/>
                <w:szCs w:val="22"/>
              </w:rPr>
              <w:t>Podpis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4344" w:h="715" w:wrap="none" w:vAnchor="text" w:hAnchor="page" w:x="6016" w:y="135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4"/>
                <w:rFonts w:ascii="Calibri" w:eastAsia="Calibri" w:hAnsi="Calibri" w:cs="Calibri"/>
                <w:color w:val="3BABAC"/>
                <w:sz w:val="22"/>
                <w:szCs w:val="22"/>
              </w:rPr>
              <w:t>OVZ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4344" w:h="715" w:wrap="none" w:vAnchor="text" w:hAnchor="page" w:x="6016" w:y="13537"/>
              <w:widowControl w:val="0"/>
              <w:shd w:val="clear" w:color="auto" w:fill="auto"/>
              <w:tabs>
                <w:tab w:pos="1058" w:val="left"/>
                <w:tab w:pos="1466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rStyle w:val="CharStyle14"/>
                <w:b/>
                <w:bCs/>
                <w:sz w:val="8"/>
                <w:szCs w:val="8"/>
              </w:rPr>
              <w:t>n l nnjvi iM</w:t>
              <w:tab/>
            </w:r>
            <w:r>
              <w:rPr>
                <w:rStyle w:val="CharStyle14"/>
                <w:b/>
                <w:bCs/>
                <w:sz w:val="8"/>
                <w:szCs w:val="8"/>
                <w:vertAlign w:val="superscript"/>
              </w:rPr>
              <w:t>ln</w:t>
            </w:r>
            <w:r>
              <w:rPr>
                <w:rStyle w:val="CharStyle14"/>
                <w:b/>
                <w:bCs/>
                <w:sz w:val="8"/>
                <w:szCs w:val="8"/>
              </w:rPr>
              <w:t>s</w:t>
              <w:tab/>
            </w:r>
            <w:r>
              <w:rPr>
                <w:rStyle w:val="CharStyle14"/>
                <w:b/>
                <w:bCs/>
                <w:sz w:val="8"/>
                <w:szCs w:val="8"/>
                <w:vertAlign w:val="superscript"/>
              </w:rPr>
              <w:t>Martgková</w:t>
            </w:r>
          </w:p>
          <w:p>
            <w:pPr>
              <w:pStyle w:val="Style13"/>
              <w:keepNext w:val="0"/>
              <w:keepLines w:val="0"/>
              <w:framePr w:w="4344" w:h="715" w:wrap="none" w:vAnchor="text" w:hAnchor="page" w:x="6016" w:y="13537"/>
              <w:widowControl w:val="0"/>
              <w:shd w:val="clear" w:color="auto" w:fill="auto"/>
              <w:tabs>
                <w:tab w:pos="1058" w:val="left"/>
              </w:tabs>
              <w:bidi w:val="0"/>
              <w:spacing w:before="0" w:after="0" w:line="18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rStyle w:val="CharStyle14"/>
                <w:b/>
                <w:bCs/>
                <w:sz w:val="8"/>
                <w:szCs w:val="8"/>
              </w:rPr>
              <w:t>U | UKMUH</w:t>
              <w:tab/>
              <w:t>2022.10.26 14:06:26 +02'00'</w:t>
            </w:r>
          </w:p>
        </w:tc>
      </w:tr>
    </w:tbl>
    <w:p>
      <w:pPr>
        <w:framePr w:w="4344" w:h="715" w:wrap="none" w:vAnchor="text" w:hAnchor="page" w:x="6016" w:y="13537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338455" distB="0" distL="0" distR="0" simplePos="0" relativeHeight="62914696" behindDoc="1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5023485</wp:posOffset>
            </wp:positionV>
            <wp:extent cx="1962785" cy="5854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62785" cy="5854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9" w:right="1541" w:bottom="1359" w:left="13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6"/>
          <w:b/>
          <w:bCs/>
        </w:rPr>
        <w:t>Specifikace</w:t>
      </w:r>
      <w:bookmarkEnd w:id="2"/>
    </w:p>
    <w:tbl>
      <w:tblPr>
        <w:tblOverlap w:val="never"/>
        <w:jc w:val="center"/>
        <w:tblLayout w:type="fixed"/>
      </w:tblPr>
      <w:tblGrid>
        <w:gridCol w:w="504"/>
        <w:gridCol w:w="3077"/>
        <w:gridCol w:w="1042"/>
        <w:gridCol w:w="2616"/>
        <w:gridCol w:w="1541"/>
        <w:gridCol w:w="4776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Velikost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Průtok (ml/min)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Specifikace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18 zelená - port + křídla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Polyuretan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1,3 x45 mm (18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96 ml/min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Bezpečnostní intravenózní kanyla, s křidélky pro snadnou fixaci, tenkostěnná, tlakově odolná, šikmé ostří jehly, kónus Luer Lock, automatická aktivace bezpečnostního klipu při vytahování zaváděcí jehly, sterilně baleno v měkkém obalu (NE typu blistr-tvrdý obal). Balení - 50 ks v krabici.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20 růžová - port + křidla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1,1 x 33 mm (20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55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22 modrá - port + křídla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0,9 x 25 mm (22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35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16 šedá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1,7 x 50 mm (16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190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18 zelená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1,3 x 32 mm (18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100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20 růžová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1,1 x 32 mm (20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55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22 modrá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0,9 x 25 mm (22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35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24 žlutá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4"/>
              </w:rPr>
              <w:t>0,7x19 mm (24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20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2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20 zabraňující samovolnému vytékání krve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1,0x32 mm (20 G)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min. 60 ml/min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Bezpečnostní intravenózní kanyla, bez portu, sterilní, s pasivním bezpečnostním prvkem, opakovaně zabraňující samovolnému vytékání krve.</w:t>
            </w:r>
          </w:p>
        </w:tc>
      </w:tr>
    </w:tbl>
    <w:p>
      <w:pPr>
        <w:widowControl w:val="0"/>
        <w:spacing w:after="37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3"/>
        </w:rPr>
        <w:t xml:space="preserve">VZ </w:t>
      </w:r>
      <w:r>
        <w:rPr>
          <w:rStyle w:val="CharStyle3"/>
          <w:i/>
          <w:iCs/>
        </w:rPr>
        <w:t>05-21 Intravenózní kanyly 2023</w:t>
      </w:r>
      <w:r>
        <w:br w:type="page"/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6"/>
          <w:b/>
          <w:bCs/>
        </w:rPr>
        <w:t>Seznam zboží, ceník</w:t>
      </w:r>
      <w:bookmarkEnd w:id="4"/>
    </w:p>
    <w:tbl>
      <w:tblPr>
        <w:tblOverlap w:val="never"/>
        <w:jc w:val="center"/>
        <w:tblLayout w:type="fixed"/>
      </w:tblPr>
      <w:tblGrid>
        <w:gridCol w:w="494"/>
        <w:gridCol w:w="3725"/>
        <w:gridCol w:w="1685"/>
        <w:gridCol w:w="1685"/>
        <w:gridCol w:w="1570"/>
        <w:gridCol w:w="1570"/>
        <w:gridCol w:w="1570"/>
        <w:gridCol w:w="1579"/>
        <w:gridCol w:w="1618"/>
      </w:tblGrid>
      <w:tr>
        <w:trPr>
          <w:trHeight w:val="13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Interní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Výrobce/typ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Cena za 1 ks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Cena za 1 ks v Kč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Velikost balení v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Cena vícekusového baleni v Kč bez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Cena vícekusového balení v Kč včetně DPH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intrav.G18 zelená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AG/Vasofix Safety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847,00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intrav.G20 růžová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AG/Vasofix Safety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847,00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intrav.G22 modrá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AG/Vasofix Safety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847,00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G16 šedá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610,00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738,10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G18 zelená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610,00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738,10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G20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610,00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738,10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G22 modrá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610,00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738,10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G24 žlutá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  <w:b/>
                <w:bCs/>
              </w:rPr>
              <w:t>22009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4"/>
              </w:rPr>
              <w:t>610,00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738,10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4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Kanyla intravenózní G 20 zabraňující samovolnému vytékání krve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14"/>
                <w:b/>
                <w:bCs/>
                <w:sz w:val="15"/>
                <w:szCs w:val="15"/>
              </w:rPr>
              <w:t>B. Braun Melsungen AG/Introcan Safety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24,20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4"/>
              </w:rPr>
              <w:t>1000,00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1210,00</w:t>
            </w:r>
          </w:p>
        </w:tc>
      </w:tr>
    </w:tbl>
    <w:p>
      <w:pPr>
        <w:widowControl w:val="0"/>
        <w:spacing w:after="2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rStyle w:val="CharStyle3"/>
        </w:rPr>
        <w:t xml:space="preserve">V2 </w:t>
      </w:r>
      <w:r>
        <w:rPr>
          <w:rStyle w:val="CharStyle3"/>
          <w:i/>
          <w:iCs/>
        </w:rPr>
        <w:t>05-21 Intravenózní kanyly 2023</w:t>
      </w:r>
    </w:p>
    <w:sectPr>
      <w:headerReference w:type="default" r:id="rId11"/>
      <w:footerReference w:type="default" r:id="rId12"/>
      <w:headerReference w:type="even" r:id="rId13"/>
      <w:footerReference w:type="even" r:id="rId14"/>
      <w:footnotePr>
        <w:pos w:val="pageBottom"/>
        <w:numFmt w:val="decimal"/>
        <w:numRestart w:val="continuous"/>
      </w:footnotePr>
      <w:pgSz w:w="16840" w:h="11900" w:orient="landscape"/>
      <w:pgMar w:top="1615" w:right="545" w:bottom="1059" w:left="801" w:header="0" w:footer="631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9916795</wp:posOffset>
              </wp:positionV>
              <wp:extent cx="168529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8529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23-22 Intravenózní kanyly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1.25pt;margin-top:780.85000000000002pt;width:132.69999999999999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23-22 Intravenózní kanyly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9925685</wp:posOffset>
              </wp:positionV>
              <wp:extent cx="168529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852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\/Z 23-22 Intravenózní kanyly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4.700000000000003pt;margin-top:781.55000000000007pt;width:132.69999999999999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\/Z 23-22 Intravenózní kanyly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5635625</wp:posOffset>
              </wp:positionH>
              <wp:positionV relativeFrom="page">
                <wp:posOffset>711200</wp:posOffset>
              </wp:positionV>
              <wp:extent cx="76200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OVZ 1587/2022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75pt;margin-top:56.pt;width:60.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OVZ 1587/2022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559435</wp:posOffset>
              </wp:positionV>
              <wp:extent cx="58801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80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Style w:val="CharStyle8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5.650000000000006pt;margin-top:44.050000000000004pt;width:46.300000000000004pt;height:7.45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9"/>
                        <w:szCs w:val="19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559435</wp:posOffset>
              </wp:positionV>
              <wp:extent cx="58801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80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Style w:val="CharStyle8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5.650000000000006pt;margin-top:44.050000000000004pt;width:46.300000000000004pt;height:7.45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9"/>
                        <w:szCs w:val="19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9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6">
    <w:name w:val="Nadpis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36">
    <w:name w:val="Titulek obrázku_"/>
    <w:basedOn w:val="DefaultParagraphFont"/>
    <w:link w:val="Style35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9">
    <w:name w:val="Základní text (5)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41">
    <w:name w:val="Základní text (4)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ind w:firstLine="840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auto"/>
      <w:spacing w:after="2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35">
    <w:name w:val="Titulek obrázku"/>
    <w:basedOn w:val="Normal"/>
    <w:link w:val="CharStyle36"/>
    <w:pPr>
      <w:widowControl w:val="0"/>
      <w:shd w:val="clear" w:color="auto" w:fill="auto"/>
    </w:pPr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8">
    <w:name w:val="Základní text (5)"/>
    <w:basedOn w:val="Normal"/>
    <w:link w:val="CharStyle3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0">
    <w:name w:val="Základní text (4)"/>
    <w:basedOn w:val="Normal"/>
    <w:link w:val="CharStyle41"/>
    <w:pPr>
      <w:widowControl w:val="0"/>
      <w:shd w:val="clear" w:color="auto" w:fill="auto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/Relationships>
</file>