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1F0" w:rsidRDefault="00884A4C">
      <w:pPr>
        <w:pStyle w:val="Nadpis10"/>
        <w:keepNext/>
        <w:keepLines/>
      </w:pPr>
      <w:bookmarkStart w:id="0" w:name="bookmark0"/>
      <w:r>
        <w:rPr>
          <w:rStyle w:val="Nadpis1"/>
        </w:rPr>
        <w:t>IIIIMHIIIII</w:t>
      </w:r>
      <w:bookmarkEnd w:id="0"/>
    </w:p>
    <w:p w:rsidR="009001F0" w:rsidRDefault="00884A4C">
      <w:pPr>
        <w:pStyle w:val="Zkladntext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5516880</wp:posOffset>
                </wp:positionH>
                <wp:positionV relativeFrom="paragraph">
                  <wp:posOffset>63500</wp:posOffset>
                </wp:positionV>
                <wp:extent cx="597535" cy="1460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01F0" w:rsidRDefault="00884A4C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2022007965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4.40000000000003pt;margin-top:5.pt;width:47.050000000000004pt;height:11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2022007965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2"/>
          <w:b/>
          <w:bCs/>
        </w:rPr>
        <w:t>Dodatek č. 1</w:t>
      </w:r>
    </w:p>
    <w:p w:rsidR="009001F0" w:rsidRDefault="00884A4C">
      <w:pPr>
        <w:pStyle w:val="Nadpis20"/>
        <w:keepNext/>
        <w:keepLines/>
      </w:pPr>
      <w:bookmarkStart w:id="1" w:name="bookmark2"/>
      <w:r>
        <w:rPr>
          <w:rStyle w:val="Nadpis2"/>
        </w:rPr>
        <w:t xml:space="preserve">ke kupní smlouvě ze dne 12. 8. 2022 (dále jen </w:t>
      </w:r>
      <w:r>
        <w:rPr>
          <w:rStyle w:val="Nadpis2"/>
          <w:i/>
          <w:iCs/>
        </w:rPr>
        <w:t>„smlouva“),</w:t>
      </w:r>
      <w:r>
        <w:rPr>
          <w:rStyle w:val="Nadpis2"/>
        </w:rPr>
        <w:t xml:space="preserve"> uzavřené mezi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1"/>
        <w:gridCol w:w="5640"/>
      </w:tblGrid>
      <w:tr w:rsidR="009001F0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741" w:type="dxa"/>
            <w:shd w:val="clear" w:color="auto" w:fill="auto"/>
            <w:vAlign w:val="bottom"/>
          </w:tcPr>
          <w:p w:rsidR="009001F0" w:rsidRDefault="00884A4C">
            <w:pPr>
              <w:pStyle w:val="Jin0"/>
            </w:pPr>
            <w:r>
              <w:rPr>
                <w:rStyle w:val="Jin"/>
              </w:rPr>
              <w:t>Jméno:</w:t>
            </w:r>
          </w:p>
        </w:tc>
        <w:tc>
          <w:tcPr>
            <w:tcW w:w="5640" w:type="dxa"/>
            <w:shd w:val="clear" w:color="auto" w:fill="auto"/>
            <w:vAlign w:val="bottom"/>
          </w:tcPr>
          <w:p w:rsidR="009001F0" w:rsidRDefault="00884A4C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Zdravotnická záchranná služba Jihomoravského kraje,</w:t>
            </w:r>
          </w:p>
        </w:tc>
      </w:tr>
      <w:tr w:rsidR="009001F0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2741" w:type="dxa"/>
            <w:shd w:val="clear" w:color="auto" w:fill="auto"/>
            <w:vAlign w:val="bottom"/>
          </w:tcPr>
          <w:p w:rsidR="009001F0" w:rsidRDefault="00884A4C">
            <w:pPr>
              <w:pStyle w:val="Jin0"/>
            </w:pPr>
            <w:r>
              <w:rPr>
                <w:rStyle w:val="Jin"/>
              </w:rPr>
              <w:t>Sídlo:</w:t>
            </w:r>
          </w:p>
        </w:tc>
        <w:tc>
          <w:tcPr>
            <w:tcW w:w="5640" w:type="dxa"/>
            <w:shd w:val="clear" w:color="auto" w:fill="auto"/>
          </w:tcPr>
          <w:p w:rsidR="009001F0" w:rsidRDefault="00884A4C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příspěvková organizace</w:t>
            </w:r>
          </w:p>
          <w:p w:rsidR="009001F0" w:rsidRDefault="00884A4C">
            <w:pPr>
              <w:pStyle w:val="Jin0"/>
            </w:pPr>
            <w:r>
              <w:rPr>
                <w:rStyle w:val="Jin"/>
              </w:rPr>
              <w:t>Kamenice 798/1 d, 625 00 Brno</w:t>
            </w:r>
          </w:p>
        </w:tc>
      </w:tr>
      <w:tr w:rsidR="009001F0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741" w:type="dxa"/>
            <w:shd w:val="clear" w:color="auto" w:fill="auto"/>
            <w:vAlign w:val="bottom"/>
          </w:tcPr>
          <w:p w:rsidR="009001F0" w:rsidRDefault="00884A4C">
            <w:pPr>
              <w:pStyle w:val="Jin0"/>
            </w:pPr>
            <w:r>
              <w:rPr>
                <w:rStyle w:val="Jin"/>
              </w:rPr>
              <w:t>Jednající:</w:t>
            </w:r>
          </w:p>
        </w:tc>
        <w:tc>
          <w:tcPr>
            <w:tcW w:w="5640" w:type="dxa"/>
            <w:shd w:val="clear" w:color="auto" w:fill="auto"/>
            <w:vAlign w:val="bottom"/>
          </w:tcPr>
          <w:p w:rsidR="009001F0" w:rsidRDefault="00884A4C">
            <w:pPr>
              <w:pStyle w:val="Jin0"/>
            </w:pPr>
            <w:r>
              <w:rPr>
                <w:rStyle w:val="Jin"/>
              </w:rPr>
              <w:t xml:space="preserve">MUDr. Hana </w:t>
            </w:r>
            <w:r>
              <w:rPr>
                <w:rStyle w:val="Jin"/>
              </w:rPr>
              <w:t>Albrechtová, ředitelka</w:t>
            </w:r>
          </w:p>
        </w:tc>
      </w:tr>
      <w:tr w:rsidR="009001F0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2741" w:type="dxa"/>
            <w:shd w:val="clear" w:color="auto" w:fill="auto"/>
            <w:vAlign w:val="bottom"/>
          </w:tcPr>
          <w:p w:rsidR="009001F0" w:rsidRDefault="00884A4C">
            <w:pPr>
              <w:pStyle w:val="Jin0"/>
            </w:pPr>
            <w:r>
              <w:rPr>
                <w:rStyle w:val="Jin"/>
              </w:rPr>
              <w:t>Kontaktní osoba:</w:t>
            </w:r>
          </w:p>
          <w:p w:rsidR="009001F0" w:rsidRDefault="00884A4C">
            <w:pPr>
              <w:pStyle w:val="Jin0"/>
            </w:pPr>
            <w:r>
              <w:rPr>
                <w:rStyle w:val="Jin"/>
              </w:rPr>
              <w:t>IČO:</w:t>
            </w:r>
          </w:p>
          <w:p w:rsidR="009001F0" w:rsidRDefault="00884A4C">
            <w:pPr>
              <w:pStyle w:val="Jin0"/>
            </w:pPr>
            <w:r>
              <w:rPr>
                <w:rStyle w:val="Jin"/>
              </w:rPr>
              <w:t>DIČ:</w:t>
            </w:r>
          </w:p>
          <w:p w:rsidR="009001F0" w:rsidRDefault="00884A4C">
            <w:pPr>
              <w:pStyle w:val="Jin0"/>
            </w:pPr>
            <w:r>
              <w:rPr>
                <w:rStyle w:val="Jin"/>
              </w:rPr>
              <w:t>Zápis v OR:</w:t>
            </w:r>
          </w:p>
        </w:tc>
        <w:tc>
          <w:tcPr>
            <w:tcW w:w="5640" w:type="dxa"/>
            <w:shd w:val="clear" w:color="auto" w:fill="auto"/>
            <w:vAlign w:val="bottom"/>
          </w:tcPr>
          <w:p w:rsidR="009001F0" w:rsidRDefault="00884A4C">
            <w:pPr>
              <w:pStyle w:val="Jin0"/>
            </w:pPr>
            <w:r>
              <w:rPr>
                <w:rStyle w:val="Jin"/>
                <w:shd w:val="clear" w:color="auto" w:fill="000000"/>
              </w:rPr>
              <w:t>.......​</w:t>
            </w:r>
            <w:r>
              <w:rPr>
                <w:rStyle w:val="Jin"/>
                <w:spacing w:val="3"/>
                <w:shd w:val="clear" w:color="auto" w:fill="000000"/>
              </w:rPr>
              <w:t>......</w:t>
            </w:r>
            <w:r>
              <w:rPr>
                <w:rStyle w:val="Jin"/>
                <w:spacing w:val="4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</w:t>
            </w:r>
            <w:r>
              <w:rPr>
                <w:rStyle w:val="Jin"/>
                <w:spacing w:val="1"/>
                <w:shd w:val="clear" w:color="auto" w:fill="000000"/>
              </w:rPr>
              <w:t>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5"/>
                <w:shd w:val="clear" w:color="auto" w:fill="000000"/>
              </w:rPr>
              <w:t>.......</w:t>
            </w:r>
            <w:r>
              <w:rPr>
                <w:rStyle w:val="Jin"/>
                <w:spacing w:val="6"/>
                <w:shd w:val="clear" w:color="auto" w:fill="000000"/>
              </w:rPr>
              <w:t>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.............................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...</w:t>
            </w:r>
            <w:r>
              <w:rPr>
                <w:rStyle w:val="Jin"/>
                <w:spacing w:val="9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</w:t>
            </w:r>
            <w:r>
              <w:rPr>
                <w:rStyle w:val="Jin"/>
                <w:spacing w:val="6"/>
                <w:shd w:val="clear" w:color="auto" w:fill="000000"/>
              </w:rPr>
              <w:t>...</w:t>
            </w:r>
            <w:r>
              <w:rPr>
                <w:rStyle w:val="Jin"/>
                <w:spacing w:val="7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</w:t>
            </w:r>
            <w:r>
              <w:rPr>
                <w:rStyle w:val="Jin"/>
              </w:rPr>
              <w:t xml:space="preserve"> 00346292</w:t>
            </w:r>
          </w:p>
          <w:p w:rsidR="009001F0" w:rsidRDefault="00884A4C">
            <w:pPr>
              <w:pStyle w:val="Jin0"/>
            </w:pPr>
            <w:r>
              <w:rPr>
                <w:rStyle w:val="Jin"/>
              </w:rPr>
              <w:t>CZ00346292</w:t>
            </w:r>
          </w:p>
          <w:p w:rsidR="009001F0" w:rsidRDefault="00884A4C">
            <w:pPr>
              <w:pStyle w:val="Jin0"/>
            </w:pPr>
            <w:r>
              <w:rPr>
                <w:rStyle w:val="Jin"/>
              </w:rPr>
              <w:t>Krajský soud v Brně sp. zn. Pr 1245</w:t>
            </w:r>
          </w:p>
        </w:tc>
      </w:tr>
      <w:tr w:rsidR="009001F0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741" w:type="dxa"/>
            <w:shd w:val="clear" w:color="auto" w:fill="auto"/>
          </w:tcPr>
          <w:p w:rsidR="009001F0" w:rsidRDefault="00884A4C">
            <w:pPr>
              <w:pStyle w:val="Jin0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5640" w:type="dxa"/>
            <w:shd w:val="clear" w:color="auto" w:fill="auto"/>
          </w:tcPr>
          <w:p w:rsidR="009001F0" w:rsidRDefault="00884A4C">
            <w:pPr>
              <w:pStyle w:val="Jin0"/>
            </w:pPr>
            <w:r>
              <w:rPr>
                <w:rStyle w:val="Jin"/>
              </w:rPr>
              <w:t>MONETA Money Bank, a.s„ č. ú. 117203514/0600</w:t>
            </w:r>
          </w:p>
        </w:tc>
      </w:tr>
    </w:tbl>
    <w:p w:rsidR="009001F0" w:rsidRDefault="00884A4C">
      <w:pPr>
        <w:pStyle w:val="Titulektabulky0"/>
        <w:ind w:left="14"/>
      </w:pPr>
      <w:r>
        <w:rPr>
          <w:rStyle w:val="Titulektabulky"/>
        </w:rPr>
        <w:t>(dále jen „kupující“</w:t>
      </w:r>
    </w:p>
    <w:p w:rsidR="009001F0" w:rsidRDefault="009001F0">
      <w:pPr>
        <w:spacing w:after="299" w:line="1" w:lineRule="exact"/>
      </w:pPr>
    </w:p>
    <w:p w:rsidR="009001F0" w:rsidRDefault="009001F0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1"/>
        <w:gridCol w:w="5635"/>
      </w:tblGrid>
      <w:tr w:rsidR="009001F0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2741" w:type="dxa"/>
            <w:shd w:val="clear" w:color="auto" w:fill="auto"/>
          </w:tcPr>
          <w:p w:rsidR="009001F0" w:rsidRDefault="00884A4C">
            <w:pPr>
              <w:pStyle w:val="Jin0"/>
              <w:spacing w:after="240"/>
            </w:pPr>
            <w:r>
              <w:rPr>
                <w:rStyle w:val="Jin"/>
              </w:rPr>
              <w:t>d</w:t>
            </w:r>
          </w:p>
          <w:p w:rsidR="009001F0" w:rsidRDefault="00884A4C">
            <w:pPr>
              <w:pStyle w:val="Jin0"/>
            </w:pPr>
            <w:r>
              <w:rPr>
                <w:rStyle w:val="Jin"/>
              </w:rPr>
              <w:t>Jméno:</w:t>
            </w:r>
          </w:p>
        </w:tc>
        <w:tc>
          <w:tcPr>
            <w:tcW w:w="5635" w:type="dxa"/>
            <w:shd w:val="clear" w:color="auto" w:fill="auto"/>
            <w:vAlign w:val="bottom"/>
          </w:tcPr>
          <w:p w:rsidR="009001F0" w:rsidRDefault="00884A4C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Titan GS s.r.o.</w:t>
            </w:r>
          </w:p>
        </w:tc>
      </w:tr>
      <w:tr w:rsidR="009001F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41" w:type="dxa"/>
            <w:shd w:val="clear" w:color="auto" w:fill="auto"/>
            <w:vAlign w:val="bottom"/>
          </w:tcPr>
          <w:p w:rsidR="009001F0" w:rsidRDefault="00884A4C">
            <w:pPr>
              <w:pStyle w:val="Jin0"/>
            </w:pPr>
            <w:r>
              <w:rPr>
                <w:rStyle w:val="Jin"/>
              </w:rPr>
              <w:t>Sídlo:</w:t>
            </w:r>
          </w:p>
        </w:tc>
        <w:tc>
          <w:tcPr>
            <w:tcW w:w="5635" w:type="dxa"/>
            <w:shd w:val="clear" w:color="auto" w:fill="auto"/>
            <w:vAlign w:val="bottom"/>
          </w:tcPr>
          <w:p w:rsidR="009001F0" w:rsidRDefault="00884A4C">
            <w:pPr>
              <w:pStyle w:val="Jin0"/>
            </w:pPr>
            <w:r>
              <w:rPr>
                <w:rStyle w:val="Jin"/>
              </w:rPr>
              <w:t>Josefa Ressla 1469/2, 434 01 Most</w:t>
            </w:r>
          </w:p>
        </w:tc>
      </w:tr>
      <w:tr w:rsidR="009001F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41" w:type="dxa"/>
            <w:shd w:val="clear" w:color="auto" w:fill="auto"/>
            <w:vAlign w:val="bottom"/>
          </w:tcPr>
          <w:p w:rsidR="009001F0" w:rsidRDefault="00884A4C">
            <w:pPr>
              <w:pStyle w:val="Jin0"/>
              <w:jc w:val="both"/>
            </w:pPr>
            <w:r>
              <w:rPr>
                <w:rStyle w:val="Jin"/>
              </w:rPr>
              <w:t>Jednající:</w:t>
            </w:r>
          </w:p>
        </w:tc>
        <w:tc>
          <w:tcPr>
            <w:tcW w:w="5635" w:type="dxa"/>
            <w:shd w:val="clear" w:color="auto" w:fill="auto"/>
            <w:vAlign w:val="bottom"/>
          </w:tcPr>
          <w:p w:rsidR="009001F0" w:rsidRDefault="00884A4C">
            <w:pPr>
              <w:pStyle w:val="Jin0"/>
            </w:pPr>
            <w:r>
              <w:rPr>
                <w:rStyle w:val="Jin"/>
              </w:rPr>
              <w:t>Petr Krosnař</w:t>
            </w:r>
          </w:p>
        </w:tc>
      </w:tr>
      <w:tr w:rsidR="009001F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741" w:type="dxa"/>
            <w:shd w:val="clear" w:color="auto" w:fill="auto"/>
            <w:vAlign w:val="bottom"/>
          </w:tcPr>
          <w:p w:rsidR="009001F0" w:rsidRDefault="00884A4C">
            <w:pPr>
              <w:pStyle w:val="Jin0"/>
              <w:jc w:val="both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5635" w:type="dxa"/>
            <w:shd w:val="clear" w:color="auto" w:fill="auto"/>
            <w:vAlign w:val="bottom"/>
          </w:tcPr>
          <w:p w:rsidR="009001F0" w:rsidRDefault="00884A4C">
            <w:pPr>
              <w:pStyle w:val="Jin0"/>
            </w:pPr>
            <w:r>
              <w:rPr>
                <w:rStyle w:val="Jin"/>
                <w:spacing w:val="4"/>
                <w:shd w:val="clear" w:color="auto" w:fill="000000"/>
              </w:rPr>
              <w:t>....</w:t>
            </w:r>
            <w:r>
              <w:rPr>
                <w:rStyle w:val="Jin"/>
                <w:spacing w:val="5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hd w:val="clear" w:color="auto" w:fill="000000"/>
              </w:rPr>
              <w:t>......</w:t>
            </w:r>
            <w:r>
              <w:rPr>
                <w:rStyle w:val="Jin"/>
                <w:spacing w:val="3"/>
                <w:shd w:val="clear" w:color="auto" w:fill="000000"/>
              </w:rPr>
              <w:t>......</w:t>
            </w:r>
          </w:p>
        </w:tc>
      </w:tr>
      <w:tr w:rsidR="009001F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41" w:type="dxa"/>
            <w:shd w:val="clear" w:color="auto" w:fill="auto"/>
          </w:tcPr>
          <w:p w:rsidR="009001F0" w:rsidRDefault="00884A4C">
            <w:pPr>
              <w:pStyle w:val="Jin0"/>
              <w:jc w:val="both"/>
            </w:pPr>
            <w:r>
              <w:rPr>
                <w:rStyle w:val="Jin"/>
              </w:rPr>
              <w:t>IČ:</w:t>
            </w:r>
          </w:p>
        </w:tc>
        <w:tc>
          <w:tcPr>
            <w:tcW w:w="5635" w:type="dxa"/>
            <w:shd w:val="clear" w:color="auto" w:fill="auto"/>
          </w:tcPr>
          <w:p w:rsidR="009001F0" w:rsidRDefault="00884A4C">
            <w:pPr>
              <w:pStyle w:val="Jin0"/>
            </w:pPr>
            <w:r>
              <w:rPr>
                <w:rStyle w:val="Jin"/>
              </w:rPr>
              <w:t>28733649</w:t>
            </w:r>
          </w:p>
        </w:tc>
      </w:tr>
      <w:tr w:rsidR="009001F0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741" w:type="dxa"/>
            <w:shd w:val="clear" w:color="auto" w:fill="auto"/>
          </w:tcPr>
          <w:p w:rsidR="009001F0" w:rsidRDefault="00884A4C">
            <w:pPr>
              <w:pStyle w:val="Jin0"/>
              <w:jc w:val="both"/>
            </w:pPr>
            <w:r>
              <w:rPr>
                <w:rStyle w:val="Jin"/>
              </w:rPr>
              <w:t>DIČ:</w:t>
            </w:r>
          </w:p>
        </w:tc>
        <w:tc>
          <w:tcPr>
            <w:tcW w:w="5635" w:type="dxa"/>
            <w:shd w:val="clear" w:color="auto" w:fill="auto"/>
          </w:tcPr>
          <w:p w:rsidR="009001F0" w:rsidRDefault="00884A4C">
            <w:pPr>
              <w:pStyle w:val="Jin0"/>
            </w:pPr>
            <w:r>
              <w:rPr>
                <w:rStyle w:val="Jin"/>
              </w:rPr>
              <w:t>CZ28733649</w:t>
            </w:r>
          </w:p>
        </w:tc>
      </w:tr>
      <w:tr w:rsidR="009001F0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741" w:type="dxa"/>
            <w:shd w:val="clear" w:color="auto" w:fill="auto"/>
            <w:vAlign w:val="bottom"/>
          </w:tcPr>
          <w:p w:rsidR="009001F0" w:rsidRDefault="00884A4C">
            <w:pPr>
              <w:pStyle w:val="Jin0"/>
              <w:jc w:val="both"/>
            </w:pPr>
            <w:r>
              <w:rPr>
                <w:rStyle w:val="Jin"/>
              </w:rPr>
              <w:t>Zápis v OR:</w:t>
            </w:r>
          </w:p>
        </w:tc>
        <w:tc>
          <w:tcPr>
            <w:tcW w:w="5635" w:type="dxa"/>
            <w:shd w:val="clear" w:color="auto" w:fill="auto"/>
            <w:vAlign w:val="bottom"/>
          </w:tcPr>
          <w:p w:rsidR="009001F0" w:rsidRDefault="00884A4C">
            <w:pPr>
              <w:pStyle w:val="Jin0"/>
            </w:pPr>
            <w:r>
              <w:rPr>
                <w:rStyle w:val="Jin"/>
              </w:rPr>
              <w:t xml:space="preserve">Krajský </w:t>
            </w:r>
            <w:r>
              <w:rPr>
                <w:rStyle w:val="Jin"/>
              </w:rPr>
              <w:t>soudě Ústí nad Labem, oddíl C, vložka 25009</w:t>
            </w:r>
          </w:p>
        </w:tc>
      </w:tr>
      <w:tr w:rsidR="009001F0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741" w:type="dxa"/>
            <w:shd w:val="clear" w:color="auto" w:fill="auto"/>
          </w:tcPr>
          <w:p w:rsidR="009001F0" w:rsidRDefault="00884A4C">
            <w:pPr>
              <w:pStyle w:val="Jin0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5635" w:type="dxa"/>
            <w:shd w:val="clear" w:color="auto" w:fill="auto"/>
          </w:tcPr>
          <w:p w:rsidR="009001F0" w:rsidRDefault="00884A4C">
            <w:pPr>
              <w:pStyle w:val="Jin0"/>
            </w:pPr>
            <w:r>
              <w:rPr>
                <w:rStyle w:val="Jin"/>
              </w:rPr>
              <w:t>240270448/0300</w:t>
            </w:r>
          </w:p>
        </w:tc>
      </w:tr>
    </w:tbl>
    <w:p w:rsidR="009001F0" w:rsidRDefault="00884A4C">
      <w:pPr>
        <w:pStyle w:val="Titulektabulky0"/>
      </w:pPr>
      <w:r>
        <w:rPr>
          <w:rStyle w:val="Titulektabulky"/>
        </w:rPr>
        <w:t>(dále jen „prodávající“)</w:t>
      </w:r>
    </w:p>
    <w:p w:rsidR="009001F0" w:rsidRDefault="009001F0">
      <w:pPr>
        <w:spacing w:after="1119" w:line="1" w:lineRule="exact"/>
      </w:pPr>
    </w:p>
    <w:p w:rsidR="009001F0" w:rsidRDefault="009001F0">
      <w:pPr>
        <w:pStyle w:val="Zkladntext1"/>
        <w:numPr>
          <w:ilvl w:val="0"/>
          <w:numId w:val="1"/>
        </w:numPr>
        <w:spacing w:after="240"/>
        <w:jc w:val="center"/>
      </w:pPr>
    </w:p>
    <w:p w:rsidR="009001F0" w:rsidRDefault="00884A4C">
      <w:pPr>
        <w:pStyle w:val="Zkladntext1"/>
        <w:spacing w:after="240"/>
        <w:jc w:val="both"/>
      </w:pPr>
      <w:r>
        <w:rPr>
          <w:rStyle w:val="Zkladntext"/>
        </w:rPr>
        <w:t>Článek 3 smlouvy, se mění a nadále zní takto:</w:t>
      </w:r>
    </w:p>
    <w:p w:rsidR="009001F0" w:rsidRDefault="00884A4C">
      <w:pPr>
        <w:pStyle w:val="Zkladntext1"/>
        <w:spacing w:after="900"/>
        <w:jc w:val="both"/>
      </w:pPr>
      <w:r>
        <w:rPr>
          <w:rStyle w:val="Zkladntext"/>
        </w:rPr>
        <w:t xml:space="preserve">Zhotovitel se zavazuje provést dílo podle čl. 1 této smlouvy ve lhůtě nejpozději do 31.3. </w:t>
      </w:r>
      <w:r>
        <w:rPr>
          <w:rStyle w:val="Zkladntext"/>
        </w:rPr>
        <w:t>2023. Tento závazek se přitom bude považovat za splněný po faktickém předání příslušného zboží, formou písemného předávacího protokolu, podepsaného oběma stranami. Místem plnění se přitom rozumí výjezdová základna v Boskovicích, Brně - Černovicich a ve Zno</w:t>
      </w:r>
      <w:r>
        <w:rPr>
          <w:rStyle w:val="Zkladntext"/>
        </w:rPr>
        <w:t>jmě.</w:t>
      </w:r>
    </w:p>
    <w:p w:rsidR="009001F0" w:rsidRDefault="009001F0">
      <w:pPr>
        <w:pStyle w:val="Zkladntext1"/>
        <w:numPr>
          <w:ilvl w:val="0"/>
          <w:numId w:val="1"/>
        </w:numPr>
        <w:spacing w:after="240" w:line="240" w:lineRule="auto"/>
        <w:jc w:val="center"/>
      </w:pPr>
    </w:p>
    <w:p w:rsidR="009001F0" w:rsidRDefault="00884A4C">
      <w:pPr>
        <w:pStyle w:val="Zkladntext1"/>
        <w:spacing w:after="900" w:line="240" w:lineRule="auto"/>
      </w:pPr>
      <w:r>
        <w:rPr>
          <w:rStyle w:val="Zkladntext"/>
        </w:rPr>
        <w:t>Ostatní ujednání smlouvy nejsou tímto dodatkem nijak dotčena.</w:t>
      </w:r>
    </w:p>
    <w:p w:rsidR="009001F0" w:rsidRDefault="009001F0">
      <w:pPr>
        <w:pStyle w:val="Zkladntext1"/>
        <w:numPr>
          <w:ilvl w:val="0"/>
          <w:numId w:val="1"/>
        </w:numPr>
        <w:spacing w:after="240" w:line="240" w:lineRule="auto"/>
        <w:jc w:val="center"/>
      </w:pPr>
    </w:p>
    <w:p w:rsidR="009001F0" w:rsidRDefault="00884A4C">
      <w:pPr>
        <w:pStyle w:val="Zkladntext1"/>
        <w:spacing w:after="260" w:line="240" w:lineRule="auto"/>
        <w:sectPr w:rsidR="009001F0">
          <w:pgSz w:w="11900" w:h="16840"/>
          <w:pgMar w:top="739" w:right="1603" w:bottom="739" w:left="1181" w:header="311" w:footer="311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Tento dodatek nabývá účinnosti po jejím podpisu oběma smluvními stranami.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0"/>
        <w:gridCol w:w="4138"/>
      </w:tblGrid>
      <w:tr w:rsidR="009001F0">
        <w:tblPrEx>
          <w:tblCellMar>
            <w:top w:w="0" w:type="dxa"/>
            <w:bottom w:w="0" w:type="dxa"/>
          </w:tblCellMar>
        </w:tblPrEx>
        <w:trPr>
          <w:trHeight w:hRule="exact" w:val="3053"/>
        </w:trPr>
        <w:tc>
          <w:tcPr>
            <w:tcW w:w="4080" w:type="dxa"/>
            <w:shd w:val="clear" w:color="auto" w:fill="auto"/>
            <w:vAlign w:val="bottom"/>
          </w:tcPr>
          <w:p w:rsidR="009001F0" w:rsidRDefault="00884A4C" w:rsidP="00A80623">
            <w:pPr>
              <w:pStyle w:val="Jin0"/>
              <w:framePr w:w="8218" w:h="3053" w:wrap="none" w:hAnchor="page" w:x="1673" w:y="1"/>
              <w:tabs>
                <w:tab w:val="left" w:pos="1978"/>
              </w:tabs>
              <w:spacing w:after="900" w:line="228" w:lineRule="auto"/>
              <w:rPr>
                <w:sz w:val="20"/>
                <w:szCs w:val="20"/>
              </w:rPr>
            </w:pPr>
            <w:r>
              <w:rPr>
                <w:rStyle w:val="Jin"/>
              </w:rPr>
              <w:lastRenderedPageBreak/>
              <w:t xml:space="preserve">V </w:t>
            </w:r>
          </w:p>
        </w:tc>
        <w:tc>
          <w:tcPr>
            <w:tcW w:w="4138" w:type="dxa"/>
            <w:shd w:val="clear" w:color="auto" w:fill="auto"/>
            <w:vAlign w:val="bottom"/>
          </w:tcPr>
          <w:p w:rsidR="009001F0" w:rsidRDefault="00884A4C" w:rsidP="00A80623">
            <w:pPr>
              <w:pStyle w:val="Jin0"/>
              <w:framePr w:w="8218" w:h="3053" w:wrap="none" w:hAnchor="page" w:x="1673" w:y="1"/>
              <w:spacing w:after="420" w:line="266" w:lineRule="auto"/>
              <w:jc w:val="center"/>
              <w:rPr>
                <w:sz w:val="34"/>
                <w:szCs w:val="34"/>
              </w:rPr>
            </w:pPr>
            <w:bookmarkStart w:id="2" w:name="_GoBack"/>
            <w:bookmarkEnd w:id="2"/>
            <w:r>
              <w:rPr>
                <w:rStyle w:val="Jin"/>
              </w:rPr>
              <w:t>V</w:t>
            </w:r>
            <w:r>
              <w:rPr>
                <w:rStyle w:val="Jin"/>
              </w:rPr>
              <w:t xml:space="preserve"> Mostě dn</w:t>
            </w:r>
            <w:r>
              <w:rPr>
                <w:rStyle w:val="Jin"/>
                <w:b/>
                <w:bCs/>
                <w:i/>
                <w:iCs/>
                <w:color w:val="575E6C"/>
                <w:sz w:val="34"/>
                <w:szCs w:val="34"/>
              </w:rPr>
              <w:t>N @S s.r.</w:t>
            </w:r>
            <w:r>
              <w:rPr>
                <w:rStyle w:val="Jin"/>
                <w:b/>
                <w:bCs/>
                <w:i/>
                <w:iCs/>
                <w:color w:val="575E6C"/>
                <w:sz w:val="34"/>
                <w:szCs w:val="34"/>
                <w:vertAlign w:val="subscript"/>
              </w:rPr>
              <w:t>o</w:t>
            </w:r>
            <w:r>
              <w:rPr>
                <w:rStyle w:val="Jin"/>
                <w:b/>
                <w:bCs/>
                <w:i/>
                <w:iCs/>
                <w:color w:val="575E6C"/>
                <w:sz w:val="34"/>
                <w:szCs w:val="34"/>
              </w:rPr>
              <w:t>.</w:t>
            </w:r>
          </w:p>
          <w:p w:rsidR="009001F0" w:rsidRDefault="00884A4C">
            <w:pPr>
              <w:pStyle w:val="Jin0"/>
              <w:framePr w:w="8218" w:h="3053" w:wrap="none" w:hAnchor="page" w:x="1673" w:y="1"/>
              <w:spacing w:line="262" w:lineRule="auto"/>
              <w:ind w:left="1260"/>
              <w:rPr>
                <w:sz w:val="20"/>
                <w:szCs w:val="20"/>
              </w:rPr>
            </w:pPr>
            <w:r>
              <w:rPr>
                <w:rStyle w:val="Jin"/>
              </w:rPr>
              <w:t xml:space="preserve">Petr Krosnař jednatel </w:t>
            </w:r>
            <w:r>
              <w:rPr>
                <w:rStyle w:val="Jin"/>
                <w:b/>
                <w:bCs/>
                <w:sz w:val="20"/>
                <w:szCs w:val="20"/>
              </w:rPr>
              <w:t>za prodávajícího</w:t>
            </w:r>
          </w:p>
        </w:tc>
      </w:tr>
    </w:tbl>
    <w:p w:rsidR="009001F0" w:rsidRDefault="009001F0">
      <w:pPr>
        <w:framePr w:w="8218" w:h="3053" w:wrap="none" w:hAnchor="page" w:x="1673" w:y="1"/>
        <w:spacing w:line="1" w:lineRule="exact"/>
      </w:pPr>
    </w:p>
    <w:p w:rsidR="009001F0" w:rsidRDefault="00884A4C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1774825</wp:posOffset>
            </wp:positionH>
            <wp:positionV relativeFrom="margin">
              <wp:posOffset>18415</wp:posOffset>
            </wp:positionV>
            <wp:extent cx="883920" cy="32321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8392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5069840</wp:posOffset>
            </wp:positionH>
            <wp:positionV relativeFrom="margin">
              <wp:posOffset>18415</wp:posOffset>
            </wp:positionV>
            <wp:extent cx="804545" cy="24384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0454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01F0" w:rsidRDefault="009001F0">
      <w:pPr>
        <w:spacing w:line="360" w:lineRule="exact"/>
      </w:pPr>
    </w:p>
    <w:p w:rsidR="009001F0" w:rsidRDefault="009001F0">
      <w:pPr>
        <w:spacing w:line="360" w:lineRule="exact"/>
      </w:pPr>
    </w:p>
    <w:p w:rsidR="009001F0" w:rsidRDefault="009001F0">
      <w:pPr>
        <w:spacing w:line="360" w:lineRule="exact"/>
      </w:pPr>
    </w:p>
    <w:p w:rsidR="009001F0" w:rsidRDefault="009001F0">
      <w:pPr>
        <w:spacing w:line="360" w:lineRule="exact"/>
      </w:pPr>
    </w:p>
    <w:p w:rsidR="009001F0" w:rsidRDefault="009001F0">
      <w:pPr>
        <w:spacing w:line="360" w:lineRule="exact"/>
      </w:pPr>
    </w:p>
    <w:p w:rsidR="009001F0" w:rsidRDefault="009001F0">
      <w:pPr>
        <w:spacing w:line="360" w:lineRule="exact"/>
      </w:pPr>
    </w:p>
    <w:p w:rsidR="009001F0" w:rsidRDefault="009001F0">
      <w:pPr>
        <w:spacing w:after="532" w:line="1" w:lineRule="exact"/>
      </w:pPr>
    </w:p>
    <w:p w:rsidR="009001F0" w:rsidRDefault="009001F0">
      <w:pPr>
        <w:spacing w:line="1" w:lineRule="exact"/>
      </w:pPr>
    </w:p>
    <w:sectPr w:rsidR="009001F0">
      <w:pgSz w:w="11900" w:h="16840"/>
      <w:pgMar w:top="1437" w:right="2010" w:bottom="1437" w:left="1672" w:header="1009" w:footer="10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A4C" w:rsidRDefault="00884A4C">
      <w:r>
        <w:separator/>
      </w:r>
    </w:p>
  </w:endnote>
  <w:endnote w:type="continuationSeparator" w:id="0">
    <w:p w:rsidR="00884A4C" w:rsidRDefault="0088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A4C" w:rsidRDefault="00884A4C"/>
  </w:footnote>
  <w:footnote w:type="continuationSeparator" w:id="0">
    <w:p w:rsidR="00884A4C" w:rsidRDefault="00884A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9632B"/>
    <w:multiLevelType w:val="multilevel"/>
    <w:tmpl w:val="74DA6988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F0"/>
    <w:rsid w:val="00884A4C"/>
    <w:rsid w:val="009001F0"/>
    <w:rsid w:val="00A8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75CC9-68FB-4201-B1A4-02D7957A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jc w:val="right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Zkladntext20">
    <w:name w:val="Základní text (2)"/>
    <w:basedOn w:val="Normln"/>
    <w:link w:val="Zkladntext2"/>
    <w:pPr>
      <w:spacing w:after="240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500"/>
      <w:jc w:val="center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after="580" w:line="252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1265</Characters>
  <Application>Microsoft Office Word</Application>
  <DocSecurity>0</DocSecurity>
  <Lines>10</Lines>
  <Paragraphs>2</Paragraphs>
  <ScaleCrop>false</ScaleCrop>
  <Company>HP Inc.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2022-11-08T12:09:00Z</dcterms:created>
  <dcterms:modified xsi:type="dcterms:W3CDTF">2022-11-08T12:10:00Z</dcterms:modified>
</cp:coreProperties>
</file>