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226" w:h="317" w:wrap="none" w:hAnchor="page" w:x="4533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 w:val="0"/>
        <w:keepLines w:val="0"/>
        <w:framePr w:w="931" w:h="226" w:wrap="none" w:hAnchor="page" w:x="88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5"/>
          <w:sz w:val="16"/>
          <w:szCs w:val="16"/>
        </w:rPr>
        <w:t>2022007808</w:t>
      </w: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92" w:right="1662" w:bottom="1374" w:left="1508" w:header="86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52" w:lineRule="auto"/>
        <w:ind w:left="1980" w:right="0" w:hanging="128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2438400</wp:posOffset>
                </wp:positionV>
                <wp:extent cx="1609090" cy="16979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1697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5.400000000000006pt;margin-top:192.pt;width:126.7pt;height:133.6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Jméno: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Kontaktní osoba: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Zápis v OR: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Bankovní spojení (číslo účtu):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(dále jen „prodávající“)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11"/>
          <w:sz w:val="20"/>
          <w:szCs w:val="20"/>
        </w:rPr>
        <w:t>uzavřená v souladu s ustanovením § 2079 a násl. zákona č. 89/2012 Sb„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47"/>
        <w:gridCol w:w="5770"/>
      </w:tblGrid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131A2B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​........​</w:t>
            </w:r>
            <w:r>
              <w:rPr>
                <w:rStyle w:val="CharStyle20"/>
                <w:spacing w:val="6"/>
                <w:shd w:val="clear" w:color="auto" w:fill="000000"/>
              </w:rPr>
              <w:t>....</w:t>
            </w:r>
            <w:r>
              <w:rPr>
                <w:rStyle w:val="CharStyle20"/>
                <w:spacing w:val="7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​.......​.......​......</w:t>
            </w:r>
            <w:r>
              <w:rPr>
                <w:rStyle w:val="CharStyle20"/>
              </w:rPr>
              <w:t xml:space="preserve"> 00346292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(dále jen „kupující“)</w:t>
      </w:r>
    </w:p>
    <w:p>
      <w:pPr>
        <w:widowControl w:val="0"/>
        <w:spacing w:after="63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  <w:b/>
          <w:bCs/>
        </w:rPr>
        <w:t>PANEP s.r.o.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</w:rPr>
        <w:t>Brněnská 1246, 665 01 Rosice u Brna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</w:rPr>
        <w:t>Mgr. Radek Patočka, jednatel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  <w:spacing w:val="2"/>
          <w:shd w:val="clear" w:color="auto" w:fill="000000"/>
        </w:rPr>
        <w:t>.....</w:t>
      </w:r>
      <w:r>
        <w:rPr>
          <w:rStyle w:val="CharStyle11"/>
          <w:spacing w:val="3"/>
          <w:shd w:val="clear" w:color="auto" w:fill="000000"/>
        </w:rPr>
        <w:t>.......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2"/>
          <w:shd w:val="clear" w:color="auto" w:fill="000000"/>
        </w:rPr>
        <w:t>............</w:t>
      </w:r>
      <w:r>
        <w:rPr>
          <w:rStyle w:val="CharStyle11"/>
          <w:spacing w:val="3"/>
          <w:shd w:val="clear" w:color="auto" w:fill="000000"/>
        </w:rPr>
        <w:t>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</w:rPr>
        <w:t>25550250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</w:rPr>
        <w:t>CZ25550250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1"/>
        </w:rPr>
        <w:t>C 32395 vedená u Krajského soudu v Brně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660"/>
        <w:jc w:val="left"/>
      </w:pPr>
      <w:r>
        <w:rPr>
          <w:rStyle w:val="CharStyle11"/>
        </w:rPr>
        <w:t>Komerční banka, a.s., č.ú. 19-7653740227/0100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1"/>
        </w:rPr>
        <w:t>Prodávající je oprávněn na základě svého vlastnického práva nakládat se zbožím ve formě popáleninových roušek, jejichž specifikace, včetně jejich jednotkových cen, je uvedena v příloze č. 1, která je nedílnou součástí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1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1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1"/>
        </w:rPr>
        <w:t xml:space="preserve">Prodávající se zavazuje plnit svůj závazek k dodání zboží podle čl. 1 této smlouvy vždy nejpozději do </w:t>
      </w:r>
      <w:r>
        <w:rPr>
          <w:rStyle w:val="CharStyle11"/>
          <w:b/>
          <w:bCs/>
        </w:rPr>
        <w:t xml:space="preserve">5-ti pracovních dní </w:t>
      </w:r>
      <w:r>
        <w:rPr>
          <w:rStyle w:val="CharStyle11"/>
        </w:rPr>
        <w:t>ode dne účinnosti příslušné dílčí kupní smlouvy. Tento závazek se bude považovat za splněný po předání a převzetí příslušného zboží formou písemného předávacího protokolu. Místem dodání je centrální sklad v sídle zadavatele.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1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Kupující se zavazuje zaplatit prodávajícímu za předmět koupě a prodeje podle čl. 1 této smlouvy kupní cenu ve výši součinu počtu dodaných kusů podle čl. 1 této smlouvy a jednotkových cen tohoto zboží ve výši dle ceníku, který je jako příloha č. 1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</w:t>
      </w:r>
      <w:r>
        <w:rPr>
          <w:rStyle w:val="CharStyle11"/>
          <w:spacing w:val="10"/>
          <w:shd w:val="clear" w:color="auto" w:fill="000000"/>
        </w:rPr>
        <w:t>.</w:t>
      </w:r>
      <w:r>
        <w:rPr>
          <w:rStyle w:val="CharStyle11"/>
        </w:rPr>
        <w:t xml:space="preserve">y/daňového dokladu). Faktura/daňový doklad bude doručena elektronicky na email: </w:t>
      </w:r>
      <w:r>
        <w:rPr>
          <w:rStyle w:val="CharStyle11"/>
          <w:spacing w:val="3"/>
          <w:u w:val="single"/>
          <w:shd w:val="clear" w:color="auto" w:fill="000000"/>
        </w:rPr>
        <w:t>......</w:t>
      </w:r>
      <w:r>
        <w:rPr>
          <w:rStyle w:val="CharStyle11"/>
          <w:spacing w:val="4"/>
          <w:u w:val="single"/>
          <w:shd w:val="clear" w:color="auto" w:fill="000000"/>
        </w:rPr>
        <w:t>......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  <w:shd w:val="clear" w:color="auto" w:fill="000000"/>
        </w:rPr>
        <w:t>​..</w:t>
      </w:r>
      <w:r>
        <w:rPr>
          <w:rStyle w:val="CharStyle11"/>
        </w:rPr>
        <w:t xml:space="preserve"> 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2"/>
          <w:u w:val="single"/>
          <w:shd w:val="clear" w:color="auto" w:fill="000000"/>
        </w:rPr>
        <w:t>...</w:t>
      </w:r>
      <w:r>
        <w:rPr>
          <w:rStyle w:val="CharStyle11"/>
          <w:spacing w:val="3"/>
          <w:u w:val="single"/>
          <w:shd w:val="clear" w:color="auto" w:fill="000000"/>
        </w:rPr>
        <w:t>............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5"/>
          <w:u w:val="single"/>
          <w:shd w:val="clear" w:color="auto" w:fill="000000"/>
        </w:rPr>
        <w:t>....</w:t>
      </w:r>
      <w:r>
        <w:rPr>
          <w:rStyle w:val="CharStyle11"/>
          <w:spacing w:val="1"/>
          <w:u w:val="single"/>
          <w:shd w:val="clear" w:color="auto" w:fill="000000"/>
        </w:rPr>
        <w:t>..</w:t>
      </w:r>
      <w:r>
        <w:rPr>
          <w:rStyle w:val="CharStyle11"/>
          <w:spacing w:val="2"/>
          <w:u w:val="single"/>
          <w:shd w:val="clear" w:color="auto" w:fill="000000"/>
        </w:rPr>
        <w:t>.............</w:t>
      </w:r>
      <w:r>
        <w:rPr>
          <w:rStyle w:val="CharStyle11"/>
          <w:u w:val="single"/>
          <w:shd w:val="clear" w:color="auto" w:fill="000000"/>
        </w:rPr>
        <w:t>.</w:t>
      </w:r>
      <w:r>
        <w:rPr>
          <w:rStyle w:val="CharStyle11"/>
          <w:color w:val="3C76B5"/>
        </w:rPr>
        <w:t xml:space="preserve"> </w:t>
      </w:r>
      <w:r>
        <w:rPr>
          <w:rStyle w:val="CharStyle11"/>
        </w:rPr>
        <w:t xml:space="preserve">Na faktuře/daňovém dokladu musí být mimo jiné vždy uvedeno toto číslo veřejné zakázky, ke které se faktura vztahuje: </w:t>
      </w:r>
      <w:r>
        <w:rPr>
          <w:rStyle w:val="CharStyle11"/>
          <w:b/>
          <w:bCs/>
        </w:rPr>
        <w:t xml:space="preserve">P22V00003639. </w:t>
      </w:r>
      <w:r>
        <w:rPr>
          <w:rStyle w:val="CharStyle11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1"/>
        </w:rPr>
        <w:t>S převodem zboží je podle čl. 1 této smlouvy spojena záruka za jeho jakost v trvání doby použitelnosti vyznačené na zboží, nejméně však v trvání minimálně 12 měsíců ode dne dodání příslušného zboží. V rámci této záruky se prodávající zavazuje, že zboží podle čl. 1 této smlouvy bude dodáno vždy nové, v neporušeném balení s řádným označením dle platných právních předpisů, a s minimální skladovací životností po celou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11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1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1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1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1"/>
        </w:rPr>
        <w:t>Tato smlouva nabývá účinnosti po jejím podpisu oběma smluvními stranami dnem jejího uveřejnění v Registru smluv, nejdříve však 1.1. 2023.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1"/>
        </w:rPr>
        <w:t>Tato smlouva se uzavírá na dobu určitou, a to do 31. 12. 2024.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560" w:line="240" w:lineRule="auto"/>
        <w:ind w:left="380" w:right="0" w:hanging="380"/>
        <w:jc w:val="left"/>
      </w:pP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154" w:val="left"/>
          <w:tab w:leader="dot" w:pos="4262" w:val="left"/>
        </w:tabs>
        <w:bidi w:val="0"/>
        <w:spacing w:before="0" w:after="460" w:line="240" w:lineRule="auto"/>
        <w:ind w:left="1440" w:right="0" w:firstLine="0"/>
        <w:jc w:val="left"/>
      </w:pPr>
      <w:r>
        <w:drawing>
          <wp:anchor distT="356870" distB="435610" distL="141605" distR="114300" simplePos="0" relativeHeight="125829380" behindDoc="0" locked="0" layoutInCell="1" allowOverlap="1">
            <wp:simplePos x="0" y="0"/>
            <wp:positionH relativeFrom="page">
              <wp:posOffset>1033780</wp:posOffset>
            </wp:positionH>
            <wp:positionV relativeFrom="paragraph">
              <wp:posOffset>369570</wp:posOffset>
            </wp:positionV>
            <wp:extent cx="2200910" cy="65849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20091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12700</wp:posOffset>
                </wp:positionV>
                <wp:extent cx="670560" cy="17653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.25pt;margin-top:1.pt;width:52.800000000000004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1024890</wp:posOffset>
                </wp:positionV>
                <wp:extent cx="1380490" cy="43561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9.700000000000003pt;margin-top:80.700000000000003pt;width:108.7pt;height:34.3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MUDr. Hana Albrechtová ředitelka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1"/>
        </w:rPr>
        <w:t>V ...Rosicích</w:t>
        <w:tab/>
        <w:t>dne</w:t>
        <w:tab/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1540" w:firstLine="0"/>
        <w:jc w:val="right"/>
      </w:pPr>
      <w:r>
        <w:rPr>
          <w:rStyle w:val="CharStyle46"/>
          <w:b/>
          <w:bCs/>
          <w:shd w:val="clear" w:color="auto" w:fill="000000"/>
        </w:rPr>
        <w:t>...........</w:t>
      </w:r>
      <w:r>
        <w:rPr>
          <w:rStyle w:val="CharStyle46"/>
          <w:b/>
          <w:bCs/>
          <w:spacing w:val="1"/>
          <w:shd w:val="clear" w:color="auto" w:fill="000000"/>
        </w:rPr>
        <w:t>.....</w:t>
      </w:r>
      <w:r>
        <w:rPr>
          <w:rStyle w:val="CharStyle46"/>
          <w:b/>
          <w:bCs/>
          <w:shd w:val="clear" w:color="auto" w:fill="000000"/>
        </w:rPr>
        <w:t>​</w:t>
      </w:r>
      <w:r>
        <w:rPr>
          <w:rStyle w:val="CharStyle46"/>
          <w:b/>
          <w:bCs/>
          <w:spacing w:val="1"/>
          <w:shd w:val="clear" w:color="auto" w:fill="000000"/>
        </w:rPr>
        <w:t>..........</w:t>
      </w:r>
      <w:r>
        <w:rPr>
          <w:rStyle w:val="CharStyle46"/>
          <w:b/>
          <w:bCs/>
          <w:spacing w:val="2"/>
          <w:shd w:val="clear" w:color="auto" w:fill="000000"/>
        </w:rPr>
        <w:t>.....</w:t>
      </w:r>
    </w:p>
    <w:p>
      <w:pPr>
        <w:pStyle w:val="Style45"/>
        <w:keepNext w:val="0"/>
        <w:keepLines w:val="0"/>
        <w:widowControl w:val="0"/>
        <w:shd w:val="clear" w:color="auto" w:fill="auto"/>
        <w:tabs>
          <w:tab w:pos="2585" w:val="left"/>
        </w:tabs>
        <w:bidi w:val="0"/>
        <w:spacing w:before="0" w:after="0" w:line="144" w:lineRule="auto"/>
        <w:ind w:left="2100" w:right="0" w:hanging="360"/>
        <w:jc w:val="left"/>
      </w:pPr>
      <w:r>
        <w:rPr>
          <w:rStyle w:val="CharStyle46"/>
          <w:spacing w:val="7"/>
          <w:sz w:val="19"/>
          <w:szCs w:val="19"/>
          <w:shd w:val="clear" w:color="auto" w:fill="000000"/>
        </w:rPr>
        <w:t>....</w:t>
      </w:r>
      <w:r>
        <w:rPr>
          <w:rStyle w:val="CharStyle46"/>
          <w:spacing w:val="8"/>
          <w:sz w:val="19"/>
          <w:szCs w:val="19"/>
          <w:shd w:val="clear" w:color="auto" w:fill="000000"/>
        </w:rPr>
        <w:t>...</w:t>
      </w:r>
      <w:r>
        <w:rPr>
          <w:rStyle w:val="CharStyle46"/>
          <w:sz w:val="19"/>
          <w:szCs w:val="19"/>
          <w:shd w:val="clear" w:color="auto" w:fill="000000"/>
        </w:rPr>
        <w:t>​</w:t>
      </w:r>
      <w:r>
        <w:rPr>
          <w:rStyle w:val="CharStyle46"/>
          <w:spacing w:val="1"/>
          <w:sz w:val="19"/>
          <w:szCs w:val="19"/>
          <w:shd w:val="clear" w:color="auto" w:fill="000000"/>
        </w:rPr>
        <w:t>..</w:t>
      </w:r>
      <w:r>
        <w:rPr>
          <w:rStyle w:val="CharStyle46"/>
          <w:spacing w:val="2"/>
          <w:sz w:val="19"/>
          <w:szCs w:val="19"/>
          <w:shd w:val="clear" w:color="auto" w:fill="000000"/>
        </w:rPr>
        <w:t>.........</w:t>
      </w:r>
      <w:r>
        <w:rPr>
          <w:rStyle w:val="CharStyle46"/>
          <w:b/>
          <w:bCs/>
          <w:shd w:val="clear" w:color="auto" w:fill="000000"/>
          <w:vertAlign w:val="superscript"/>
        </w:rPr>
        <w:t>​...</w:t>
      </w:r>
      <w:r>
        <w:rPr>
          <w:rStyle w:val="CharStyle46"/>
          <w:b/>
          <w:bCs/>
          <w:shd w:val="clear" w:color="auto" w:fill="000000"/>
        </w:rPr>
        <w:t>..</w:t>
      </w:r>
      <w:r>
        <w:rPr>
          <w:rStyle w:val="CharStyle46"/>
          <w:b/>
          <w:bCs/>
          <w:spacing w:val="3"/>
          <w:shd w:val="clear" w:color="auto" w:fill="000000"/>
          <w:vertAlign w:val="superscript"/>
        </w:rPr>
        <w:t>..</w:t>
      </w:r>
      <w:r>
        <w:rPr>
          <w:rStyle w:val="CharStyle46"/>
          <w:b/>
          <w:bCs/>
          <w:shd w:val="clear" w:color="auto" w:fill="000000"/>
          <w:vertAlign w:val="superscript"/>
        </w:rPr>
        <w:t>​.</w:t>
      </w:r>
      <w:r>
        <w:rPr>
          <w:rStyle w:val="CharStyle46"/>
          <w:b/>
          <w:bCs/>
          <w:spacing w:val="1"/>
          <w:shd w:val="clear" w:color="auto" w:fill="000000"/>
          <w:vertAlign w:val="superscript"/>
        </w:rPr>
        <w:t>.........</w:t>
      </w:r>
      <w:r>
        <w:rPr>
          <w:rStyle w:val="CharStyle46"/>
          <w:b/>
          <w:bCs/>
          <w:vertAlign w:val="superscript"/>
        </w:rPr>
        <w:t xml:space="preserve"> </w:t>
      </w:r>
      <w:r>
        <w:rPr>
          <w:rStyle w:val="CharStyle46"/>
          <w:b/>
          <w:bCs/>
          <w:shd w:val="clear" w:color="auto" w:fill="000000"/>
          <w:vertAlign w:val="subscript"/>
        </w:rPr>
        <w:t>​</w:t>
      </w:r>
      <w:r>
        <w:rPr>
          <w:rStyle w:val="CharStyle46"/>
          <w:b/>
          <w:bCs/>
          <w:spacing w:val="7"/>
          <w:shd w:val="clear" w:color="auto" w:fill="000000"/>
          <w:vertAlign w:val="subscript"/>
        </w:rPr>
        <w:t>.</w:t>
      </w:r>
      <w:r>
        <w:rPr>
          <w:rStyle w:val="CharStyle46"/>
          <w:b/>
          <w:bCs/>
          <w:spacing w:val="8"/>
          <w:shd w:val="clear" w:color="auto" w:fill="000000"/>
          <w:vertAlign w:val="subscript"/>
        </w:rPr>
        <w:t>.</w:t>
      </w:r>
      <w:r>
        <w:rPr>
          <w:rStyle w:val="CharStyle46"/>
          <w:b/>
          <w:bCs/>
          <w:spacing w:val="8"/>
          <w:shd w:val="clear" w:color="auto" w:fill="000000"/>
        </w:rPr>
        <w:t>..</w:t>
      </w:r>
      <w:r>
        <w:rPr>
          <w:rStyle w:val="CharStyle46"/>
          <w:b/>
          <w:bCs/>
          <w:spacing w:val="1"/>
          <w:shd w:val="clear" w:color="auto" w:fill="000000"/>
        </w:rPr>
        <w:t>......</w:t>
      </w:r>
      <w:r>
        <w:rPr>
          <w:rStyle w:val="CharStyle46"/>
          <w:b/>
          <w:bCs/>
          <w:spacing w:val="2"/>
          <w:shd w:val="clear" w:color="auto" w:fill="000000"/>
        </w:rPr>
        <w:t>.......</w:t>
      </w:r>
    </w:p>
    <w:p>
      <w:pPr>
        <w:pStyle w:val="Style45"/>
        <w:keepNext w:val="0"/>
        <w:keepLines w:val="0"/>
        <w:widowControl w:val="0"/>
        <w:shd w:val="clear" w:color="auto" w:fill="auto"/>
        <w:tabs>
          <w:tab w:pos="2585" w:val="left"/>
        </w:tabs>
        <w:bidi w:val="0"/>
        <w:spacing w:before="0" w:after="0" w:line="96" w:lineRule="exact"/>
        <w:ind w:left="1740" w:right="0" w:firstLine="0"/>
        <w:jc w:val="left"/>
      </w:pPr>
      <w:r>
        <w:rPr>
          <w:rStyle w:val="CharStyle46"/>
          <w:sz w:val="17"/>
          <w:szCs w:val="17"/>
          <w:shd w:val="clear" w:color="auto" w:fill="000000"/>
        </w:rPr>
        <w:t>.........</w:t>
      </w:r>
      <w:r>
        <w:rPr>
          <w:rStyle w:val="CharStyle46"/>
          <w:spacing w:val="1"/>
          <w:sz w:val="17"/>
          <w:szCs w:val="17"/>
          <w:shd w:val="clear" w:color="auto" w:fill="000000"/>
        </w:rPr>
        <w:t>....</w:t>
      </w:r>
      <w:r>
        <w:rPr>
          <w:rStyle w:val="CharStyle46"/>
          <w:spacing w:val="10"/>
          <w:sz w:val="17"/>
          <w:szCs w:val="17"/>
          <w:shd w:val="clear" w:color="auto" w:fill="000000"/>
        </w:rPr>
        <w:t>..</w:t>
      </w:r>
      <w:r>
        <w:rPr>
          <w:rStyle w:val="CharStyle46"/>
          <w:spacing w:val="11"/>
          <w:sz w:val="17"/>
          <w:szCs w:val="17"/>
          <w:shd w:val="clear" w:color="auto" w:fill="000000"/>
        </w:rPr>
        <w:t>..</w:t>
      </w:r>
      <w:r>
        <w:rPr>
          <w:rStyle w:val="CharStyle46"/>
          <w:b/>
          <w:bCs/>
          <w:shd w:val="clear" w:color="auto" w:fill="000000"/>
        </w:rPr>
        <w:t>...</w:t>
      </w:r>
      <w:r>
        <w:rPr>
          <w:rStyle w:val="CharStyle46"/>
          <w:b/>
          <w:bCs/>
          <w:spacing w:val="1"/>
          <w:shd w:val="clear" w:color="auto" w:fill="000000"/>
        </w:rPr>
        <w:t>..........</w:t>
      </w:r>
      <w:r>
        <w:rPr>
          <w:rStyle w:val="CharStyle46"/>
          <w:b/>
          <w:bCs/>
          <w:shd w:val="clear" w:color="auto" w:fill="000000"/>
        </w:rPr>
        <w:t>​..................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220" w:line="223" w:lineRule="auto"/>
        <w:ind w:left="0" w:right="1660" w:firstLine="0"/>
        <w:jc w:val="right"/>
      </w:pPr>
      <w:r>
        <w:rPr>
          <w:rStyle w:val="CharStyle46"/>
          <w:b/>
          <w:bCs/>
          <w:shd w:val="clear" w:color="auto" w:fill="000000"/>
        </w:rPr>
        <w:t>.....................</w:t>
      </w:r>
      <w:r>
        <w:rPr>
          <w:rStyle w:val="CharStyle46"/>
          <w:b/>
          <w:bCs/>
          <w:spacing w:val="1"/>
          <w:shd w:val="clear" w:color="auto" w:fill="000000"/>
        </w:rPr>
        <w:t>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3" w:right="1569" w:bottom="1723" w:left="1585" w:header="935" w:footer="3" w:gutter="0"/>
          <w:cols w:space="720"/>
          <w:noEndnote/>
          <w:rtlGutter w:val="0"/>
          <w:docGrid w:linePitch="360"/>
        </w:sectPr>
      </w:pPr>
      <w:r>
        <w:rPr>
          <w:rStyle w:val="CharStyle5"/>
        </w:rPr>
        <w:t xml:space="preserve">Mgr. Radek Patočka jednatel </w:t>
      </w:r>
      <w:r>
        <w:rPr>
          <w:rStyle w:val="CharStyle5"/>
          <w:b/>
          <w:bCs/>
          <w:sz w:val="19"/>
          <w:szCs w:val="19"/>
        </w:rPr>
        <w:t>Prodávající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1"/>
          <w:b/>
          <w:bCs/>
        </w:rPr>
        <w:t>Příloha č. 1 Specifikace, ceník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</w:rPr>
        <w:t>Popáleninové rouška 100 x 200 cm</w:t>
      </w:r>
    </w:p>
    <w:tbl>
      <w:tblPr>
        <w:tblOverlap w:val="never"/>
        <w:jc w:val="center"/>
        <w:tblLayout w:type="fixed"/>
      </w:tblPr>
      <w:tblGrid>
        <w:gridCol w:w="4550"/>
        <w:gridCol w:w="4291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37709 - Tampon prošívaný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Model - typové/výrobní označeni: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100x200 cm, 1ks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PANEP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sz w:val="18"/>
                <w:szCs w:val="18"/>
              </w:rPr>
              <w:t>21018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139,80 Kč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169,16 Kč</w:t>
            </w: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835"/>
        <w:gridCol w:w="5136"/>
        <w:gridCol w:w="2707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EFEB2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B2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EB2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Účastníkem nabízená hodnota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Rouška na ošetření celotělového popálení. 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Minimálně 4 vrstva, prošívaná.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Jednorázová, 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100% bavlna, bělená sterilní hydrofilní gáza.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Velikost cca 100 cm x 200 cm.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</w:tbl>
    <w:p>
      <w:pPr>
        <w:widowControl w:val="0"/>
        <w:spacing w:after="85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</w:rPr>
        <w:t>Popáleninové rouška 40 x 60 cm</w:t>
      </w:r>
    </w:p>
    <w:tbl>
      <w:tblPr>
        <w:tblOverlap w:val="never"/>
        <w:jc w:val="center"/>
        <w:tblLayout w:type="fixed"/>
      </w:tblPr>
      <w:tblGrid>
        <w:gridCol w:w="4550"/>
        <w:gridCol w:w="4296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28510 - Rouška prošívaná na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Model - typové/výrobní označeni: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popáleniny 40x60 cm, 1ks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PANEP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sz w:val="18"/>
                <w:szCs w:val="18"/>
              </w:rPr>
              <w:t>21017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56,30 Kč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64,75 Kč</w:t>
            </w:r>
          </w:p>
        </w:tc>
      </w:tr>
    </w:tbl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835"/>
        <w:gridCol w:w="5141"/>
        <w:gridCol w:w="2707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EFEB2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B2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EB2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Účastníkem nabízená hodnota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Rouška na ošetření celotělového popálení. 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Minimálně 5-ti vrstvá, prošívaná.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Jednorázová, 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100% bavlna, bělená sterilní hydrofilní gáza.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Velikost cca 40 cm x 60 cm.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0"/>
                <w:i/>
                <w:iCs/>
                <w:color w:val="E35460"/>
                <w:sz w:val="18"/>
                <w:szCs w:val="18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35" w:right="1234" w:bottom="1275" w:left="1675" w:header="120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9923780</wp:posOffset>
              </wp:positionV>
              <wp:extent cx="279781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978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35-22: Popáleninové roušky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299999999999997pt;margin-top:781.39999999999998pt;width:220.3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35-22: Popáleninové roušky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6">
    <w:name w:val="Základní text (2)_"/>
    <w:basedOn w:val="DefaultParagraphFont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220" w:line="271" w:lineRule="auto"/>
      <w:ind w:left="1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5">
    <w:name w:val="Základní text (2)"/>
    <w:basedOn w:val="Normal"/>
    <w:link w:val="CharStyle46"/>
    <w:pPr>
      <w:widowControl w:val="0"/>
      <w:shd w:val="clear" w:color="auto" w:fill="auto"/>
      <w:spacing w:line="182" w:lineRule="auto"/>
      <w:ind w:left="1920" w:right="77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