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39" w:rsidRDefault="00ED38EF">
      <w:pPr>
        <w:pStyle w:val="Jin0"/>
        <w:spacing w:before="500" w:after="260" w:line="240" w:lineRule="auto"/>
        <w:jc w:val="center"/>
        <w:rPr>
          <w:sz w:val="30"/>
          <w:szCs w:val="30"/>
        </w:rPr>
      </w:pPr>
      <w:r>
        <w:rPr>
          <w:rStyle w:val="Jin"/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Kupní smlouva č. KS_AGTS_2022 00043</w:t>
      </w:r>
    </w:p>
    <w:p w:rsidR="00A57239" w:rsidRDefault="00ED38EF">
      <w:pPr>
        <w:pStyle w:val="Zkladntext20"/>
        <w:spacing w:after="200" w:line="276" w:lineRule="auto"/>
        <w:jc w:val="center"/>
        <w:rPr>
          <w:sz w:val="19"/>
          <w:szCs w:val="19"/>
        </w:rPr>
      </w:pPr>
      <w:r>
        <w:rPr>
          <w:rStyle w:val="Zkladntext2"/>
          <w:b/>
          <w:bCs/>
          <w:sz w:val="19"/>
          <w:szCs w:val="19"/>
        </w:rPr>
        <w:t>Uzavřená dle § 2079 a násl. zák. č. 89/2012 Sb., občanského zákoníku, níže uvedeného dne, měsíce a roku</w:t>
      </w:r>
      <w:r>
        <w:rPr>
          <w:rStyle w:val="Zkladntext2"/>
          <w:b/>
          <w:bCs/>
          <w:sz w:val="19"/>
          <w:szCs w:val="19"/>
        </w:rPr>
        <w:br/>
        <w:t>mezi těmito smluvními stranami:</w:t>
      </w:r>
    </w:p>
    <w:p w:rsidR="00A57239" w:rsidRDefault="00ED38EF">
      <w:pPr>
        <w:pStyle w:val="Nadpis40"/>
        <w:keepNext/>
        <w:keepLines/>
        <w:jc w:val="left"/>
      </w:pPr>
      <w:bookmarkStart w:id="0" w:name="bookmark0"/>
      <w:r>
        <w:rPr>
          <w:rStyle w:val="Nadpis4"/>
          <w:b/>
          <w:bCs/>
        </w:rPr>
        <w:t>AGROTEC servis s.r.o.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6907"/>
      </w:tblGrid>
      <w:tr w:rsidR="00A5723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34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se sídlem:</w:t>
            </w:r>
          </w:p>
        </w:tc>
        <w:tc>
          <w:tcPr>
            <w:tcW w:w="6907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  <w:ind w:firstLine="140"/>
              <w:jc w:val="both"/>
            </w:pPr>
            <w:r>
              <w:rPr>
                <w:rStyle w:val="Jin"/>
                <w:color w:val="000000"/>
              </w:rPr>
              <w:t>Hybešova 14, 693 01 Hustopeče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834" w:type="dxa"/>
            <w:shd w:val="clear" w:color="auto" w:fill="auto"/>
          </w:tcPr>
          <w:p w:rsidR="00A57239" w:rsidRDefault="00ED38EF">
            <w:pPr>
              <w:pStyle w:val="Jin0"/>
              <w:spacing w:after="40" w:line="240" w:lineRule="auto"/>
            </w:pPr>
            <w:r>
              <w:rPr>
                <w:rStyle w:val="Jin"/>
                <w:color w:val="000000"/>
              </w:rPr>
              <w:t>zastoupená:</w:t>
            </w:r>
          </w:p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bankovní spojení:</w:t>
            </w:r>
          </w:p>
        </w:tc>
        <w:tc>
          <w:tcPr>
            <w:tcW w:w="6907" w:type="dxa"/>
            <w:shd w:val="clear" w:color="auto" w:fill="auto"/>
          </w:tcPr>
          <w:p w:rsidR="00A57239" w:rsidRDefault="00ED38EF">
            <w:pPr>
              <w:pStyle w:val="Jin0"/>
              <w:spacing w:after="40" w:line="240" w:lineRule="auto"/>
              <w:ind w:firstLine="140"/>
              <w:jc w:val="both"/>
            </w:pPr>
            <w:r>
              <w:rPr>
                <w:rStyle w:val="Jin"/>
                <w:color w:val="000000"/>
              </w:rPr>
              <w:t>Ing. Milan Palík - na základě pověření</w:t>
            </w:r>
          </w:p>
          <w:p w:rsidR="00A57239" w:rsidRDefault="00A57239">
            <w:pPr>
              <w:pStyle w:val="Jin0"/>
              <w:spacing w:after="40" w:line="240" w:lineRule="auto"/>
              <w:ind w:firstLine="140"/>
              <w:jc w:val="both"/>
            </w:pP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34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IČ:</w:t>
            </w:r>
          </w:p>
        </w:tc>
        <w:tc>
          <w:tcPr>
            <w:tcW w:w="6907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  <w:ind w:firstLine="140"/>
            </w:pPr>
            <w:r>
              <w:rPr>
                <w:rStyle w:val="Jin"/>
                <w:color w:val="000000"/>
              </w:rPr>
              <w:t>46966757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834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DIČ:</w:t>
            </w:r>
          </w:p>
        </w:tc>
        <w:tc>
          <w:tcPr>
            <w:tcW w:w="6907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  <w:ind w:firstLine="140"/>
              <w:jc w:val="both"/>
            </w:pPr>
            <w:r>
              <w:rPr>
                <w:rStyle w:val="Jin"/>
                <w:color w:val="000000"/>
              </w:rPr>
              <w:t>CZ46966757</w:t>
            </w:r>
          </w:p>
        </w:tc>
      </w:tr>
    </w:tbl>
    <w:p w:rsidR="00A57239" w:rsidRDefault="00ED38EF">
      <w:pPr>
        <w:pStyle w:val="Titulektabulky0"/>
      </w:pPr>
      <w:r>
        <w:rPr>
          <w:rStyle w:val="Titulektabulky"/>
        </w:rPr>
        <w:t xml:space="preserve">zapsaná v Obchodním rejstříku vedeném Krajským soudem v Brně oddíl C, </w:t>
      </w:r>
      <w:r>
        <w:rPr>
          <w:rStyle w:val="Titulektabulky"/>
        </w:rPr>
        <w:t>vložka 6852 dále jen „prodávající“</w:t>
      </w:r>
    </w:p>
    <w:p w:rsidR="00A57239" w:rsidRDefault="00A57239">
      <w:pPr>
        <w:spacing w:after="359" w:line="1" w:lineRule="exact"/>
      </w:pPr>
    </w:p>
    <w:p w:rsidR="00A57239" w:rsidRDefault="00ED38EF">
      <w:pPr>
        <w:pStyle w:val="Zkladntext1"/>
        <w:spacing w:after="260" w:line="341" w:lineRule="auto"/>
      </w:pPr>
      <w:r>
        <w:rPr>
          <w:rStyle w:val="Zkladntext"/>
          <w:color w:val="000000"/>
        </w:rPr>
        <w:t>a</w:t>
      </w:r>
    </w:p>
    <w:p w:rsidR="00A57239" w:rsidRDefault="00ED38EF">
      <w:pPr>
        <w:pStyle w:val="Nadpis40"/>
        <w:keepNext/>
        <w:keepLines/>
        <w:jc w:val="left"/>
      </w:pPr>
      <w:bookmarkStart w:id="1" w:name="bookmark2"/>
      <w:r>
        <w:rPr>
          <w:rStyle w:val="Nadpis4"/>
          <w:b/>
          <w:bCs/>
        </w:rPr>
        <w:t>Kroměřížské technické služby, s.r.o.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4152"/>
      </w:tblGrid>
      <w:tr w:rsidR="00A5723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10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sídlo:</w:t>
            </w:r>
          </w:p>
        </w:tc>
        <w:tc>
          <w:tcPr>
            <w:tcW w:w="4152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Kaplanova 2959/6, 767 01 Kroměříž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910" w:type="dxa"/>
            <w:shd w:val="clear" w:color="auto" w:fill="auto"/>
            <w:vAlign w:val="center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zastoupená:</w:t>
            </w:r>
          </w:p>
        </w:tc>
        <w:tc>
          <w:tcPr>
            <w:tcW w:w="4152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VRATISLAV KREJČÍŘ - jednatel</w:t>
            </w:r>
          </w:p>
          <w:p w:rsidR="00A57239" w:rsidRDefault="00ED38EF">
            <w:pPr>
              <w:pStyle w:val="Jin0"/>
              <w:spacing w:line="240" w:lineRule="auto"/>
              <w:jc w:val="both"/>
            </w:pPr>
            <w:r>
              <w:rPr>
                <w:rStyle w:val="Jin"/>
                <w:color w:val="000000"/>
              </w:rPr>
              <w:t>Mgr. Bc. KAREL HOLÍK, MBA - Jednatel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0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IČ:</w:t>
            </w:r>
          </w:p>
        </w:tc>
        <w:tc>
          <w:tcPr>
            <w:tcW w:w="4152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26276437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10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DIČ:</w:t>
            </w:r>
          </w:p>
        </w:tc>
        <w:tc>
          <w:tcPr>
            <w:tcW w:w="4152" w:type="dxa"/>
            <w:shd w:val="clear" w:color="auto" w:fill="auto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CZ26276437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10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>registrace:</w:t>
            </w:r>
          </w:p>
        </w:tc>
        <w:tc>
          <w:tcPr>
            <w:tcW w:w="4152" w:type="dxa"/>
            <w:shd w:val="clear" w:color="auto" w:fill="auto"/>
            <w:vAlign w:val="bottom"/>
          </w:tcPr>
          <w:p w:rsidR="00A57239" w:rsidRDefault="00ED38EF">
            <w:pPr>
              <w:pStyle w:val="Jin0"/>
              <w:spacing w:line="240" w:lineRule="auto"/>
            </w:pPr>
            <w:r>
              <w:rPr>
                <w:rStyle w:val="Jin"/>
                <w:color w:val="000000"/>
              </w:rPr>
              <w:t xml:space="preserve">Krajský soud v </w:t>
            </w:r>
            <w:r>
              <w:rPr>
                <w:rStyle w:val="Jin"/>
                <w:color w:val="000000"/>
              </w:rPr>
              <w:t>Brně - C 41059</w:t>
            </w: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910" w:type="dxa"/>
            <w:shd w:val="clear" w:color="auto" w:fill="auto"/>
            <w:vAlign w:val="center"/>
          </w:tcPr>
          <w:p w:rsidR="00A57239" w:rsidRDefault="00A57239">
            <w:pPr>
              <w:pStyle w:val="Jin0"/>
              <w:spacing w:line="240" w:lineRule="auto"/>
            </w:pPr>
          </w:p>
        </w:tc>
        <w:tc>
          <w:tcPr>
            <w:tcW w:w="4152" w:type="dxa"/>
            <w:shd w:val="clear" w:color="auto" w:fill="auto"/>
          </w:tcPr>
          <w:p w:rsidR="00A57239" w:rsidRDefault="00A57239">
            <w:pPr>
              <w:pStyle w:val="Jin0"/>
              <w:spacing w:line="240" w:lineRule="auto"/>
            </w:pP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910" w:type="dxa"/>
            <w:shd w:val="clear" w:color="auto" w:fill="auto"/>
            <w:vAlign w:val="bottom"/>
          </w:tcPr>
          <w:p w:rsidR="00A57239" w:rsidRDefault="00A57239">
            <w:pPr>
              <w:pStyle w:val="Jin0"/>
              <w:spacing w:line="240" w:lineRule="auto"/>
            </w:pPr>
          </w:p>
        </w:tc>
        <w:tc>
          <w:tcPr>
            <w:tcW w:w="4152" w:type="dxa"/>
            <w:shd w:val="clear" w:color="auto" w:fill="auto"/>
            <w:vAlign w:val="bottom"/>
          </w:tcPr>
          <w:p w:rsidR="00A57239" w:rsidRDefault="00A57239">
            <w:pPr>
              <w:pStyle w:val="Jin0"/>
              <w:spacing w:line="240" w:lineRule="auto"/>
            </w:pPr>
          </w:p>
        </w:tc>
      </w:tr>
      <w:tr w:rsidR="00A57239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10" w:type="dxa"/>
            <w:shd w:val="clear" w:color="auto" w:fill="auto"/>
            <w:vAlign w:val="bottom"/>
          </w:tcPr>
          <w:p w:rsidR="00A57239" w:rsidRDefault="00A57239">
            <w:pPr>
              <w:pStyle w:val="Jin0"/>
            </w:pPr>
          </w:p>
        </w:tc>
        <w:tc>
          <w:tcPr>
            <w:tcW w:w="4152" w:type="dxa"/>
            <w:shd w:val="clear" w:color="auto" w:fill="auto"/>
          </w:tcPr>
          <w:p w:rsidR="00A57239" w:rsidRDefault="00A57239">
            <w:pPr>
              <w:pStyle w:val="Jin0"/>
              <w:spacing w:line="240" w:lineRule="auto"/>
            </w:pPr>
          </w:p>
        </w:tc>
      </w:tr>
    </w:tbl>
    <w:p w:rsidR="00A57239" w:rsidRDefault="00A57239">
      <w:pPr>
        <w:spacing w:after="259" w:line="1" w:lineRule="exact"/>
      </w:pPr>
    </w:p>
    <w:p w:rsidR="00A57239" w:rsidRDefault="00ED38EF">
      <w:pPr>
        <w:pStyle w:val="Nadpis40"/>
        <w:keepNext/>
        <w:keepLines/>
      </w:pPr>
      <w:bookmarkStart w:id="2" w:name="bookmark4"/>
      <w:r>
        <w:rPr>
          <w:rStyle w:val="Nadpis4"/>
          <w:b/>
          <w:bCs/>
        </w:rPr>
        <w:t>Článek 1 Předmět smlouvy</w:t>
      </w:r>
      <w:bookmarkEnd w:id="2"/>
    </w:p>
    <w:p w:rsidR="00A57239" w:rsidRDefault="00ED38EF">
      <w:pPr>
        <w:pStyle w:val="Zkladntext20"/>
        <w:spacing w:after="200" w:line="276" w:lineRule="auto"/>
      </w:pPr>
      <w:r>
        <w:rPr>
          <w:rStyle w:val="Zkladntext2"/>
        </w:rPr>
        <w:t xml:space="preserve">Prodávající touto smlouvou prodává níže </w:t>
      </w:r>
      <w:r>
        <w:rPr>
          <w:rStyle w:val="Zkladntext2"/>
        </w:rPr>
        <w:t>specifikovaný stroj (dále jen předmět prodeje) a kupující jej kupuje a zavazuje se jej odebrat a zaplatit smluvenou kupní cenu.</w:t>
      </w:r>
    </w:p>
    <w:p w:rsidR="00A57239" w:rsidRDefault="00ED38EF">
      <w:pPr>
        <w:pStyle w:val="Zkladntext20"/>
        <w:numPr>
          <w:ilvl w:val="1"/>
          <w:numId w:val="1"/>
        </w:numPr>
        <w:tabs>
          <w:tab w:val="left" w:pos="474"/>
        </w:tabs>
        <w:spacing w:after="200" w:line="276" w:lineRule="auto"/>
      </w:pPr>
      <w:r>
        <w:rPr>
          <w:rStyle w:val="Zkladntext2"/>
        </w:rPr>
        <w:t>Předmětem prodeje je následující 1 ks stroje:</w:t>
      </w:r>
    </w:p>
    <w:p w:rsidR="00A57239" w:rsidRDefault="00ED38EF">
      <w:pPr>
        <w:pStyle w:val="Zkladntext20"/>
        <w:spacing w:after="200" w:line="276" w:lineRule="auto"/>
      </w:pPr>
      <w:r>
        <w:rPr>
          <w:rStyle w:val="Zkladntext2"/>
        </w:rPr>
        <w:t>Smykem řízený nakladač CASE SV280B</w:t>
      </w:r>
    </w:p>
    <w:p w:rsidR="00A57239" w:rsidRDefault="00ED38EF">
      <w:pPr>
        <w:pStyle w:val="Zkladntext20"/>
        <w:spacing w:after="60" w:line="276" w:lineRule="auto"/>
      </w:pPr>
      <w:r>
        <w:rPr>
          <w:rStyle w:val="Zkladntext2"/>
        </w:rPr>
        <w:t>(dále jen předmět prodeje)</w:t>
      </w:r>
    </w:p>
    <w:p w:rsidR="00A57239" w:rsidRDefault="00ED38EF">
      <w:pPr>
        <w:pStyle w:val="Zkladntext20"/>
        <w:spacing w:after="60" w:line="276" w:lineRule="auto"/>
      </w:pPr>
      <w:r>
        <w:rPr>
          <w:rStyle w:val="Zkladntext2"/>
        </w:rPr>
        <w:t xml:space="preserve">Podrobný popis </w:t>
      </w:r>
      <w:r>
        <w:rPr>
          <w:rStyle w:val="Zkladntext2"/>
        </w:rPr>
        <w:t>předmětu prodeje je přílohou č. 1 této smlouvy.</w:t>
      </w:r>
    </w:p>
    <w:p w:rsidR="00A57239" w:rsidRDefault="00ED38EF">
      <w:pPr>
        <w:pStyle w:val="Zkladntext20"/>
        <w:numPr>
          <w:ilvl w:val="1"/>
          <w:numId w:val="1"/>
        </w:numPr>
        <w:tabs>
          <w:tab w:val="left" w:pos="474"/>
        </w:tabs>
        <w:spacing w:after="60" w:line="276" w:lineRule="auto"/>
      </w:pPr>
      <w:r>
        <w:rPr>
          <w:rStyle w:val="Zkladntext2"/>
        </w:rPr>
        <w:t>Spolu s předmětem prodeje bude předána příslušející dokumentace:</w:t>
      </w:r>
    </w:p>
    <w:p w:rsidR="00A57239" w:rsidRDefault="00ED38EF">
      <w:pPr>
        <w:pStyle w:val="Zkladntext20"/>
        <w:spacing w:after="120" w:line="276" w:lineRule="auto"/>
        <w:ind w:firstLine="340"/>
      </w:pPr>
      <w:r>
        <w:rPr>
          <w:rStyle w:val="Zkladntext2"/>
        </w:rPr>
        <w:t>- Servisní knížka, technický průkaz, návod k obsluze</w:t>
      </w:r>
    </w:p>
    <w:p w:rsidR="00A57239" w:rsidRDefault="00ED38EF">
      <w:pPr>
        <w:pStyle w:val="Nadpis40"/>
        <w:keepNext/>
        <w:keepLines/>
      </w:pPr>
      <w:bookmarkStart w:id="3" w:name="bookmark6"/>
      <w:r>
        <w:rPr>
          <w:rStyle w:val="Nadpis4"/>
          <w:b/>
          <w:bCs/>
        </w:rPr>
        <w:t>Článek 2 Cena zboží</w:t>
      </w:r>
      <w:bookmarkEnd w:id="3"/>
    </w:p>
    <w:p w:rsidR="00A57239" w:rsidRDefault="00ED38EF">
      <w:pPr>
        <w:pStyle w:val="Zkladntext20"/>
        <w:numPr>
          <w:ilvl w:val="1"/>
          <w:numId w:val="2"/>
        </w:numPr>
        <w:tabs>
          <w:tab w:val="left" w:pos="502"/>
        </w:tabs>
        <w:spacing w:line="276" w:lineRule="auto"/>
      </w:pPr>
      <w:r>
        <w:rPr>
          <w:rStyle w:val="Zkladntext2"/>
        </w:rPr>
        <w:t>Prodávající dodá předmět prodeje uvedený v Článku 1 této smlouvy kupuj</w:t>
      </w:r>
      <w:r>
        <w:rPr>
          <w:rStyle w:val="Zkladntext2"/>
        </w:rPr>
        <w:t xml:space="preserve">ícímu za dohodnutou kupní cenu ve výši </w:t>
      </w:r>
      <w:bookmarkStart w:id="4" w:name="_GoBack"/>
      <w:r>
        <w:rPr>
          <w:rStyle w:val="Zkladntext2"/>
          <w:b/>
          <w:bCs/>
        </w:rPr>
        <w:t>1 425 500,</w:t>
      </w:r>
      <w:bookmarkEnd w:id="4"/>
      <w:r>
        <w:rPr>
          <w:rStyle w:val="Zkladntext2"/>
          <w:b/>
          <w:bCs/>
        </w:rPr>
        <w:t xml:space="preserve">00 Kč </w:t>
      </w:r>
      <w:r>
        <w:rPr>
          <w:rStyle w:val="Zkladntext2"/>
        </w:rPr>
        <w:t xml:space="preserve">bez </w:t>
      </w:r>
      <w:r>
        <w:rPr>
          <w:rStyle w:val="Zkladntext2"/>
          <w:b/>
          <w:bCs/>
        </w:rPr>
        <w:t xml:space="preserve">DPH. </w:t>
      </w:r>
      <w:r>
        <w:rPr>
          <w:rStyle w:val="Zkladntext2"/>
        </w:rPr>
        <w:t>Výše DPH se stanoví v souladu splatnou právní úpravou k datu zdanitelného plnění.</w:t>
      </w:r>
    </w:p>
    <w:p w:rsidR="00A57239" w:rsidRDefault="00ED38EF">
      <w:pPr>
        <w:pStyle w:val="Zkladntext20"/>
        <w:numPr>
          <w:ilvl w:val="1"/>
          <w:numId w:val="2"/>
        </w:numPr>
        <w:tabs>
          <w:tab w:val="left" w:pos="442"/>
        </w:tabs>
        <w:spacing w:line="283" w:lineRule="auto"/>
        <w:jc w:val="both"/>
      </w:pPr>
      <w:r>
        <w:rPr>
          <w:rStyle w:val="Zkladntext2"/>
        </w:rPr>
        <w:lastRenderedPageBreak/>
        <w:t>Kupní cena bude uhrazena bezhotovostním převodem na bankovní účet prodávajícího uvedený v hlavičce této smlouv</w:t>
      </w:r>
      <w:r>
        <w:rPr>
          <w:rStyle w:val="Zkladntext2"/>
        </w:rPr>
        <w:t>y ve lhůtě splatnosti 30 dnů od předání předmětu prodeje. Prodávající vystaví na kupní cenu daňový doklad - fakturu s vyznačením sjednané splatnosti a dnem zdanitelného plnění dnem předání předmětu prodeje.</w:t>
      </w:r>
    </w:p>
    <w:p w:rsidR="00A57239" w:rsidRDefault="00ED38EF">
      <w:pPr>
        <w:pStyle w:val="Zkladntext20"/>
        <w:spacing w:after="40" w:line="276" w:lineRule="auto"/>
        <w:jc w:val="both"/>
      </w:pPr>
      <w:r>
        <w:rPr>
          <w:rStyle w:val="Zkladntext2"/>
        </w:rPr>
        <w:t>Kupní cena bude uhrazena na účet v záhlaví této s</w:t>
      </w:r>
      <w:r>
        <w:rPr>
          <w:rStyle w:val="Zkladntext2"/>
        </w:rPr>
        <w:t>mlouvy podle měny, která odpovídá kupní ceně.</w:t>
      </w:r>
    </w:p>
    <w:p w:rsidR="00A57239" w:rsidRDefault="00ED38EF">
      <w:pPr>
        <w:pStyle w:val="Zkladntext20"/>
        <w:numPr>
          <w:ilvl w:val="1"/>
          <w:numId w:val="2"/>
        </w:numPr>
        <w:tabs>
          <w:tab w:val="left" w:pos="442"/>
        </w:tabs>
        <w:spacing w:line="283" w:lineRule="auto"/>
        <w:jc w:val="both"/>
      </w:pPr>
      <w:r>
        <w:rPr>
          <w:rStyle w:val="Zkladntext2"/>
        </w:rPr>
        <w:t>V případě úhrady prostřednictvím leasingové společnosti slouží tato smlouva jako vzor pro kupní smlouvu budoucí s leasingovou společností a předpoklad uhrazení kupní ceny bude prokazován potvrzením leasingové s</w:t>
      </w:r>
      <w:r>
        <w:rPr>
          <w:rStyle w:val="Zkladntext2"/>
        </w:rPr>
        <w:t>polečnosti o uzavření smlouvy. Strany sjednaly, že uzavření kupní smlouvy mezi prodávajícím a leasingovou společností je rozvazovací podmínkou této kupní smlouvy. Prodávající má právo odmítnout výběr leasingové společnosti, není-li zajištěna její schopnost</w:t>
      </w:r>
      <w:r>
        <w:rPr>
          <w:rStyle w:val="Zkladntext2"/>
        </w:rPr>
        <w:t xml:space="preserve"> uhradit kupní cenu.</w:t>
      </w:r>
    </w:p>
    <w:p w:rsidR="00A57239" w:rsidRDefault="00ED38EF">
      <w:pPr>
        <w:pStyle w:val="Zkladntext20"/>
        <w:numPr>
          <w:ilvl w:val="1"/>
          <w:numId w:val="2"/>
        </w:numPr>
        <w:tabs>
          <w:tab w:val="left" w:pos="442"/>
        </w:tabs>
        <w:spacing w:line="276" w:lineRule="auto"/>
        <w:jc w:val="both"/>
      </w:pPr>
      <w:r>
        <w:rPr>
          <w:rStyle w:val="Zkladntext2"/>
        </w:rPr>
        <w:t>Strany smlouvy se dále dohodly, že předmět prodeje zůstává až do úplného uhrazení kupní ceny vlastnictvím prodávajícího a kupující není oprávněn převést vlastnické právo předmětu prodeje na třetí osobu ani jej jakkoliv zatížit právem t</w:t>
      </w:r>
      <w:r>
        <w:rPr>
          <w:rStyle w:val="Zkladntext2"/>
        </w:rPr>
        <w:t>řetí osoby. V případě nedodržení tohoto ustanovení kupujícím, nebo některým z jeho zaměstnanců, uhradí kupující prodávajícímu veškerou z tohoto vzniklou škodu včetně případných nákladů na její vyčíslení. V případě, že se smluvní strany na výši škody nedoho</w:t>
      </w:r>
      <w:r>
        <w:rPr>
          <w:rStyle w:val="Zkladntext2"/>
        </w:rPr>
        <w:t>dnou, určí prodávající soudního znalce a vybraný soudní znalec určí výši způsobené škody znaleckým posudkem.</w:t>
      </w:r>
    </w:p>
    <w:p w:rsidR="00A57239" w:rsidRDefault="00ED38EF">
      <w:pPr>
        <w:pStyle w:val="Zkladntext20"/>
        <w:numPr>
          <w:ilvl w:val="1"/>
          <w:numId w:val="2"/>
        </w:numPr>
        <w:tabs>
          <w:tab w:val="left" w:pos="442"/>
        </w:tabs>
        <w:spacing w:after="100" w:line="286" w:lineRule="auto"/>
        <w:jc w:val="both"/>
      </w:pPr>
      <w:r>
        <w:rPr>
          <w:rStyle w:val="Zkladntext2"/>
        </w:rPr>
        <w:t>Strany sjednaly pro případ prodlení s úhradou kupní ceny či jeji části úrok z prodlení ve výši 0,05 % z dlužné částky denně.</w:t>
      </w:r>
    </w:p>
    <w:p w:rsidR="00A57239" w:rsidRDefault="00ED38EF">
      <w:pPr>
        <w:pStyle w:val="Nadpis40"/>
        <w:keepNext/>
        <w:keepLines/>
        <w:spacing w:after="40"/>
      </w:pPr>
      <w:bookmarkStart w:id="5" w:name="bookmark8"/>
      <w:r>
        <w:rPr>
          <w:rStyle w:val="Nadpis4"/>
          <w:b/>
          <w:bCs/>
        </w:rPr>
        <w:t>Článek 3 Práva a povin</w:t>
      </w:r>
      <w:r>
        <w:rPr>
          <w:rStyle w:val="Nadpis4"/>
          <w:b/>
          <w:bCs/>
        </w:rPr>
        <w:t>nosti stran smlouvy</w:t>
      </w:r>
      <w:bookmarkEnd w:id="5"/>
    </w:p>
    <w:p w:rsidR="00A57239" w:rsidRDefault="00ED38EF">
      <w:pPr>
        <w:pStyle w:val="Zkladntext20"/>
        <w:numPr>
          <w:ilvl w:val="1"/>
          <w:numId w:val="3"/>
        </w:numPr>
        <w:tabs>
          <w:tab w:val="left" w:pos="438"/>
        </w:tabs>
        <w:spacing w:after="40" w:line="276" w:lineRule="auto"/>
        <w:jc w:val="both"/>
      </w:pPr>
      <w:r>
        <w:rPr>
          <w:rStyle w:val="Zkladntext2"/>
        </w:rPr>
        <w:t xml:space="preserve">Prodávající se zavazuje dodat předmět prodeje kupujícímu </w:t>
      </w:r>
    </w:p>
    <w:p w:rsidR="00A57239" w:rsidRDefault="00ED38EF">
      <w:pPr>
        <w:pStyle w:val="Zkladntext20"/>
        <w:spacing w:line="276" w:lineRule="auto"/>
        <w:jc w:val="both"/>
      </w:pPr>
      <w:r>
        <w:rPr>
          <w:rStyle w:val="Zkladntext2"/>
        </w:rPr>
        <w:t>Prodávající a kupující jsou srozuměni s tím, že termín dodání dle předchozího odstavce je termínem předběžným a může být s ohledem na okolnosti změněn (prodloužen).</w:t>
      </w:r>
      <w:r>
        <w:rPr>
          <w:rStyle w:val="Zkladntext2"/>
        </w:rPr>
        <w:t xml:space="preserve"> Tato změna termínu dodání musí být bez zbytečného odkladu kupujícímu oznámena; v případě neoznámení se prodávající dostává do prodlení.</w:t>
      </w:r>
    </w:p>
    <w:p w:rsidR="00A57239" w:rsidRDefault="00ED38EF">
      <w:pPr>
        <w:pStyle w:val="Zkladntext20"/>
        <w:numPr>
          <w:ilvl w:val="1"/>
          <w:numId w:val="3"/>
        </w:numPr>
        <w:tabs>
          <w:tab w:val="left" w:pos="442"/>
        </w:tabs>
        <w:spacing w:line="276" w:lineRule="auto"/>
        <w:jc w:val="both"/>
      </w:pPr>
      <w:r>
        <w:rPr>
          <w:rStyle w:val="Zkladntext2"/>
        </w:rPr>
        <w:t>Předmět prodeje bude předán u kupujícího případně v místě jeho organizační složky. Místo a dobu předání je povinen prod</w:t>
      </w:r>
      <w:r>
        <w:rPr>
          <w:rStyle w:val="Zkladntext2"/>
        </w:rPr>
        <w:t>ávající kupujícímu včas oznámit.</w:t>
      </w:r>
    </w:p>
    <w:p w:rsidR="00A57239" w:rsidRDefault="00ED38EF">
      <w:pPr>
        <w:pStyle w:val="Zkladntext20"/>
        <w:numPr>
          <w:ilvl w:val="1"/>
          <w:numId w:val="3"/>
        </w:numPr>
        <w:tabs>
          <w:tab w:val="left" w:pos="438"/>
        </w:tabs>
        <w:spacing w:after="40" w:line="276" w:lineRule="auto"/>
        <w:jc w:val="both"/>
      </w:pPr>
      <w:r>
        <w:rPr>
          <w:rStyle w:val="Zkladntext2"/>
        </w:rPr>
        <w:t xml:space="preserve">Kupující je povinen na písemnou výzvu prodávajícího předmět prodeje převzít. Jestliže kupující předmět prodeje neodebere ani na opětovnou výzvu prodávajícího, dostává se do prodlení a přechází na něj nebezpečí vzniku škody </w:t>
      </w:r>
      <w:r>
        <w:rPr>
          <w:rStyle w:val="Zkladntext2"/>
        </w:rPr>
        <w:t>na věci. Bude-li kupující v prodlení s převzetím předmětu prodeje po dobu delší než 5 dní, je prodávající oprávněn od této smlouvy jednostranně odstoupit.</w:t>
      </w:r>
    </w:p>
    <w:p w:rsidR="00A57239" w:rsidRDefault="00ED38EF">
      <w:pPr>
        <w:pStyle w:val="Zkladntext20"/>
        <w:numPr>
          <w:ilvl w:val="1"/>
          <w:numId w:val="3"/>
        </w:numPr>
        <w:tabs>
          <w:tab w:val="left" w:pos="442"/>
        </w:tabs>
        <w:spacing w:after="40" w:line="286" w:lineRule="auto"/>
        <w:jc w:val="both"/>
      </w:pPr>
      <w:r>
        <w:rPr>
          <w:rStyle w:val="Zkladntext2"/>
        </w:rPr>
        <w:t>Prodávající je povinen při předáni zboží kupujícího kvalifikovaně poučit o způsobu užívání předmětu p</w:t>
      </w:r>
      <w:r>
        <w:rPr>
          <w:rStyle w:val="Zkladntext2"/>
        </w:rPr>
        <w:t>rodeje tak, jak uvádí výrobce.</w:t>
      </w:r>
    </w:p>
    <w:p w:rsidR="00A57239" w:rsidRDefault="00ED38EF">
      <w:pPr>
        <w:pStyle w:val="Zkladntext20"/>
        <w:numPr>
          <w:ilvl w:val="1"/>
          <w:numId w:val="3"/>
        </w:numPr>
        <w:tabs>
          <w:tab w:val="left" w:pos="447"/>
        </w:tabs>
        <w:spacing w:after="100" w:line="283" w:lineRule="auto"/>
        <w:jc w:val="both"/>
      </w:pPr>
      <w:r>
        <w:rPr>
          <w:rStyle w:val="Zkladntext2"/>
        </w:rPr>
        <w:t>Součástí vybavení předmětu prodeje může být technické zařízení (aktivní telematika), které umožňuje monitorování provozní činnosti stroje. O tom, zda je předmět prodeje tímto technickým zařízením vybaven, bude kupující prodáv</w:t>
      </w:r>
      <w:r>
        <w:rPr>
          <w:rStyle w:val="Zkladntext2"/>
        </w:rPr>
        <w:t>ajícím informován při převzetí zboží.</w:t>
      </w:r>
    </w:p>
    <w:p w:rsidR="00A57239" w:rsidRDefault="00ED38EF">
      <w:pPr>
        <w:pStyle w:val="Nadpis40"/>
        <w:keepNext/>
        <w:keepLines/>
        <w:spacing w:after="40"/>
      </w:pPr>
      <w:bookmarkStart w:id="6" w:name="bookmark10"/>
      <w:r>
        <w:rPr>
          <w:rStyle w:val="Nadpis4"/>
          <w:b/>
          <w:bCs/>
        </w:rPr>
        <w:t>Článek 4 Sankce</w:t>
      </w:r>
      <w:bookmarkEnd w:id="6"/>
    </w:p>
    <w:p w:rsidR="00A57239" w:rsidRDefault="00ED38EF">
      <w:pPr>
        <w:pStyle w:val="Zkladntext20"/>
        <w:numPr>
          <w:ilvl w:val="1"/>
          <w:numId w:val="4"/>
        </w:numPr>
        <w:tabs>
          <w:tab w:val="left" w:pos="442"/>
        </w:tabs>
        <w:spacing w:after="60" w:line="276" w:lineRule="auto"/>
        <w:jc w:val="both"/>
      </w:pPr>
      <w:r>
        <w:rPr>
          <w:rStyle w:val="Zkladntext2"/>
        </w:rPr>
        <w:t>Prodávající je oprávněn v případě neuhrazení kupní ceny do 10 dnů ode dne dohodnutého výše od této smlouvy písemně jednostranně odstoupit, neboť toto lze považovat za podstatné porušení smluvní povinnos</w:t>
      </w:r>
      <w:r>
        <w:rPr>
          <w:rStyle w:val="Zkladntext2"/>
        </w:rPr>
        <w:t>ti ze strany kupujícího.</w:t>
      </w:r>
      <w:r>
        <w:br w:type="page"/>
      </w:r>
    </w:p>
    <w:p w:rsidR="00A57239" w:rsidRDefault="00ED38EF">
      <w:pPr>
        <w:pStyle w:val="Zkladntext20"/>
        <w:numPr>
          <w:ilvl w:val="1"/>
          <w:numId w:val="4"/>
        </w:numPr>
        <w:tabs>
          <w:tab w:val="left" w:pos="450"/>
        </w:tabs>
        <w:spacing w:line="276" w:lineRule="auto"/>
        <w:jc w:val="both"/>
      </w:pPr>
      <w:r>
        <w:rPr>
          <w:rStyle w:val="Zkladntext2"/>
        </w:rPr>
        <w:lastRenderedPageBreak/>
        <w:t>V případě porušení povinností kupujícím, pro které je prodávající oprávněn od této smlouvy odstoupit, uhradí kupující prodávajícímu smluvní pokutu ve výši 10 % kupní ceny v Kč. Prodávající vystaví kupujícímu na smluvní pokutu daňo</w:t>
      </w:r>
      <w:r>
        <w:rPr>
          <w:rStyle w:val="Zkladntext2"/>
        </w:rPr>
        <w:t>vý doklad.</w:t>
      </w:r>
    </w:p>
    <w:p w:rsidR="00A57239" w:rsidRDefault="00ED38EF">
      <w:pPr>
        <w:pStyle w:val="Zkladntext20"/>
        <w:spacing w:line="286" w:lineRule="auto"/>
        <w:jc w:val="both"/>
      </w:pPr>
      <w:r>
        <w:rPr>
          <w:rStyle w:val="Zkladntext2"/>
        </w:rPr>
        <w:t>Smluvní pokutu uhradí kupující na výzvu prodávajícího. Prodávající je oprávněn provést zápočet kauce se smluvní pokutou, pokud byla sjednána. Smluvní pokuta nekryje náhradu škody a lze ji vymáhat samostatně i současně.</w:t>
      </w:r>
    </w:p>
    <w:p w:rsidR="00A57239" w:rsidRDefault="00ED38EF">
      <w:pPr>
        <w:pStyle w:val="Nadpis40"/>
        <w:keepNext/>
        <w:keepLines/>
        <w:spacing w:after="220"/>
      </w:pPr>
      <w:bookmarkStart w:id="7" w:name="bookmark12"/>
      <w:r>
        <w:rPr>
          <w:rStyle w:val="Nadpis4"/>
          <w:b/>
          <w:bCs/>
        </w:rPr>
        <w:t>Článek 5 Záruční podmínky</w:t>
      </w:r>
      <w:bookmarkEnd w:id="7"/>
    </w:p>
    <w:p w:rsidR="00A57239" w:rsidRDefault="00ED38EF">
      <w:pPr>
        <w:pStyle w:val="Zkladntext20"/>
        <w:numPr>
          <w:ilvl w:val="1"/>
          <w:numId w:val="5"/>
        </w:numPr>
        <w:tabs>
          <w:tab w:val="left" w:pos="450"/>
        </w:tabs>
        <w:spacing w:line="286" w:lineRule="auto"/>
        <w:jc w:val="both"/>
      </w:pPr>
      <w:r>
        <w:rPr>
          <w:rStyle w:val="Zkladntext2"/>
        </w:rPr>
        <w:t>Prodávající se zavazuje na základě operativních objednávek kupujícího provádět úplatně a bezúplatně dle podmínek svých či výrobce záruční i pozáruční servis, prohlídky a opravy.</w:t>
      </w:r>
    </w:p>
    <w:p w:rsidR="00A57239" w:rsidRDefault="00ED38EF">
      <w:pPr>
        <w:pStyle w:val="Zkladntext20"/>
        <w:numPr>
          <w:ilvl w:val="1"/>
          <w:numId w:val="5"/>
        </w:numPr>
        <w:tabs>
          <w:tab w:val="left" w:pos="450"/>
        </w:tabs>
        <w:spacing w:line="276" w:lineRule="auto"/>
        <w:jc w:val="both"/>
      </w:pPr>
      <w:r>
        <w:rPr>
          <w:rStyle w:val="Zkladntext2"/>
        </w:rPr>
        <w:t>Prodávající poskytuje na zboží záruku za jakost v délce 12 měsíců nebo 1500Mth</w:t>
      </w:r>
      <w:r>
        <w:rPr>
          <w:rStyle w:val="Zkladntext2"/>
        </w:rPr>
        <w:t xml:space="preserve"> dle toho, co nastane dříve. Podmínky záruky jsou stanoveny v záručním listu popřípadě v servisní knížce.</w:t>
      </w:r>
    </w:p>
    <w:p w:rsidR="00A57239" w:rsidRDefault="00ED38EF">
      <w:pPr>
        <w:pStyle w:val="Zkladntext20"/>
        <w:numPr>
          <w:ilvl w:val="1"/>
          <w:numId w:val="5"/>
        </w:numPr>
        <w:tabs>
          <w:tab w:val="left" w:pos="466"/>
        </w:tabs>
        <w:spacing w:line="276" w:lineRule="auto"/>
        <w:jc w:val="both"/>
      </w:pPr>
      <w:r>
        <w:rPr>
          <w:rStyle w:val="Zkladntext2"/>
        </w:rPr>
        <w:t>Prodávající dále poskytuje na zboží prodlouženou záruku v délce 12 měsíců nebo příslušný počet motohodin (podle toho co nastane dříve) uvedený v Záruč</w:t>
      </w:r>
      <w:r>
        <w:rPr>
          <w:rStyle w:val="Zkladntext2"/>
        </w:rPr>
        <w:t>ním listu - Stavební stroje, který se řídí zněním prodloužené záruky výrobce, tj. CASE PROTECTION PLAŇ (CASE PLÁN OCHRANY), a je přílohou Kupní smlouvy. Prodloužená záruka počíná běžet od ukončení základní záruky.</w:t>
      </w:r>
    </w:p>
    <w:p w:rsidR="00A57239" w:rsidRDefault="00ED38EF">
      <w:pPr>
        <w:pStyle w:val="Zkladntext20"/>
        <w:numPr>
          <w:ilvl w:val="1"/>
          <w:numId w:val="5"/>
        </w:numPr>
        <w:tabs>
          <w:tab w:val="left" w:pos="450"/>
        </w:tabs>
        <w:spacing w:line="276" w:lineRule="auto"/>
        <w:jc w:val="both"/>
      </w:pPr>
      <w:r>
        <w:rPr>
          <w:rStyle w:val="Zkladntext2"/>
        </w:rPr>
        <w:t>Záruka platí pouze na území České republik</w:t>
      </w:r>
      <w:r>
        <w:rPr>
          <w:rStyle w:val="Zkladntext2"/>
        </w:rPr>
        <w:t>y a Slovenské republiky.</w:t>
      </w:r>
    </w:p>
    <w:p w:rsidR="00A57239" w:rsidRDefault="00ED38EF">
      <w:pPr>
        <w:pStyle w:val="Nadpis40"/>
        <w:keepNext/>
        <w:keepLines/>
        <w:spacing w:after="40"/>
      </w:pPr>
      <w:bookmarkStart w:id="8" w:name="bookmark14"/>
      <w:r>
        <w:rPr>
          <w:rStyle w:val="Nadpis4"/>
          <w:b/>
          <w:bCs/>
        </w:rPr>
        <w:t>Článek 6 Společná a závěrečná ustanovení</w:t>
      </w:r>
      <w:bookmarkEnd w:id="8"/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40" w:line="276" w:lineRule="auto"/>
        <w:jc w:val="both"/>
      </w:pPr>
      <w:r>
        <w:rPr>
          <w:rStyle w:val="Zkladntext2"/>
        </w:rPr>
        <w:t>Smlouva nabývá platnosti a účinnosti dnem podpisu obou smluvních stran.</w:t>
      </w:r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40" w:line="276" w:lineRule="auto"/>
        <w:jc w:val="both"/>
      </w:pPr>
      <w:r>
        <w:rPr>
          <w:rStyle w:val="Zkladntext2"/>
        </w:rPr>
        <w:t>Tuto smlouvu lze měnit pouze na základě dohody, formou vzestupně číslovaných oboustranně podcpsaných dodatků, pod sank</w:t>
      </w:r>
      <w:r>
        <w:rPr>
          <w:rStyle w:val="Zkladntext2"/>
        </w:rPr>
        <w:t>cí neplatnosti. Tuto smlouvu není možné vypovědět s výjimkou možnosti odstoupení od smlouvy z důvodů v této smlouvě výslovně uvedených.</w:t>
      </w:r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40" w:line="276" w:lineRule="auto"/>
        <w:jc w:val="both"/>
      </w:pPr>
      <w:r>
        <w:rPr>
          <w:rStyle w:val="Zkladntext2"/>
        </w:rPr>
        <w:t>Tato smlouvaje sepsána ve dvou stejnopisech, z nichž každá ze stran obdrží po jednom. Každý stejnopis má platnost origin</w:t>
      </w:r>
      <w:r>
        <w:rPr>
          <w:rStyle w:val="Zkladntext2"/>
        </w:rPr>
        <w:t>álu.</w:t>
      </w:r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40" w:line="276" w:lineRule="auto"/>
        <w:jc w:val="both"/>
      </w:pPr>
      <w:r>
        <w:rPr>
          <w:rStyle w:val="Zkladntext2"/>
        </w:rPr>
        <w:t xml:space="preserve">Smluvní strany se dohodly, že právní úprava smlouvy obsažená v občanském zákoníku se na právní vztahy vyplývající z této smlouvy vztahuje pouze v případě, pokud tyto nejsou výslovně upraveny. Jestliže se ukáže určité ustanovení smlouvy neplatným nebo </w:t>
      </w:r>
      <w:r>
        <w:rPr>
          <w:rStyle w:val="Zkladntext2"/>
        </w:rPr>
        <w:t>neúčinným, nečiní to neplatnou nebo neúčinnou celou smlouvu, ale pouze takové ustanovení. V takovém případě se smluvní strany zavazují neúčinné a neplatné ustanoveni nahradit novým ustanovením, které je svým účelem a hospodářským významem co nejbližší usta</w:t>
      </w:r>
      <w:r>
        <w:rPr>
          <w:rStyle w:val="Zkladntext2"/>
        </w:rPr>
        <w:t>novení této smlouvy, jež má být nahrazeno.</w:t>
      </w:r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40" w:line="276" w:lineRule="auto"/>
        <w:jc w:val="both"/>
      </w:pPr>
      <w:r>
        <w:rPr>
          <w:rStyle w:val="Zkladntext2"/>
        </w:rPr>
        <w:t>V souladu se zněním § 2898 občanského zákoníku strany omezují právo na náhradu škody způsobené neúmyslně kupujícímu na maximálně deset procent z kupní ceny.</w:t>
      </w:r>
    </w:p>
    <w:p w:rsidR="00A57239" w:rsidRDefault="00ED38EF">
      <w:pPr>
        <w:pStyle w:val="Zkladntext20"/>
        <w:numPr>
          <w:ilvl w:val="1"/>
          <w:numId w:val="6"/>
        </w:numPr>
        <w:tabs>
          <w:tab w:val="left" w:pos="450"/>
        </w:tabs>
        <w:spacing w:after="0" w:line="283" w:lineRule="auto"/>
        <w:jc w:val="both"/>
        <w:sectPr w:rsidR="00A57239">
          <w:pgSz w:w="11900" w:h="16840"/>
          <w:pgMar w:top="2112" w:right="1434" w:bottom="1486" w:left="1605" w:header="1684" w:footer="1058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Účastníci kupní smlouvy pro</w:t>
      </w:r>
      <w:r>
        <w:rPr>
          <w:rStyle w:val="Zkladntext2"/>
        </w:rPr>
        <w:t>hlašují po jejím přečtení, že tuto smlouvu sepsali podle svojí vážné a svobodné vůle, souhlasí s ní nikoli v tísni nebo za nápadně nevýhodných podmínek a na důkaz toho opatřují smlouvu vlastnoručními podpisy osob oprávněných k podpisu této smlouvy.</w:t>
      </w:r>
    </w:p>
    <w:p w:rsidR="00A57239" w:rsidRDefault="00A57239">
      <w:pPr>
        <w:spacing w:before="9" w:after="9" w:line="240" w:lineRule="exact"/>
        <w:rPr>
          <w:sz w:val="19"/>
          <w:szCs w:val="19"/>
        </w:rPr>
      </w:pPr>
    </w:p>
    <w:p w:rsidR="00A57239" w:rsidRDefault="00A57239">
      <w:pPr>
        <w:spacing w:line="1" w:lineRule="exact"/>
        <w:sectPr w:rsidR="00A57239">
          <w:type w:val="continuous"/>
          <w:pgSz w:w="11900" w:h="16840"/>
          <w:pgMar w:top="2165" w:right="0" w:bottom="1241" w:left="0" w:header="0" w:footer="3" w:gutter="0"/>
          <w:cols w:space="720"/>
          <w:noEndnote/>
          <w:docGrid w:linePitch="360"/>
        </w:sectPr>
      </w:pPr>
    </w:p>
    <w:p w:rsidR="00A57239" w:rsidRDefault="00ED38EF">
      <w:pPr>
        <w:pStyle w:val="Nadpis50"/>
        <w:keepNext/>
        <w:keepLines/>
        <w:framePr w:w="3648" w:h="557" w:wrap="none" w:vAnchor="text" w:hAnchor="page" w:x="1625" w:y="21"/>
        <w:spacing w:after="0"/>
        <w:ind w:firstLine="680"/>
      </w:pPr>
      <w:bookmarkStart w:id="9" w:name="bookmark16"/>
      <w:r>
        <w:rPr>
          <w:rStyle w:val="Nadpis5"/>
          <w:b/>
          <w:bCs/>
          <w:color w:val="000000"/>
        </w:rPr>
        <w:lastRenderedPageBreak/>
        <w:t>A</w:t>
      </w:r>
      <w:bookmarkEnd w:id="9"/>
    </w:p>
    <w:p w:rsidR="00A57239" w:rsidRDefault="00A57239" w:rsidP="00F10792">
      <w:pPr>
        <w:pStyle w:val="Jin0"/>
        <w:spacing w:line="206" w:lineRule="auto"/>
      </w:pPr>
    </w:p>
    <w:sectPr w:rsidR="00A57239">
      <w:headerReference w:type="even" r:id="rId7"/>
      <w:headerReference w:type="default" r:id="rId8"/>
      <w:footerReference w:type="even" r:id="rId9"/>
      <w:footerReference w:type="default" r:id="rId10"/>
      <w:pgSz w:w="12471" w:h="16838"/>
      <w:pgMar w:top="492" w:right="1077" w:bottom="503" w:left="694" w:header="64" w:footer="75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EF" w:rsidRDefault="00ED38EF">
      <w:r>
        <w:separator/>
      </w:r>
    </w:p>
  </w:endnote>
  <w:endnote w:type="continuationSeparator" w:id="0">
    <w:p w:rsidR="00ED38EF" w:rsidRDefault="00ED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39" w:rsidRDefault="00A572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39" w:rsidRDefault="00A572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EF" w:rsidRDefault="00ED38EF"/>
  </w:footnote>
  <w:footnote w:type="continuationSeparator" w:id="0">
    <w:p w:rsidR="00ED38EF" w:rsidRDefault="00ED38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39" w:rsidRDefault="00A57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39" w:rsidRDefault="00A572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250"/>
    <w:multiLevelType w:val="multilevel"/>
    <w:tmpl w:val="5D0863C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34CA7"/>
    <w:multiLevelType w:val="multilevel"/>
    <w:tmpl w:val="EBCED5A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FC7"/>
    <w:multiLevelType w:val="multilevel"/>
    <w:tmpl w:val="CB86705C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6377C"/>
    <w:multiLevelType w:val="multilevel"/>
    <w:tmpl w:val="9B9E8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872E8"/>
    <w:multiLevelType w:val="multilevel"/>
    <w:tmpl w:val="0DEEA2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278B7"/>
    <w:multiLevelType w:val="multilevel"/>
    <w:tmpl w:val="92287A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02424"/>
    <w:multiLevelType w:val="multilevel"/>
    <w:tmpl w:val="4CD629F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A81BE9"/>
    <w:multiLevelType w:val="multilevel"/>
    <w:tmpl w:val="BE04506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B65CFC"/>
    <w:multiLevelType w:val="multilevel"/>
    <w:tmpl w:val="F48AED42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6D2DDF"/>
    <w:multiLevelType w:val="multilevel"/>
    <w:tmpl w:val="EC7CF5F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E5294F"/>
    <w:multiLevelType w:val="multilevel"/>
    <w:tmpl w:val="F0128D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127D3"/>
    <w:multiLevelType w:val="multilevel"/>
    <w:tmpl w:val="0066C8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F67D0E"/>
    <w:multiLevelType w:val="multilevel"/>
    <w:tmpl w:val="BFBE66E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057D54"/>
    <w:multiLevelType w:val="multilevel"/>
    <w:tmpl w:val="B5AAB9C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C41BC4"/>
    <w:multiLevelType w:val="multilevel"/>
    <w:tmpl w:val="A720F2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EA2B57"/>
    <w:multiLevelType w:val="multilevel"/>
    <w:tmpl w:val="A440DA7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E979C3"/>
    <w:multiLevelType w:val="multilevel"/>
    <w:tmpl w:val="0FBAD088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141204"/>
    <w:multiLevelType w:val="multilevel"/>
    <w:tmpl w:val="C732827E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4D6885"/>
    <w:multiLevelType w:val="multilevel"/>
    <w:tmpl w:val="E2B4AD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A6A95"/>
    <w:multiLevelType w:val="multilevel"/>
    <w:tmpl w:val="30CA1B2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8"/>
  </w:num>
  <w:num w:numId="12">
    <w:abstractNumId w:val="16"/>
  </w:num>
  <w:num w:numId="13">
    <w:abstractNumId w:val="12"/>
  </w:num>
  <w:num w:numId="14">
    <w:abstractNumId w:val="4"/>
  </w:num>
  <w:num w:numId="15">
    <w:abstractNumId w:val="17"/>
  </w:num>
  <w:num w:numId="16">
    <w:abstractNumId w:val="10"/>
  </w:num>
  <w:num w:numId="17">
    <w:abstractNumId w:val="2"/>
  </w:num>
  <w:num w:numId="18">
    <w:abstractNumId w:val="1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39"/>
    <w:rsid w:val="00A57239"/>
    <w:rsid w:val="00ED38EF"/>
    <w:rsid w:val="00F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F9F7-97E8-4410-9941-19E4AA32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">
    <w:name w:val="Obsah_"/>
    <w:basedOn w:val="Standardnpsmoodstavce"/>
    <w:link w:val="Obsah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90"/>
      <w:szCs w:val="9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color w:val="333333"/>
      <w:sz w:val="84"/>
      <w:szCs w:val="8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38"/>
      <w:szCs w:val="38"/>
      <w:u w:val="none"/>
    </w:rPr>
  </w:style>
  <w:style w:type="paragraph" w:customStyle="1" w:styleId="Jin0">
    <w:name w:val="Jiné"/>
    <w:basedOn w:val="Normln"/>
    <w:link w:val="Jin"/>
    <w:pPr>
      <w:spacing w:line="307" w:lineRule="auto"/>
    </w:pPr>
    <w:rPr>
      <w:rFonts w:ascii="Arial" w:eastAsia="Arial" w:hAnsi="Arial" w:cs="Arial"/>
      <w:color w:val="333333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after="180" w:line="26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6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pacing w:line="341" w:lineRule="auto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line="307" w:lineRule="auto"/>
    </w:pPr>
    <w:rPr>
      <w:rFonts w:ascii="Arial" w:eastAsia="Arial" w:hAnsi="Arial" w:cs="Arial"/>
      <w:color w:val="333333"/>
      <w:sz w:val="18"/>
      <w:szCs w:val="18"/>
    </w:rPr>
  </w:style>
  <w:style w:type="paragraph" w:customStyle="1" w:styleId="Nadpis50">
    <w:name w:val="Nadpis #5"/>
    <w:basedOn w:val="Normln"/>
    <w:link w:val="Nadpis5"/>
    <w:pPr>
      <w:spacing w:after="60"/>
      <w:outlineLvl w:val="4"/>
    </w:pPr>
    <w:rPr>
      <w:rFonts w:ascii="Arial" w:eastAsia="Arial" w:hAnsi="Arial" w:cs="Arial"/>
      <w:b/>
      <w:bCs/>
      <w:color w:val="333333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sz w:val="22"/>
      <w:szCs w:val="22"/>
    </w:rPr>
  </w:style>
  <w:style w:type="paragraph" w:customStyle="1" w:styleId="Obsah0">
    <w:name w:val="Obsah"/>
    <w:basedOn w:val="Normln"/>
    <w:link w:val="Obsah"/>
    <w:rPr>
      <w:rFonts w:ascii="Tahoma" w:eastAsia="Tahoma" w:hAnsi="Tahoma" w:cs="Tahoma"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i/>
      <w:iCs/>
      <w:sz w:val="90"/>
      <w:szCs w:val="9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i/>
      <w:iCs/>
      <w:color w:val="333333"/>
      <w:sz w:val="84"/>
      <w:szCs w:val="84"/>
    </w:rPr>
  </w:style>
  <w:style w:type="paragraph" w:customStyle="1" w:styleId="Nadpis30">
    <w:name w:val="Nadpis #3"/>
    <w:basedOn w:val="Normln"/>
    <w:link w:val="Nadpis3"/>
    <w:pPr>
      <w:spacing w:after="250"/>
      <w:outlineLvl w:val="2"/>
    </w:pPr>
    <w:rPr>
      <w:rFonts w:ascii="Arial" w:eastAsia="Arial" w:hAnsi="Arial" w:cs="Arial"/>
      <w:b/>
      <w:bCs/>
      <w:color w:val="333333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1066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Ondřej Šabata</cp:lastModifiedBy>
  <cp:revision>2</cp:revision>
  <dcterms:created xsi:type="dcterms:W3CDTF">2022-11-04T09:43:00Z</dcterms:created>
  <dcterms:modified xsi:type="dcterms:W3CDTF">2022-11-04T09:57:00Z</dcterms:modified>
</cp:coreProperties>
</file>