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780" w:right="3020" w:hanging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OB-2022-00002051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432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60" w:line="276" w:lineRule="auto"/>
        <w:ind w:left="0" w:right="47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OSEVA PRO s.r.o., Jankovcova 938/18a, Holešovice, Praha 7, 170000</w:t>
      </w:r>
    </w:p>
    <w:tbl>
      <w:tblPr>
        <w:tblOverlap w:val="never"/>
        <w:jc w:val="center"/>
        <w:tblLayout w:type="fixed"/>
      </w:tblPr>
      <w:tblGrid>
        <w:gridCol w:w="3120"/>
        <w:gridCol w:w="1853"/>
        <w:gridCol w:w="2952"/>
        <w:gridCol w:w="1507"/>
      </w:tblGrid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96" w:val="left"/>
              </w:tabs>
              <w:bidi w:val="0"/>
              <w:spacing w:before="80" w:after="0" w:line="240" w:lineRule="auto"/>
              <w:ind w:left="28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plochy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prochy na výsev travních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koberců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33 700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autodoprava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substrátu pro přípravu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42 200</w:t>
            </w:r>
          </w:p>
        </w:tc>
      </w:tr>
      <w:tr>
        <w:trPr>
          <w:trHeight w:val="389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75900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5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2.11.2022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8"/>
                <w:szCs w:val="48"/>
                <w:shd w:val="clear" w:color="auto" w:fill="auto"/>
                <w:lang w:val="cs-CZ" w:eastAsia="cs-CZ" w:bidi="cs-CZ"/>
              </w:rPr>
              <w:t>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Fakturujte: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Výzkumný ústav rostlinné výroby v.vii. Drnovská 507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161 06 Praha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 CZ 00027006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Bank.spojení: 25635061/0100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046" w:left="1162" w:right="1306" w:bottom="2046" w:header="1618" w:footer="161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Jiné_"/>
    <w:basedOn w:val="DefaultParagraphFont"/>
    <w:link w:val="Style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312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after="530" w:line="317" w:lineRule="auto"/>
      <w:ind w:left="2390" w:right="3860" w:hanging="2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