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Century Gothic" w:hAnsi="Century Gothic" w:cs="Times New Roman"/>
          <w:b/>
          <w:bCs/>
          <w:color w:val="000000" w:themeColor="text1"/>
          <w:sz w:val="3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32"/>
          <w:szCs w:val="22"/>
        </w:rPr>
        <w:t>SMLOUVA O DÍLO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Century Gothic" w:hAnsi="Century Gothic" w:cs="Times New Roman"/>
          <w:bCs/>
          <w:color w:val="000000" w:themeColor="text1"/>
          <w:sz w:val="32"/>
          <w:szCs w:val="22"/>
        </w:rPr>
      </w:pPr>
      <w:r w:rsidRPr="00F474BF">
        <w:rPr>
          <w:rFonts w:ascii="Century Gothic" w:hAnsi="Century Gothic" w:cs="Times New Roman"/>
          <w:bCs/>
          <w:color w:val="000000" w:themeColor="text1"/>
          <w:sz w:val="32"/>
          <w:szCs w:val="22"/>
        </w:rPr>
        <w:t xml:space="preserve">č. </w:t>
      </w:r>
      <w:r w:rsidRPr="00F474BF">
        <w:rPr>
          <w:rFonts w:ascii="Century Gothic" w:hAnsi="Century Gothic" w:cs="Times New Roman"/>
          <w:b/>
          <w:bCs/>
          <w:color w:val="000000" w:themeColor="text1"/>
          <w:sz w:val="32"/>
          <w:szCs w:val="22"/>
        </w:rPr>
        <w:t>278/00069850/2022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sz w:val="20"/>
          <w:szCs w:val="22"/>
        </w:rPr>
        <w:t>uzavřena podle § 2586 a násl. Zák. č. 89/2012 Sb., občanský zákoník, v platném znění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br/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1"/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t>Smluvní strany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1"/>
        <w:rPr>
          <w:rFonts w:ascii="Century Gothic" w:hAnsi="Century Gothic" w:cs="Times New Roman"/>
          <w:b/>
          <w:bCs/>
          <w:color w:val="000000" w:themeColor="text1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Cs w:val="22"/>
        </w:rPr>
        <w:t>Středočeské muzeum v Roztokách u Prahy, příspěvková organizace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2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se sídlem: Zámek 1, 252 63 Roztoky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8" w:hanging="5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zapsána v obchodním rejstříku vedeném Městským soudem v Praze v oddíle Pr, vložka 1182 zastoupená: PhDr. Zitou Suchánkovou, ředitelkou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7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IČO: 00069850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DIČ: CZ00069850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0"/>
        <w:rPr>
          <w:rFonts w:ascii="Century Gothic" w:hAnsi="Century Gothic" w:cs="Times New Roman"/>
          <w:bCs/>
          <w:i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 xml:space="preserve">dále jen </w:t>
      </w:r>
      <w:r w:rsidRPr="00F474BF">
        <w:rPr>
          <w:rFonts w:ascii="Century Gothic" w:hAnsi="Century Gothic" w:cs="Times New Roman"/>
          <w:b/>
          <w:bCs/>
          <w:i/>
          <w:iCs/>
          <w:color w:val="000000" w:themeColor="text1"/>
          <w:sz w:val="22"/>
          <w:szCs w:val="22"/>
        </w:rPr>
        <w:t>,,objednatel“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0"/>
        <w:rPr>
          <w:rFonts w:ascii="Century Gothic" w:hAnsi="Century Gothic" w:cs="Times New Roman"/>
          <w:bCs/>
          <w:i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3"/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t>a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2"/>
        <w:rPr>
          <w:rFonts w:ascii="Century Gothic" w:hAnsi="Century Gothic" w:cs="Times New Roman"/>
          <w:b/>
          <w:color w:val="000000" w:themeColor="text1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Cs w:val="22"/>
        </w:rPr>
        <w:t>Petr Liška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32"/>
        <w:rPr>
          <w:rFonts w:ascii="Century Gothic" w:hAnsi="Century Gothic" w:cs="Times New Roman"/>
          <w:b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nakladatelství a vydavatelství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1" w:hanging="3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se sídlem: Školní nám. 262, 252 63 Roztoky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br/>
        <w:t xml:space="preserve">bank. spojení: </w:t>
      </w:r>
      <w:r w:rsidR="0069158C">
        <w:rPr>
          <w:rFonts w:ascii="Century Gothic" w:hAnsi="Century Gothic" w:cs="Times New Roman"/>
          <w:sz w:val="22"/>
          <w:szCs w:val="22"/>
        </w:rPr>
        <w:t>xxxxxxxxxxxxxxxxxxxx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br/>
        <w:t xml:space="preserve">IČO: </w:t>
      </w:r>
      <w:r w:rsidRPr="00F474BF">
        <w:rPr>
          <w:rFonts w:ascii="Century Gothic" w:hAnsi="Century Gothic" w:cs="Times New Roman"/>
          <w:sz w:val="22"/>
          <w:szCs w:val="22"/>
        </w:rPr>
        <w:t>10182055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 xml:space="preserve"> 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0"/>
        <w:rPr>
          <w:rFonts w:ascii="Century Gothic" w:hAnsi="Century Gothic" w:cs="Times New Roman"/>
          <w:bCs/>
          <w:i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 xml:space="preserve">dále jen </w:t>
      </w:r>
      <w:r w:rsidRPr="00F474BF">
        <w:rPr>
          <w:rFonts w:ascii="Century Gothic" w:hAnsi="Century Gothic" w:cs="Times New Roman"/>
          <w:b/>
          <w:bCs/>
          <w:i/>
          <w:iCs/>
          <w:color w:val="000000" w:themeColor="text1"/>
          <w:sz w:val="22"/>
          <w:szCs w:val="22"/>
        </w:rPr>
        <w:t>,,zhotovitel“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i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i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Century Gothic" w:hAnsi="Century Gothic" w:cs="Times New Roman"/>
          <w:bCs/>
          <w:iCs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Century Gothic" w:hAnsi="Century Gothic" w:cs="Times New Roman"/>
          <w:b/>
          <w:bCs/>
          <w:color w:val="000000" w:themeColor="text1"/>
          <w:w w:val="115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Century Gothic" w:hAnsi="Century Gothic" w:cs="Times New Roman"/>
          <w:b/>
          <w:bCs/>
          <w:color w:val="000000" w:themeColor="text1"/>
          <w:w w:val="105"/>
        </w:rPr>
      </w:pPr>
      <w:r>
        <w:rPr>
          <w:rFonts w:ascii="Century Gothic" w:hAnsi="Century Gothic" w:cs="Times New Roman"/>
          <w:b/>
          <w:bCs/>
          <w:color w:val="000000" w:themeColor="text1"/>
          <w:w w:val="105"/>
        </w:rPr>
        <w:t xml:space="preserve">I. </w:t>
      </w:r>
      <w:r w:rsidRPr="00F474BF">
        <w:rPr>
          <w:rFonts w:ascii="Century Gothic" w:hAnsi="Century Gothic" w:cs="Times New Roman"/>
          <w:b/>
          <w:bCs/>
          <w:color w:val="000000" w:themeColor="text1"/>
          <w:w w:val="105"/>
        </w:rPr>
        <w:t>Úvodní ustanovení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Century Gothic" w:hAnsi="Century Gothic" w:cs="Times New Roman"/>
          <w:bCs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right="109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>Dnem podpisu smlouvy se shora uvedené smluvní strany ve vzájemné dohodly na následujícím textu Smlouvy o dílo.</w:t>
      </w:r>
    </w:p>
    <w:p w:rsidR="00F474BF" w:rsidRDefault="00F474BF" w:rsidP="00F474BF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Century Gothic" w:hAnsi="Century Gothic" w:cs="Times New Roman"/>
          <w:bCs/>
          <w:color w:val="000000" w:themeColor="text1"/>
          <w:w w:val="105"/>
          <w:szCs w:val="22"/>
        </w:rPr>
      </w:pPr>
      <w:r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t xml:space="preserve">II. </w:t>
      </w:r>
      <w:r w:rsidRPr="00F474BF"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t>Předmět díla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Century Gothic" w:hAnsi="Century Gothic" w:cs="Times New Roman"/>
          <w:bCs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pStyle w:val="Odstavecseseznamem"/>
        <w:tabs>
          <w:tab w:val="left" w:pos="598"/>
        </w:tabs>
        <w:kinsoku w:val="0"/>
        <w:overflowPunct w:val="0"/>
        <w:ind w:left="567" w:right="107" w:hanging="567"/>
        <w:rPr>
          <w:rFonts w:ascii="Century Gothic" w:hAnsi="Century Gothic"/>
          <w:sz w:val="22"/>
          <w:szCs w:val="22"/>
          <w:lang w:val="cs-CZ"/>
        </w:rPr>
      </w:pPr>
      <w:r w:rsidRPr="00F474BF">
        <w:rPr>
          <w:rFonts w:ascii="Century Gothic" w:hAnsi="Century Gothic"/>
          <w:b/>
          <w:color w:val="000000" w:themeColor="text1"/>
          <w:w w:val="105"/>
          <w:sz w:val="22"/>
          <w:szCs w:val="22"/>
          <w:lang w:val="cs-CZ"/>
        </w:rPr>
        <w:t>2.1.</w:t>
      </w:r>
      <w:r w:rsidRPr="00F474BF">
        <w:rPr>
          <w:rFonts w:ascii="Century Gothic" w:hAnsi="Century Gothic"/>
          <w:color w:val="000000" w:themeColor="text1"/>
          <w:w w:val="105"/>
          <w:sz w:val="22"/>
          <w:szCs w:val="22"/>
          <w:lang w:val="cs-CZ"/>
        </w:rPr>
        <w:tab/>
      </w:r>
      <w:r w:rsidRPr="00F474BF">
        <w:rPr>
          <w:rFonts w:ascii="Century Gothic" w:hAnsi="Century Gothic"/>
          <w:sz w:val="22"/>
          <w:szCs w:val="22"/>
          <w:lang w:val="cs-CZ"/>
        </w:rPr>
        <w:t xml:space="preserve">Zhotovitel se zavazuje k provedení díla – </w:t>
      </w:r>
      <w:r w:rsidRPr="00F474BF">
        <w:rPr>
          <w:rFonts w:ascii="Century Gothic" w:hAnsi="Century Gothic"/>
          <w:b/>
          <w:sz w:val="22"/>
          <w:szCs w:val="22"/>
          <w:lang w:val="cs-CZ"/>
        </w:rPr>
        <w:t>výroba publikace - sborníku Muzeum a současnost</w:t>
      </w:r>
      <w:r w:rsidRPr="00F474BF">
        <w:rPr>
          <w:rFonts w:ascii="Century Gothic" w:hAnsi="Century Gothic"/>
          <w:sz w:val="22"/>
          <w:szCs w:val="22"/>
          <w:lang w:val="cs-CZ"/>
        </w:rPr>
        <w:t>. Středočeský vlastivědný sborník, řada společenskovědní, č. 40, včetně grafické úpravy, předtiskové přípravy, úpravy obrazových a tiskových dat a provedení korektur podle odsouhlasené cenové nabídky, kterou vypracoval zhotovitel.</w:t>
      </w:r>
    </w:p>
    <w:p w:rsidR="00F474BF" w:rsidRPr="00F474BF" w:rsidRDefault="00F474BF" w:rsidP="00F474BF">
      <w:pPr>
        <w:pStyle w:val="Odstavecseseznamem"/>
        <w:tabs>
          <w:tab w:val="left" w:pos="598"/>
        </w:tabs>
        <w:kinsoku w:val="0"/>
        <w:overflowPunct w:val="0"/>
        <w:ind w:left="567" w:right="107" w:hanging="567"/>
        <w:rPr>
          <w:rFonts w:ascii="Century Gothic" w:hAnsi="Century Gothic"/>
          <w:sz w:val="22"/>
          <w:szCs w:val="22"/>
          <w:lang w:val="cs-CZ"/>
        </w:rPr>
      </w:pPr>
    </w:p>
    <w:p w:rsidR="00F474BF" w:rsidRPr="00F474BF" w:rsidRDefault="00F474BF" w:rsidP="00F474BF">
      <w:pPr>
        <w:tabs>
          <w:tab w:val="left" w:pos="598"/>
        </w:tabs>
        <w:kinsoku w:val="0"/>
        <w:overflowPunct w:val="0"/>
        <w:ind w:left="567" w:right="107" w:hanging="567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b/>
          <w:sz w:val="22"/>
          <w:szCs w:val="22"/>
        </w:rPr>
        <w:t>2.2</w:t>
      </w:r>
      <w:r w:rsidRPr="00F474BF">
        <w:rPr>
          <w:rFonts w:ascii="Century Gothic" w:hAnsi="Century Gothic" w:cs="Times New Roman"/>
          <w:b/>
          <w:i/>
          <w:sz w:val="22"/>
          <w:szCs w:val="22"/>
        </w:rPr>
        <w:t>.</w:t>
      </w:r>
      <w:r w:rsidRPr="00F474BF">
        <w:rPr>
          <w:rFonts w:ascii="Century Gothic" w:hAnsi="Century Gothic" w:cs="Times New Roman"/>
          <w:sz w:val="22"/>
          <w:szCs w:val="22"/>
        </w:rPr>
        <w:t xml:space="preserve">   </w:t>
      </w:r>
      <w:r w:rsidRPr="00F474BF">
        <w:rPr>
          <w:rFonts w:ascii="Century Gothic" w:hAnsi="Century Gothic" w:cs="Times New Roman"/>
          <w:i/>
          <w:sz w:val="22"/>
          <w:szCs w:val="22"/>
        </w:rPr>
        <w:t xml:space="preserve"> </w:t>
      </w: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>Zhotovitel provede dílo na základě platného živnostenského oprávnění.</w:t>
      </w:r>
    </w:p>
    <w:p w:rsidR="00F474BF" w:rsidRDefault="00F474BF" w:rsidP="00F474BF">
      <w:pPr>
        <w:tabs>
          <w:tab w:val="left" w:pos="598"/>
        </w:tabs>
        <w:kinsoku w:val="0"/>
        <w:overflowPunct w:val="0"/>
        <w:ind w:right="10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tabs>
          <w:tab w:val="left" w:pos="598"/>
        </w:tabs>
        <w:kinsoku w:val="0"/>
        <w:overflowPunct w:val="0"/>
        <w:ind w:right="10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Cs/>
          <w:color w:val="000000" w:themeColor="text1"/>
          <w:w w:val="105"/>
          <w:szCs w:val="22"/>
        </w:rPr>
      </w:pPr>
      <w:r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t xml:space="preserve">III. </w:t>
      </w:r>
      <w:r w:rsidRPr="00F474BF"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t>Doba zhotovení díla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right="349" w:hanging="567"/>
        <w:jc w:val="both"/>
        <w:rPr>
          <w:rFonts w:ascii="Century Gothic" w:hAnsi="Century Gothic" w:cs="Times New Roman"/>
          <w:bCs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ind w:left="567" w:right="10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w w:val="105"/>
          <w:sz w:val="22"/>
          <w:szCs w:val="22"/>
        </w:rPr>
        <w:t>3.1.</w:t>
      </w: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ab/>
        <w:t>Zahájení prací v průběhu září 2022.</w:t>
      </w:r>
    </w:p>
    <w:p w:rsidR="00F474BF" w:rsidRPr="00F474BF" w:rsidRDefault="00F474BF" w:rsidP="00F474BF">
      <w:pPr>
        <w:kinsoku w:val="0"/>
        <w:overflowPunct w:val="0"/>
        <w:ind w:left="567" w:right="10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ind w:left="567" w:right="10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w w:val="105"/>
          <w:sz w:val="22"/>
          <w:szCs w:val="22"/>
        </w:rPr>
        <w:t>3.2.</w:t>
      </w: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ab/>
        <w:t xml:space="preserve">Zhotovitel provede dílo specifikované v bodě č. 2.1. nejpozději do 30. 11. 2022.  </w:t>
      </w:r>
    </w:p>
    <w:p w:rsidR="00F474BF" w:rsidRPr="00F474BF" w:rsidRDefault="00F474BF" w:rsidP="00F474BF">
      <w:pPr>
        <w:kinsoku w:val="0"/>
        <w:overflowPunct w:val="0"/>
        <w:ind w:left="567" w:right="107" w:hanging="567"/>
        <w:jc w:val="both"/>
        <w:rPr>
          <w:rFonts w:ascii="Century Gothic" w:hAnsi="Century Gothic" w:cs="Times New Roman"/>
          <w:b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ind w:left="567" w:right="10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w w:val="105"/>
          <w:sz w:val="22"/>
          <w:szCs w:val="22"/>
        </w:rPr>
        <w:lastRenderedPageBreak/>
        <w:t>3.3.</w:t>
      </w: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ab/>
        <w:t>Objednatel dodá zhotoviteli veškeré potřebné podklady po vzájemné dohodě s dostatečným předstihem.</w:t>
      </w:r>
    </w:p>
    <w:p w:rsidR="00F474BF" w:rsidRPr="00F474BF" w:rsidRDefault="00F474BF" w:rsidP="00F474BF">
      <w:pPr>
        <w:kinsoku w:val="0"/>
        <w:overflowPunct w:val="0"/>
        <w:ind w:left="567" w:right="10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/>
          <w:bCs/>
          <w:color w:val="000000" w:themeColor="text1"/>
          <w:w w:val="110"/>
          <w:szCs w:val="22"/>
        </w:rPr>
      </w:pPr>
      <w:r>
        <w:rPr>
          <w:rFonts w:ascii="Century Gothic" w:hAnsi="Century Gothic" w:cs="Times New Roman"/>
          <w:b/>
          <w:bCs/>
          <w:color w:val="000000" w:themeColor="text1"/>
          <w:w w:val="110"/>
          <w:szCs w:val="22"/>
        </w:rPr>
        <w:t xml:space="preserve">IV. </w:t>
      </w:r>
      <w:r w:rsidRPr="00F474BF">
        <w:rPr>
          <w:rFonts w:ascii="Century Gothic" w:hAnsi="Century Gothic" w:cs="Times New Roman"/>
          <w:b/>
          <w:bCs/>
          <w:color w:val="000000" w:themeColor="text1"/>
          <w:w w:val="110"/>
          <w:szCs w:val="22"/>
        </w:rPr>
        <w:t>Splnění díla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4.1.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Zhotovitel splní svou povinnost provést dílo řádně a kvalitně tak, že splní řádně veškeré své povinnosti s tím, že řádným splněním se rozumí řádné zhotovení předmětu díla podle platných právních předpisů a technických norem, jakož i ujednání v rozsahu umožňujícím řádnou a úplnou realizaci předmětu díla.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4.2.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Objednatel je povinen zajistit zhotoviteli součinnost.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/>
          <w:bCs/>
          <w:color w:val="000000" w:themeColor="text1"/>
          <w:w w:val="110"/>
          <w:szCs w:val="22"/>
        </w:rPr>
      </w:pPr>
      <w:r>
        <w:rPr>
          <w:rFonts w:ascii="Century Gothic" w:hAnsi="Century Gothic" w:cs="Times New Roman"/>
          <w:b/>
          <w:bCs/>
          <w:color w:val="000000" w:themeColor="text1"/>
          <w:w w:val="110"/>
          <w:szCs w:val="22"/>
        </w:rPr>
        <w:t xml:space="preserve">V. </w:t>
      </w:r>
      <w:r w:rsidRPr="00F474BF">
        <w:rPr>
          <w:rFonts w:ascii="Century Gothic" w:hAnsi="Century Gothic" w:cs="Times New Roman"/>
          <w:b/>
          <w:bCs/>
          <w:color w:val="000000" w:themeColor="text1"/>
          <w:w w:val="110"/>
          <w:szCs w:val="22"/>
        </w:rPr>
        <w:t>Cena díla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5.1.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 xml:space="preserve">Cena díla je stanovena v celkové výši </w:t>
      </w: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68</w:t>
      </w: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 </w:t>
      </w: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802</w:t>
      </w: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,- Kč.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5.2.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Cena za zhotovení díla je stanovena jako maximální a konečná, dle cenové nabídky</w:t>
      </w:r>
      <w:r w:rsidR="0069158C">
        <w:rPr>
          <w:rFonts w:ascii="Century Gothic" w:hAnsi="Century Gothic" w:cs="Times New Roman"/>
          <w:color w:val="000000" w:themeColor="text1"/>
          <w:sz w:val="22"/>
          <w:szCs w:val="22"/>
        </w:rPr>
        <w:t xml:space="preserve"> 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zhotovitele.</w:t>
      </w:r>
      <w:r w:rsidR="0069158C">
        <w:rPr>
          <w:rFonts w:ascii="Century Gothic" w:hAnsi="Century Gothic" w:cs="Times New Roman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Cena nesmí být navýšena bez písemného souhlasu objednatele.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5.3.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Práce nad rámec předmětu plnění této smlouvy vyžadují předchozí dohodu smluvních stran formou písemného dodatku k této smlouvě.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color w:val="000000" w:themeColor="text1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</w:pPr>
      <w:r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t xml:space="preserve">VI. </w:t>
      </w:r>
      <w:r w:rsidRPr="00F474BF"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t>Platební podmínky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6.1.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Zálohové platby na dílo nejsou poskytovány.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6.2.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Vyúčtování ceny díla formou daňového(ých) dokladu(ů) – faktur(y) bude uskutečněno po předání a převzetí jednotlivých fází díla (první fáze – grafická příprava a předtisková úprava publikace, druhá fáze – tisk a výroba publikace).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6.3.</w:t>
      </w: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Splatnost faktury se sjednává na 14 dnů od doručení objednateli. Za okamžik uhrazení faktury se považuje datum, kdy byla předmětná částka odepsána z účtu objednatele. Při nedodržení této splatnosti je zhotovitel oprávněn vyúčtovat objednateli úrok z prodlení ve výši 0,05% z fakturované částky za každý den prodlení.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6.4.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Objednatel má právo podmínit úhradu faktury odstraněním vad nedodělků dosavadního plnění. Podmínky úhrady může objednatel uplatnit jak před vystavením faktury, tak poté.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6.5.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Objednatel je oprávněn pozastavit úhradu platby ve prospěch zhotovitele, pokud je zhotovitel v prodlení s plněním závazku dle této smlouvy, kterého se platba týká.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</w:pPr>
    </w:p>
    <w:p w:rsid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</w:pPr>
    </w:p>
    <w:p w:rsid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</w:pPr>
      <w:r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lastRenderedPageBreak/>
        <w:t xml:space="preserve">VII. </w:t>
      </w:r>
      <w:r w:rsidRPr="00F474BF">
        <w:rPr>
          <w:rFonts w:ascii="Century Gothic" w:hAnsi="Century Gothic" w:cs="Times New Roman"/>
          <w:b/>
          <w:bCs/>
          <w:color w:val="000000" w:themeColor="text1"/>
          <w:w w:val="105"/>
          <w:szCs w:val="22"/>
        </w:rPr>
        <w:t>Záruky a reklamace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w w:val="105"/>
          <w:sz w:val="22"/>
          <w:szCs w:val="22"/>
        </w:rPr>
        <w:t>7.1.</w:t>
      </w: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ab/>
        <w:t>S termínem dokončení předá zhotovitel objednateli dílo fyzickým dodáním publikace uvedené v bodu 2.1. ve stanoveném počtu 200 ks, o kterém dostane písemné potvrzení. Důvodem nepřevzetí díla jsou jakékoli vady a nedodělky zjištěné při předání díla.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right="190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Century Gothic" w:hAnsi="Century Gothic" w:cs="Times New Roman"/>
          <w:b/>
          <w:bCs/>
          <w:color w:val="000000" w:themeColor="text1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Cs w:val="22"/>
        </w:rPr>
        <w:br/>
      </w:r>
      <w:r>
        <w:rPr>
          <w:rFonts w:ascii="Century Gothic" w:hAnsi="Century Gothic" w:cs="Times New Roman"/>
          <w:b/>
          <w:bCs/>
          <w:color w:val="000000" w:themeColor="text1"/>
          <w:szCs w:val="22"/>
        </w:rPr>
        <w:t xml:space="preserve">VIII. </w:t>
      </w:r>
      <w:r w:rsidRPr="00F474BF">
        <w:rPr>
          <w:rFonts w:ascii="Century Gothic" w:hAnsi="Century Gothic" w:cs="Times New Roman"/>
          <w:b/>
          <w:bCs/>
          <w:color w:val="000000" w:themeColor="text1"/>
          <w:szCs w:val="22"/>
        </w:rPr>
        <w:t>Odstoupení od smlouvy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w w:val="105"/>
          <w:sz w:val="22"/>
          <w:szCs w:val="22"/>
        </w:rPr>
        <w:t>8.1.</w:t>
      </w: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ab/>
        <w:t>Objednatel může odstoupit od smlouvy, poruší-li zhotovitel podstatným způsobem své smluvní povinnosti a zhotovitel byl na tuto skutečnost prokazatelnou formou upozorněn. Zhotoviteli budou uhrazeny účelně vynaložené náklady prokazatelně spojené s dosud provedenými pracemi mimo nákladů spojených s odstoupením od smlouvy. Současně objednateli vzniká nárok na úhradu nákladů vynaložených na dokončení díla uvedeného v čl. II. této smlouvy a na náhradu ztrát vzniklých prodloužením termínu jejího dokončení ve stejném rozsahu.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8.2.</w:t>
      </w: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>Podstatným porušením této smlouvy ze strany zhotovitele se rozumí zejména nesplnění smluvních termínů podle této smlouvy nebo vyhlášení konkursu na zhotovitele.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sz w:val="22"/>
          <w:szCs w:val="22"/>
        </w:rPr>
        <w:t>8.3.</w:t>
      </w:r>
      <w:r w:rsidRPr="00F474BF">
        <w:rPr>
          <w:rFonts w:ascii="Century Gothic" w:hAnsi="Century Gothic" w:cs="Times New Roman"/>
          <w:color w:val="000000" w:themeColor="text1"/>
          <w:sz w:val="22"/>
          <w:szCs w:val="22"/>
        </w:rPr>
        <w:tab/>
        <w:t>Stanoví-li oprávněná strana pro dodatečné plnění lhůtu, vzniká jí právo odstoupit od smlouvy po marném uplynutí této lhůty. Jestliže však strana, která je v prodlení, písemně prohlásí, že svůj závazek nesplní, může oprávněná strana odstoupit od smlouvy před uzavřením.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center"/>
        <w:rPr>
          <w:rFonts w:ascii="Century Gothic" w:hAnsi="Century Gothic" w:cs="Times New Roman"/>
          <w:bCs/>
          <w:color w:val="000000" w:themeColor="text1"/>
          <w:szCs w:val="22"/>
        </w:rPr>
      </w:pPr>
      <w:r>
        <w:rPr>
          <w:rFonts w:ascii="Century Gothic" w:hAnsi="Century Gothic" w:cs="Times New Roman"/>
          <w:b/>
          <w:bCs/>
          <w:color w:val="000000" w:themeColor="text1"/>
          <w:szCs w:val="22"/>
        </w:rPr>
        <w:t xml:space="preserve">IX. </w:t>
      </w:r>
      <w:r w:rsidRPr="00F474BF">
        <w:rPr>
          <w:rFonts w:ascii="Century Gothic" w:hAnsi="Century Gothic" w:cs="Times New Roman"/>
          <w:b/>
          <w:bCs/>
          <w:color w:val="000000" w:themeColor="text1"/>
          <w:szCs w:val="22"/>
        </w:rPr>
        <w:t>Smluvní pokuty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567" w:right="146" w:hanging="567"/>
        <w:jc w:val="both"/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</w:pPr>
      <w:r w:rsidRPr="00F474BF">
        <w:rPr>
          <w:rFonts w:ascii="Century Gothic" w:hAnsi="Century Gothic" w:cs="Times New Roman"/>
          <w:b/>
          <w:color w:val="000000" w:themeColor="text1"/>
          <w:w w:val="105"/>
          <w:sz w:val="22"/>
          <w:szCs w:val="22"/>
        </w:rPr>
        <w:t>9.1.</w:t>
      </w:r>
      <w:r w:rsidRPr="00F474BF">
        <w:rPr>
          <w:rFonts w:ascii="Century Gothic" w:hAnsi="Century Gothic" w:cs="Times New Roman"/>
          <w:color w:val="000000" w:themeColor="text1"/>
          <w:w w:val="105"/>
          <w:sz w:val="22"/>
          <w:szCs w:val="22"/>
        </w:rPr>
        <w:tab/>
        <w:t>V případě, že zhotovitel bude v prodlení se svojí povinností splnit včas předmět smlouvy, tj. nedodrží termín stanovený v čl. III. této smlouvy, je povinen zaplatit smluvní pokutu ve výši 900,-Kč za každý, byť jen započatý den prodlení. V případě, že zhotovitel prokáže, že prodlení vzniklo z viny na straně objednatele, zanikne objednateli právo smluvní pokutu uplatňovat. Zhotovitel není v prodlení, pokud nemohl plnit práci v důsledku vyšší moci.</w:t>
      </w:r>
    </w:p>
    <w:p w:rsidR="00F474BF" w:rsidRPr="00F474BF" w:rsidRDefault="00F474BF" w:rsidP="00F474BF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426" w:right="146" w:hanging="426"/>
        <w:jc w:val="center"/>
        <w:rPr>
          <w:rFonts w:ascii="Century Gothic" w:hAnsi="Century Gothic" w:cs="Times New Roman"/>
          <w:color w:val="000000" w:themeColor="text1"/>
          <w:szCs w:val="22"/>
        </w:rPr>
      </w:pPr>
      <w:r>
        <w:rPr>
          <w:rFonts w:ascii="Century Gothic" w:hAnsi="Century Gothic" w:cs="Times New Roman"/>
          <w:b/>
          <w:color w:val="000000" w:themeColor="text1"/>
          <w:szCs w:val="22"/>
        </w:rPr>
        <w:t xml:space="preserve">X. </w:t>
      </w:r>
      <w:r w:rsidRPr="00F474BF">
        <w:rPr>
          <w:rFonts w:ascii="Century Gothic" w:hAnsi="Century Gothic" w:cs="Times New Roman"/>
          <w:b/>
          <w:color w:val="000000" w:themeColor="text1"/>
          <w:szCs w:val="22"/>
        </w:rPr>
        <w:t>Závěrečná ustanovení</w:t>
      </w:r>
    </w:p>
    <w:p w:rsidR="00F474BF" w:rsidRPr="00F474BF" w:rsidRDefault="00F474BF" w:rsidP="00F474BF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Century Gothic" w:hAnsi="Century Gothic" w:cs="Times New Roman"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t>10.1.</w:t>
      </w:r>
      <w:r w:rsidRPr="00F474BF">
        <w:rPr>
          <w:rFonts w:ascii="Century Gothic" w:hAnsi="Century Gothic" w:cs="Times New Roman"/>
          <w:bCs/>
          <w:color w:val="000000" w:themeColor="text1"/>
          <w:sz w:val="22"/>
          <w:szCs w:val="22"/>
        </w:rPr>
        <w:tab/>
        <w:t>Ostatní vztahy v této smlouvě vysloveně neupravených se řídí mezi smluvními stranami ustanovením zák. č. 89/2012 Sb. v platném znění zákona.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t>10.2.</w:t>
      </w:r>
      <w:r w:rsidRPr="00F474BF">
        <w:rPr>
          <w:rFonts w:ascii="Century Gothic" w:hAnsi="Century Gothic" w:cs="Times New Roman"/>
          <w:bCs/>
          <w:color w:val="000000" w:themeColor="text1"/>
          <w:sz w:val="22"/>
          <w:szCs w:val="22"/>
        </w:rPr>
        <w:tab/>
        <w:t>Smlouvu lze měnit pouze číslovanými písemnými dodatky, podepsanými oprávněnými zástupci obou smluvních stran.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t>10.3.</w:t>
      </w:r>
      <w:r w:rsidRPr="00F474BF">
        <w:rPr>
          <w:rFonts w:ascii="Century Gothic" w:hAnsi="Century Gothic" w:cs="Times New Roman"/>
          <w:bCs/>
          <w:color w:val="000000" w:themeColor="text1"/>
          <w:sz w:val="22"/>
          <w:szCs w:val="22"/>
        </w:rPr>
        <w:tab/>
        <w:t>Tato smlouva je vyhotovena ve třech stejnopisech, každý s platností originálu, přičemž každý z výtisků obsahuje i úplný soubor příloh, z nichž zhotovitel obdrží jeden stejnopis a objednatel obdrží dva stejnopisy.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lastRenderedPageBreak/>
        <w:t>10.4.</w:t>
      </w:r>
      <w:r w:rsidRPr="00F474BF">
        <w:rPr>
          <w:rFonts w:ascii="Century Gothic" w:hAnsi="Century Gothic" w:cs="Times New Roman"/>
          <w:bCs/>
          <w:color w:val="000000" w:themeColor="text1"/>
          <w:sz w:val="22"/>
          <w:szCs w:val="22"/>
        </w:rPr>
        <w:tab/>
        <w:t>Smluvní strany prohlašují, že si smlouvu včetně jejích příloh přečetly, s obsahem souhlasí a připojují své podpisy.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t>10.5.</w:t>
      </w:r>
      <w:r w:rsidRPr="00F474BF">
        <w:rPr>
          <w:rFonts w:ascii="Century Gothic" w:hAnsi="Century Gothic" w:cs="Times New Roman"/>
          <w:bCs/>
          <w:color w:val="000000" w:themeColor="text1"/>
          <w:sz w:val="22"/>
          <w:szCs w:val="22"/>
        </w:rPr>
        <w:tab/>
        <w:t>Zhotovitel s ustanovením zákona č. 101/2000 Sb., o ochraně osobních údajů, v platném znění, podpisem této smlouvy prohlašuje, že po dobu trvání této smlouvy uděluje objednateli souhlas se shromažďováním, zpracováváním, používáním a uchováváním svých osobních údajů, které mu poskytl při sepsání této smlouvy.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  <w:r w:rsidRPr="00F474BF">
        <w:rPr>
          <w:rFonts w:ascii="Century Gothic" w:hAnsi="Century Gothic" w:cs="Times New Roman"/>
          <w:b/>
          <w:bCs/>
          <w:color w:val="000000" w:themeColor="text1"/>
          <w:sz w:val="22"/>
          <w:szCs w:val="22"/>
        </w:rPr>
        <w:t>10.6.</w:t>
      </w:r>
      <w:r w:rsidRPr="00F474BF">
        <w:rPr>
          <w:rFonts w:ascii="Century Gothic" w:hAnsi="Century Gothic" w:cs="Times New Roman"/>
          <w:bCs/>
          <w:color w:val="000000" w:themeColor="text1"/>
          <w:sz w:val="22"/>
          <w:szCs w:val="22"/>
        </w:rPr>
        <w:tab/>
        <w:t>Tato smlouva nabývá platnosti dnem podpisu smluvních stran a účinnosti nejdříve dnem uveřejnění objednatelem v Registru smluv.</w:t>
      </w: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kinsoku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 w:themeColor="text1"/>
          <w:sz w:val="22"/>
          <w:szCs w:val="22"/>
        </w:rPr>
      </w:pP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>Roztokách, dne:</w:t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  <w:t>v Roztokách, dne:</w:t>
      </w: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>………………………………………..</w:t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  <w:t>………………………………………</w:t>
      </w: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 xml:space="preserve">   </w:t>
      </w:r>
      <w:r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 xml:space="preserve">     </w:t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 xml:space="preserve"> PhDr. Zita Suchánková</w:t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ab/>
        <w:t xml:space="preserve">      </w:t>
      </w:r>
      <w:r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 xml:space="preserve">             </w:t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>Petr Liška</w:t>
      </w:r>
    </w:p>
    <w:p w:rsidR="00F474BF" w:rsidRPr="00F474BF" w:rsidRDefault="00F474BF" w:rsidP="00F474BF">
      <w:pPr>
        <w:jc w:val="both"/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</w:pPr>
      <w:r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 xml:space="preserve">              </w:t>
      </w:r>
      <w:r w:rsidRPr="00F474BF">
        <w:rPr>
          <w:rFonts w:ascii="Century Gothic" w:hAnsi="Century Gothic" w:cs="Times New Roman"/>
          <w:color w:val="000000" w:themeColor="text1"/>
          <w:w w:val="102"/>
          <w:sz w:val="22"/>
          <w:szCs w:val="22"/>
        </w:rPr>
        <w:t>ředitelka muzea</w:t>
      </w:r>
    </w:p>
    <w:p w:rsidR="00F474BF" w:rsidRDefault="00F474BF" w:rsidP="00F474BF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74BF" w:rsidRDefault="00F474BF" w:rsidP="00F474B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74BF" w:rsidRDefault="00F474BF" w:rsidP="00F474B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74BF" w:rsidRPr="004A7E33" w:rsidRDefault="00F474BF" w:rsidP="00F474BF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D0216" w:rsidRDefault="00CD0216"/>
    <w:sectPr w:rsidR="00CD021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2554107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D4A83" w:rsidRDefault="0069158C" w:rsidP="005315B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370916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D4A83" w:rsidRDefault="0069158C" w:rsidP="005315BF">
        <w:pPr>
          <w:pStyle w:val="Zpat"/>
          <w:framePr w:wrap="none" w:vAnchor="text" w:hAnchor="margin" w:xAlign="right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3D4A83" w:rsidRDefault="0069158C" w:rsidP="005315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340286237"/>
      <w:docPartObj>
        <w:docPartGallery w:val="Page Numbers (Bottom of Page)"/>
        <w:docPartUnique/>
      </w:docPartObj>
    </w:sdtPr>
    <w:sdtEndPr>
      <w:rPr>
        <w:rStyle w:val="slostrnky"/>
        <w:sz w:val="22"/>
        <w:szCs w:val="22"/>
      </w:rPr>
    </w:sdtEndPr>
    <w:sdtContent>
      <w:p w:rsidR="003D4A83" w:rsidRPr="005315BF" w:rsidRDefault="0069158C" w:rsidP="005315BF">
        <w:pPr>
          <w:pStyle w:val="Zpat"/>
          <w:framePr w:wrap="none" w:vAnchor="text" w:hAnchor="margin" w:xAlign="right" w:y="1"/>
          <w:rPr>
            <w:rStyle w:val="slostrnky"/>
            <w:sz w:val="22"/>
            <w:szCs w:val="22"/>
          </w:rPr>
        </w:pP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begin"/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Style w:val="slostrnky"/>
            <w:rFonts w:ascii="Times New Roman" w:hAnsi="Times New Roman" w:cs="Times New Roman"/>
            <w:noProof/>
            <w:sz w:val="22"/>
            <w:szCs w:val="22"/>
          </w:rPr>
          <w:t>1</w:t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D4A83" w:rsidRDefault="0069158C" w:rsidP="005F1A2B">
    <w:pPr>
      <w:pStyle w:val="Zpat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BF"/>
    <w:rsid w:val="0069158C"/>
    <w:rsid w:val="00CD0216"/>
    <w:rsid w:val="00F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5D28"/>
  <w15:chartTrackingRefBased/>
  <w15:docId w15:val="{D490DF29-BC76-4629-9BCD-23285930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4BF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F474BF"/>
    <w:pPr>
      <w:autoSpaceDE w:val="0"/>
      <w:autoSpaceDN w:val="0"/>
      <w:adjustRightInd w:val="0"/>
      <w:ind w:left="703" w:hanging="421"/>
      <w:jc w:val="both"/>
    </w:pPr>
    <w:rPr>
      <w:rFonts w:ascii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F47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4BF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F4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SMR</dc:creator>
  <cp:keywords/>
  <dc:description/>
  <cp:lastModifiedBy>Sekretariát SMR</cp:lastModifiedBy>
  <cp:revision>1</cp:revision>
  <cp:lastPrinted>2022-10-31T07:22:00Z</cp:lastPrinted>
  <dcterms:created xsi:type="dcterms:W3CDTF">2022-10-31T07:10:00Z</dcterms:created>
  <dcterms:modified xsi:type="dcterms:W3CDTF">2022-10-31T07:31:00Z</dcterms:modified>
</cp:coreProperties>
</file>