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9"/>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Vypracování diagnostického průzkumu konstrukce vozovky</w:t>
      </w:r>
      <w:bookmarkEnd w:id="0"/>
      <w:bookmarkEnd w:id="1"/>
    </w:p>
    <w:p>
      <w:pPr>
        <w:pStyle w:val="Style9"/>
        <w:keepNext/>
        <w:keepLines/>
        <w:widowControl w:val="0"/>
        <w:shd w:val="clear" w:color="auto" w:fill="auto"/>
        <w:bidi w:val="0"/>
        <w:spacing w:before="0" w:after="240" w:line="233" w:lineRule="auto"/>
        <w:ind w:left="0" w:right="0" w:firstLine="0"/>
        <w:jc w:val="center"/>
        <w:rPr>
          <w:sz w:val="40"/>
          <w:szCs w:val="40"/>
        </w:rPr>
      </w:pPr>
      <w:bookmarkStart w:id="2" w:name="bookmark2"/>
      <w:bookmarkStart w:id="3" w:name="bookmark3"/>
      <w:r>
        <w:rPr>
          <w:color w:val="000000"/>
          <w:spacing w:val="0"/>
          <w:w w:val="100"/>
          <w:position w:val="0"/>
          <w:sz w:val="40"/>
          <w:szCs w:val="40"/>
          <w:shd w:val="clear" w:color="auto" w:fill="auto"/>
          <w:lang w:val="cs-CZ" w:eastAsia="cs-CZ" w:bidi="cs-CZ"/>
        </w:rPr>
        <w:t>„</w:t>
      </w:r>
      <w:r>
        <w:rPr>
          <w:color w:val="000000"/>
          <w:spacing w:val="0"/>
          <w:w w:val="100"/>
          <w:position w:val="0"/>
          <w:sz w:val="36"/>
          <w:szCs w:val="36"/>
          <w:shd w:val="clear" w:color="auto" w:fill="auto"/>
          <w:lang w:val="cs-CZ" w:eastAsia="cs-CZ" w:bidi="cs-CZ"/>
        </w:rPr>
        <w:t>II/129 Humpolec, ulice Okružní</w:t>
      </w:r>
      <w:r>
        <w:rPr>
          <w:color w:val="000000"/>
          <w:spacing w:val="0"/>
          <w:w w:val="100"/>
          <w:position w:val="0"/>
          <w:sz w:val="40"/>
          <w:szCs w:val="40"/>
          <w:shd w:val="clear" w:color="auto" w:fill="auto"/>
          <w:lang w:val="cs-CZ" w:eastAsia="cs-CZ" w:bidi="cs-CZ"/>
        </w:rPr>
        <w:t>“</w:t>
      </w:r>
      <w:bookmarkEnd w:id="2"/>
      <w:bookmarkEnd w:id="3"/>
    </w:p>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tbl>
      <w:tblPr>
        <w:tblOverlap w:val="never"/>
        <w:jc w:val="center"/>
        <w:tblLayout w:type="fixed"/>
      </w:tblPr>
      <w:tblGrid>
        <w:gridCol w:w="1944"/>
        <w:gridCol w:w="6523"/>
      </w:tblGrid>
      <w:tr>
        <w:trPr>
          <w:trHeight w:val="60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w:t>
            </w:r>
          </w:p>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tc>
      </w:tr>
      <w:tr>
        <w:trPr>
          <w:trHeight w:val="29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widowControl w:val="0"/>
        <w:spacing w:line="1" w:lineRule="exact"/>
      </w:pPr>
    </w:p>
    <w:tbl>
      <w:tblPr>
        <w:tblOverlap w:val="never"/>
        <w:jc w:val="left"/>
        <w:tblLayout w:type="fixed"/>
      </w:tblPr>
      <w:tblGrid>
        <w:gridCol w:w="1944"/>
        <w:gridCol w:w="6518"/>
      </w:tblGrid>
      <w:tr>
        <w:trPr>
          <w:trHeight w:val="302"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ředitel organizace</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widowControl w:val="0"/>
        <w:spacing w:line="1" w:lineRule="exact"/>
      </w:pPr>
    </w:p>
    <w:tbl>
      <w:tblPr>
        <w:tblOverlap w:val="never"/>
        <w:jc w:val="left"/>
        <w:tblLayout w:type="fixed"/>
      </w:tblPr>
      <w:tblGrid>
        <w:gridCol w:w="1944"/>
        <w:gridCol w:w="6518"/>
      </w:tblGrid>
      <w:tr>
        <w:trPr>
          <w:trHeight w:val="33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left"/>
        <w:tblLayout w:type="fixed"/>
      </w:tblPr>
      <w:tblGrid>
        <w:gridCol w:w="1944"/>
        <w:gridCol w:w="6518"/>
      </w:tblGrid>
      <w:tr>
        <w:trPr>
          <w:trHeight w:val="32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32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widowControl w:val="0"/>
        <w:spacing w:line="1" w:lineRule="exact"/>
      </w:pPr>
    </w:p>
    <w:tbl>
      <w:tblPr>
        <w:tblOverlap w:val="never"/>
        <w:jc w:val="left"/>
        <w:tblLayout w:type="fixed"/>
      </w:tblPr>
      <w:tblGrid>
        <w:gridCol w:w="1944"/>
        <w:gridCol w:w="6518"/>
      </w:tblGrid>
      <w:tr>
        <w:trPr>
          <w:trHeight w:val="32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Kraj Vysočina</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z w:val="24"/>
          <w:szCs w:val="24"/>
          <w:shd w:val="clear" w:color="auto" w:fill="auto"/>
          <w:lang w:val="cs-CZ" w:eastAsia="cs-CZ" w:bidi="cs-CZ"/>
        </w:rPr>
        <w:t>Objednatel“</w:t>
      </w:r>
      <w:r>
        <w:rPr>
          <w:color w:val="000000"/>
          <w:spacing w:val="0"/>
          <w:w w:val="100"/>
          <w:position w:val="0"/>
          <w:shd w:val="clear" w:color="auto" w:fill="auto"/>
          <w:lang w:val="cs-CZ" w:eastAsia="cs-CZ" w:bidi="cs-CZ"/>
        </w:rPr>
        <w:t>)</w:t>
      </w:r>
    </w:p>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bl>
      <w:tblPr>
        <w:tblOverlap w:val="never"/>
        <w:jc w:val="center"/>
        <w:tblLayout w:type="fixed"/>
      </w:tblPr>
      <w:tblGrid>
        <w:gridCol w:w="1670"/>
        <w:gridCol w:w="7709"/>
      </w:tblGrid>
      <w:tr>
        <w:trPr>
          <w:trHeight w:val="293"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pPr>
            <w:r>
              <w:rPr>
                <w:b/>
                <w:bCs/>
                <w:color w:val="000000"/>
                <w:spacing w:val="0"/>
                <w:w w:val="100"/>
                <w:position w:val="0"/>
                <w:sz w:val="24"/>
                <w:szCs w:val="24"/>
                <w:shd w:val="clear" w:color="auto" w:fill="auto"/>
                <w:lang w:val="cs-CZ" w:eastAsia="cs-CZ" w:bidi="cs-CZ"/>
              </w:rPr>
              <w:t>TPA ČR s r.o.</w:t>
            </w:r>
          </w:p>
        </w:tc>
      </w:tr>
      <w:tr>
        <w:trPr>
          <w:trHeight w:val="3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Vrbenská 1821/31, 370 06 České Budějovice</w:t>
            </w:r>
          </w:p>
        </w:tc>
      </w:tr>
      <w:tr>
        <w:trPr>
          <w:trHeight w:val="28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z w:val="24"/>
                <w:szCs w:val="24"/>
                <w:shd w:val="clear" w:color="auto" w:fill="auto"/>
                <w:lang w:val="cs-CZ" w:eastAsia="cs-CZ" w:bidi="cs-CZ"/>
              </w:rPr>
              <w:t>Ing. Janem Davidem, Ing. Dušanem Sitařem</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Krajského soudu v Českých Budějovicích, spisová značka C17759 Osoby pověřené jednat jménem zhotovitele ve věcech</w:t>
      </w:r>
    </w:p>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bl>
      <w:tblPr>
        <w:tblOverlap w:val="never"/>
        <w:jc w:val="left"/>
        <w:tblLayout w:type="fixed"/>
      </w:tblPr>
      <w:tblGrid>
        <w:gridCol w:w="1949"/>
        <w:gridCol w:w="5558"/>
      </w:tblGrid>
      <w:tr>
        <w:trPr>
          <w:trHeight w:val="33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vedoucí skupiny České Budějovice</w:t>
            </w:r>
          </w:p>
        </w:tc>
      </w:tr>
      <w:tr>
        <w:trPr>
          <w:trHeight w:val="322"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UniCredit Bank Czech Republic</w:t>
            </w:r>
          </w:p>
        </w:tc>
      </w:tr>
    </w:tbl>
    <w:p>
      <w:pPr>
        <w:pStyle w:val="Style12"/>
        <w:keepNext w:val="0"/>
        <w:keepLines w:val="0"/>
        <w:widowControl w:val="0"/>
        <w:shd w:val="clear" w:color="auto" w:fill="auto"/>
        <w:bidi w:val="0"/>
        <w:spacing w:before="0" w:after="0" w:line="240" w:lineRule="auto"/>
        <w:ind w:left="235" w:right="0" w:firstLine="0"/>
        <w:jc w:val="left"/>
      </w:pPr>
      <w:r>
        <w:rPr>
          <w:color w:val="000000"/>
          <w:spacing w:val="0"/>
          <w:w w:val="100"/>
          <w:position w:val="0"/>
          <w:shd w:val="clear" w:color="auto" w:fill="auto"/>
          <w:lang w:val="cs-CZ" w:eastAsia="cs-CZ" w:bidi="cs-CZ"/>
        </w:rPr>
        <w:t>účtu :</w:t>
      </w:r>
    </w:p>
    <w:p>
      <w:pPr>
        <w:widowControl w:val="0"/>
        <w:spacing w:line="1" w:lineRule="exact"/>
      </w:pPr>
    </w:p>
    <w:tbl>
      <w:tblPr>
        <w:tblOverlap w:val="never"/>
        <w:jc w:val="left"/>
        <w:tblLayout w:type="fixed"/>
      </w:tblPr>
      <w:tblGrid>
        <w:gridCol w:w="1949"/>
        <w:gridCol w:w="5554"/>
      </w:tblGrid>
      <w:tr>
        <w:trPr>
          <w:trHeight w:val="32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25122835</w:t>
            </w:r>
          </w:p>
        </w:tc>
      </w:tr>
      <w:tr>
        <w:trPr>
          <w:trHeight w:val="32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CZ25122835</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widowControl w:val="0"/>
        <w:spacing w:line="1" w:lineRule="exact"/>
      </w:pPr>
    </w:p>
    <w:tbl>
      <w:tblPr>
        <w:tblOverlap w:val="never"/>
        <w:jc w:val="left"/>
        <w:tblLayout w:type="fixed"/>
      </w:tblPr>
      <w:tblGrid>
        <w:gridCol w:w="1949"/>
        <w:gridCol w:w="5554"/>
      </w:tblGrid>
      <w:tr>
        <w:trPr>
          <w:trHeight w:val="33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r>
          </w:p>
        </w:tc>
        <w:tc>
          <w:tcPr>
            <w:tcBorders>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563C1"/>
                <w:spacing w:val="0"/>
                <w:w w:val="100"/>
                <w:position w:val="0"/>
                <w:shd w:val="clear" w:color="auto" w:fill="auto"/>
                <w:lang w:val="cs-CZ" w:eastAsia="cs-CZ" w:bidi="cs-CZ"/>
              </w:rPr>
              <w:t>@</w:t>
            </w:r>
            <w:r>
              <w:rPr>
                <w:color w:val="0563C1"/>
                <w:spacing w:val="0"/>
                <w:w w:val="100"/>
                <w:position w:val="0"/>
                <w:shd w:val="clear" w:color="auto" w:fill="auto"/>
                <w:lang w:val="cs-CZ" w:eastAsia="cs-CZ" w:bidi="cs-CZ"/>
              </w:rPr>
              <w:t>tpaqi.com</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z w:val="24"/>
          <w:szCs w:val="24"/>
          <w:shd w:val="clear" w:color="auto" w:fill="auto"/>
          <w:lang w:val="cs-CZ" w:eastAsia="cs-CZ" w:bidi="cs-CZ"/>
        </w:rPr>
        <w:t>Zhotovitel</w:t>
      </w:r>
      <w:r>
        <w:rPr>
          <w:color w:val="000000"/>
          <w:spacing w:val="0"/>
          <w:w w:val="100"/>
          <w:position w:val="0"/>
          <w:shd w:val="clear" w:color="auto" w:fill="auto"/>
          <w:lang w:val="cs-CZ" w:eastAsia="cs-CZ" w:bidi="cs-CZ"/>
        </w:rPr>
        <w:t>“)</w:t>
      </w:r>
    </w:p>
    <w:p>
      <w:pPr>
        <w:widowControl w:val="0"/>
        <w:spacing w:after="239" w:line="1" w:lineRule="exact"/>
      </w:pPr>
    </w:p>
    <w:p>
      <w:pPr>
        <w:pStyle w:val="Style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z w:val="24"/>
          <w:szCs w:val="24"/>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z w:val="24"/>
          <w:szCs w:val="24"/>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23"/>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2</w:t>
        <w:br/>
        <w:t>Předmět smlouvy</w:t>
      </w:r>
      <w:bookmarkEnd w:id="4"/>
      <w:bookmarkEnd w:id="5"/>
    </w:p>
    <w:p>
      <w:pPr>
        <w:pStyle w:val="Style2"/>
        <w:keepNext w:val="0"/>
        <w:keepLines w:val="0"/>
        <w:widowControl w:val="0"/>
        <w:numPr>
          <w:ilvl w:val="0"/>
          <w:numId w:val="1"/>
        </w:numPr>
        <w:shd w:val="clear" w:color="auto" w:fill="auto"/>
        <w:tabs>
          <w:tab w:pos="55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w:t>
      </w:r>
    </w:p>
    <w:p>
      <w:pPr>
        <w:pStyle w:val="Style23"/>
        <w:keepNext/>
        <w:keepLines/>
        <w:widowControl w:val="0"/>
        <w:shd w:val="clear" w:color="auto" w:fill="auto"/>
        <w:bidi w:val="0"/>
        <w:spacing w:before="0" w:after="220" w:line="240" w:lineRule="auto"/>
        <w:ind w:left="0" w:right="0" w:firstLine="500"/>
        <w:jc w:val="both"/>
      </w:pPr>
      <w:bookmarkStart w:id="6" w:name="bookmark6"/>
      <w:bookmarkStart w:id="7" w:name="bookmark7"/>
      <w:r>
        <w:rPr>
          <w:color w:val="000000"/>
          <w:spacing w:val="0"/>
          <w:w w:val="100"/>
          <w:position w:val="0"/>
          <w:shd w:val="clear" w:color="auto" w:fill="auto"/>
          <w:lang w:val="cs-CZ" w:eastAsia="cs-CZ" w:bidi="cs-CZ"/>
        </w:rPr>
        <w:t>„Vypracování diagnostického průzkumu konstrukce vozovky II/129 Humpolec, ulice Okružní“</w:t>
      </w:r>
      <w:bookmarkEnd w:id="6"/>
      <w:bookmarkEnd w:id="7"/>
    </w:p>
    <w:p>
      <w:pPr>
        <w:pStyle w:val="Style2"/>
        <w:keepNext w:val="0"/>
        <w:keepLines w:val="0"/>
        <w:widowControl w:val="0"/>
        <w:shd w:val="clear" w:color="auto" w:fill="auto"/>
        <w:bidi w:val="0"/>
        <w:spacing w:before="0" w:line="240" w:lineRule="auto"/>
        <w:ind w:left="500" w:right="0" w:firstLine="60"/>
        <w:jc w:val="both"/>
      </w:pPr>
      <w:r>
        <w:rPr>
          <w:color w:val="000000"/>
          <w:spacing w:val="0"/>
          <w:w w:val="100"/>
          <w:position w:val="0"/>
          <w:shd w:val="clear" w:color="auto" w:fill="auto"/>
          <w:lang w:val="cs-CZ" w:eastAsia="cs-CZ" w:bidi="cs-CZ"/>
        </w:rPr>
        <w:t>a to v minimálním rozsahu dle poptávkového emailu objednatele a v souladu s cenovou nabídkou zhotovitele ze dne 12. 9. 2022, tvořící přílohu této smlouvy jako její nedílnou součást. Diagnostický průzkum konstrukce vozovky musí co do obsahu a rozsahu splňovat požadavky platných zákonů, směrnic, předpisů a rozhodnutí.</w:t>
      </w:r>
    </w:p>
    <w:p>
      <w:pPr>
        <w:pStyle w:val="Style2"/>
        <w:keepNext w:val="0"/>
        <w:keepLines w:val="0"/>
        <w:widowControl w:val="0"/>
        <w:numPr>
          <w:ilvl w:val="0"/>
          <w:numId w:val="1"/>
        </w:numPr>
        <w:shd w:val="clear" w:color="auto" w:fill="auto"/>
        <w:tabs>
          <w:tab w:pos="556" w:val="left"/>
        </w:tabs>
        <w:bidi w:val="0"/>
        <w:spacing w:before="0" w:line="269" w:lineRule="auto"/>
        <w:ind w:left="500" w:right="0" w:hanging="500"/>
        <w:jc w:val="both"/>
      </w:pPr>
      <w:r>
        <w:rPr>
          <w:color w:val="000000"/>
          <w:spacing w:val="0"/>
          <w:w w:val="100"/>
          <w:position w:val="0"/>
          <w:shd w:val="clear" w:color="auto" w:fill="auto"/>
          <w:lang w:val="cs-CZ" w:eastAsia="cs-CZ" w:bidi="cs-CZ"/>
        </w:rPr>
        <w:t>Budou provedeny konkrétní práce dle nabídky zhotovitele vycházející z požadavků objednatele. O provedeném průzkumu bude vypracována Zpráva o diagnostickém průzkumu, která bude obsahovat vyhodnocení výsledků diagnostického průzkumu. Zpráva bude v konceptu předložena objednateli k odsouhlasení, a to nejméně 10 dnů před odevzdáním čistopisu.</w:t>
      </w:r>
    </w:p>
    <w:p>
      <w:pPr>
        <w:pStyle w:val="Style2"/>
        <w:keepNext w:val="0"/>
        <w:keepLines w:val="0"/>
        <w:widowControl w:val="0"/>
        <w:shd w:val="clear" w:color="auto" w:fill="auto"/>
        <w:bidi w:val="0"/>
        <w:spacing w:before="0" w:line="240" w:lineRule="auto"/>
        <w:ind w:left="500" w:right="0" w:firstLine="60"/>
        <w:jc w:val="both"/>
      </w:pPr>
      <w:r>
        <w:rPr>
          <w:color w:val="000000"/>
          <w:spacing w:val="0"/>
          <w:w w:val="100"/>
          <w:position w:val="0"/>
          <w:shd w:val="clear" w:color="auto" w:fill="auto"/>
          <w:lang w:val="cs-CZ" w:eastAsia="cs-CZ" w:bidi="cs-CZ"/>
        </w:rPr>
        <w:t>Dokumentace bude dodána v rámci dohodnuté ceny objednateli 2x v tištěném provedení a 1x v digitální podobě na CD, v plném rozsahu tištěné podoby.</w:t>
      </w:r>
    </w:p>
    <w:p>
      <w:pPr>
        <w:pStyle w:val="Style2"/>
        <w:keepNext w:val="0"/>
        <w:keepLines w:val="0"/>
        <w:widowControl w:val="0"/>
        <w:numPr>
          <w:ilvl w:val="0"/>
          <w:numId w:val="1"/>
        </w:numPr>
        <w:shd w:val="clear" w:color="auto" w:fill="auto"/>
        <w:tabs>
          <w:tab w:pos="556" w:val="left"/>
        </w:tabs>
        <w:bidi w:val="0"/>
        <w:spacing w:before="0" w:line="240" w:lineRule="auto"/>
        <w:ind w:left="500" w:right="0" w:hanging="50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56" w:val="left"/>
        </w:tabs>
        <w:bidi w:val="0"/>
        <w:spacing w:before="0" w:line="240" w:lineRule="auto"/>
        <w:ind w:left="500" w:right="0" w:hanging="50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2"/>
        <w:keepNext w:val="0"/>
        <w:keepLines w:val="0"/>
        <w:widowControl w:val="0"/>
        <w:numPr>
          <w:ilvl w:val="0"/>
          <w:numId w:val="1"/>
        </w:numPr>
        <w:shd w:val="clear" w:color="auto" w:fill="auto"/>
        <w:tabs>
          <w:tab w:pos="556" w:val="left"/>
        </w:tabs>
        <w:bidi w:val="0"/>
        <w:spacing w:before="0" w:after="540" w:line="240" w:lineRule="auto"/>
        <w:ind w:left="500" w:right="0" w:hanging="50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3"/>
        <w:keepNext/>
        <w:keepLines/>
        <w:widowControl w:val="0"/>
        <w:shd w:val="clear" w:color="auto" w:fill="auto"/>
        <w:bidi w:val="0"/>
        <w:spacing w:before="0" w:line="233"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3</w:t>
        <w:br/>
        <w:t>Doba plnění</w:t>
      </w:r>
      <w:bookmarkEnd w:id="8"/>
      <w:bookmarkEnd w:id="9"/>
    </w:p>
    <w:p>
      <w:pPr>
        <w:pStyle w:val="Style2"/>
        <w:keepNext w:val="0"/>
        <w:keepLines w:val="0"/>
        <w:widowControl w:val="0"/>
        <w:numPr>
          <w:ilvl w:val="0"/>
          <w:numId w:val="3"/>
        </w:numPr>
        <w:shd w:val="clear" w:color="auto" w:fill="auto"/>
        <w:tabs>
          <w:tab w:pos="55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2"/>
        <w:keepNext w:val="0"/>
        <w:keepLines w:val="0"/>
        <w:widowControl w:val="0"/>
        <w:shd w:val="clear" w:color="auto" w:fill="auto"/>
        <w:bidi w:val="0"/>
        <w:spacing w:before="0" w:line="240" w:lineRule="auto"/>
        <w:ind w:left="1160" w:right="0" w:firstLine="0"/>
        <w:jc w:val="both"/>
      </w:pPr>
      <w:r>
        <w:rPr>
          <w:color w:val="000000"/>
          <w:spacing w:val="0"/>
          <w:w w:val="100"/>
          <w:position w:val="0"/>
          <w:shd w:val="clear" w:color="auto" w:fill="auto"/>
          <w:lang w:val="cs-CZ" w:eastAsia="cs-CZ" w:bidi="cs-CZ"/>
        </w:rPr>
        <w:t xml:space="preserve">Zahájení ihned po účinnosti smlouvy - </w:t>
      </w:r>
      <w:r>
        <w:rPr>
          <w:b/>
          <w:bCs/>
          <w:color w:val="000000"/>
          <w:spacing w:val="0"/>
          <w:w w:val="100"/>
          <w:position w:val="0"/>
          <w:sz w:val="24"/>
          <w:szCs w:val="24"/>
          <w:shd w:val="clear" w:color="auto" w:fill="auto"/>
          <w:lang w:val="cs-CZ" w:eastAsia="cs-CZ" w:bidi="cs-CZ"/>
        </w:rPr>
        <w:t>předpoklad 10/2022</w:t>
      </w:r>
    </w:p>
    <w:p>
      <w:pPr>
        <w:pStyle w:val="Style2"/>
        <w:keepNext w:val="0"/>
        <w:keepLines w:val="0"/>
        <w:widowControl w:val="0"/>
        <w:shd w:val="clear" w:color="auto" w:fill="auto"/>
        <w:bidi w:val="0"/>
        <w:spacing w:before="0" w:line="240" w:lineRule="auto"/>
        <w:ind w:left="1160" w:right="0" w:firstLine="0"/>
        <w:jc w:val="both"/>
      </w:pPr>
      <w:r>
        <w:rPr>
          <w:color w:val="000000"/>
          <w:spacing w:val="0"/>
          <w:w w:val="100"/>
          <w:position w:val="0"/>
          <w:shd w:val="clear" w:color="auto" w:fill="auto"/>
          <w:lang w:val="cs-CZ" w:eastAsia="cs-CZ" w:bidi="cs-CZ"/>
        </w:rPr>
        <w:t xml:space="preserve">Kompletní dokončení díla vč. předání objednateli - do </w:t>
      </w:r>
      <w:r>
        <w:rPr>
          <w:b/>
          <w:bCs/>
          <w:color w:val="000000"/>
          <w:spacing w:val="0"/>
          <w:w w:val="100"/>
          <w:position w:val="0"/>
          <w:sz w:val="24"/>
          <w:szCs w:val="24"/>
          <w:shd w:val="clear" w:color="auto" w:fill="auto"/>
          <w:lang w:val="cs-CZ" w:eastAsia="cs-CZ" w:bidi="cs-CZ"/>
        </w:rPr>
        <w:t>31.12.2022</w:t>
      </w:r>
    </w:p>
    <w:p>
      <w:pPr>
        <w:pStyle w:val="Style2"/>
        <w:keepNext w:val="0"/>
        <w:keepLines w:val="0"/>
        <w:widowControl w:val="0"/>
        <w:numPr>
          <w:ilvl w:val="0"/>
          <w:numId w:val="3"/>
        </w:numPr>
        <w:shd w:val="clear" w:color="auto" w:fill="auto"/>
        <w:tabs>
          <w:tab w:pos="556" w:val="left"/>
        </w:tabs>
        <w:bidi w:val="0"/>
        <w:spacing w:before="0" w:line="240" w:lineRule="auto"/>
        <w:ind w:left="500" w:right="0" w:hanging="50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2"/>
        <w:keepNext w:val="0"/>
        <w:keepLines w:val="0"/>
        <w:widowControl w:val="0"/>
        <w:numPr>
          <w:ilvl w:val="0"/>
          <w:numId w:val="3"/>
        </w:numPr>
        <w:shd w:val="clear" w:color="auto" w:fill="auto"/>
        <w:tabs>
          <w:tab w:pos="55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dokončit předmět plnění i před sjednanou dobou.</w:t>
      </w:r>
    </w:p>
    <w:p>
      <w:pPr>
        <w:pStyle w:val="Style2"/>
        <w:keepNext w:val="0"/>
        <w:keepLines w:val="0"/>
        <w:widowControl w:val="0"/>
        <w:numPr>
          <w:ilvl w:val="0"/>
          <w:numId w:val="3"/>
        </w:numPr>
        <w:shd w:val="clear" w:color="auto" w:fill="auto"/>
        <w:tabs>
          <w:tab w:pos="556" w:val="left"/>
        </w:tabs>
        <w:bidi w:val="0"/>
        <w:spacing w:before="0" w:line="240" w:lineRule="auto"/>
        <w:ind w:left="500" w:right="0" w:hanging="50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2"/>
        <w:keepNext w:val="0"/>
        <w:keepLines w:val="0"/>
        <w:widowControl w:val="0"/>
        <w:numPr>
          <w:ilvl w:val="0"/>
          <w:numId w:val="3"/>
        </w:numPr>
        <w:shd w:val="clear" w:color="auto" w:fill="auto"/>
        <w:tabs>
          <w:tab w:pos="556" w:val="left"/>
        </w:tabs>
        <w:bidi w:val="0"/>
        <w:spacing w:before="0" w:line="240" w:lineRule="auto"/>
        <w:ind w:left="500" w:right="0" w:hanging="500"/>
        <w:jc w:val="both"/>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23"/>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4</w:t>
        <w:br/>
        <w:t>Cena díla</w:t>
      </w:r>
      <w:bookmarkEnd w:id="10"/>
      <w:bookmarkEnd w:id="11"/>
    </w:p>
    <w:p>
      <w:pPr>
        <w:pStyle w:val="Style2"/>
        <w:keepNext w:val="0"/>
        <w:keepLines w:val="0"/>
        <w:widowControl w:val="0"/>
        <w:numPr>
          <w:ilvl w:val="0"/>
          <w:numId w:val="5"/>
        </w:numPr>
        <w:shd w:val="clear" w:color="auto" w:fill="auto"/>
        <w:tabs>
          <w:tab w:pos="566" w:val="left"/>
        </w:tabs>
        <w:bidi w:val="0"/>
        <w:spacing w:before="0" w:after="220" w:line="240" w:lineRule="auto"/>
        <w:ind w:left="580" w:right="0" w:hanging="580"/>
        <w:jc w:val="both"/>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této smlouvy, následovně:</w:t>
      </w:r>
    </w:p>
    <w:p>
      <w:pPr>
        <w:pStyle w:val="Style2"/>
        <w:keepNext w:val="0"/>
        <w:keepLines w:val="0"/>
        <w:widowControl w:val="0"/>
        <w:shd w:val="clear" w:color="auto" w:fill="auto"/>
        <w:tabs>
          <w:tab w:pos="6401" w:val="right"/>
        </w:tabs>
        <w:bidi w:val="0"/>
        <w:spacing w:before="0" w:line="240" w:lineRule="auto"/>
        <w:ind w:left="1100" w:right="0" w:firstLine="0"/>
        <w:jc w:val="both"/>
      </w:pPr>
      <w:r>
        <w:rPr>
          <w:b/>
          <w:bCs/>
          <w:color w:val="000000"/>
          <w:spacing w:val="0"/>
          <w:w w:val="100"/>
          <w:position w:val="0"/>
          <w:sz w:val="24"/>
          <w:szCs w:val="24"/>
          <w:shd w:val="clear" w:color="auto" w:fill="auto"/>
          <w:lang w:val="cs-CZ" w:eastAsia="cs-CZ" w:bidi="cs-CZ"/>
        </w:rPr>
        <w:t>Cena celkem bez DPH</w:t>
        <w:tab/>
        <w:t>44.379,90 Kč</w:t>
      </w:r>
    </w:p>
    <w:p>
      <w:pPr>
        <w:pStyle w:val="Style2"/>
        <w:keepNext w:val="0"/>
        <w:keepLines w:val="0"/>
        <w:widowControl w:val="0"/>
        <w:shd w:val="clear" w:color="auto" w:fill="auto"/>
        <w:tabs>
          <w:tab w:pos="6401" w:val="right"/>
        </w:tabs>
        <w:bidi w:val="0"/>
        <w:spacing w:before="0" w:line="240" w:lineRule="auto"/>
        <w:ind w:left="1100" w:right="0" w:firstLine="0"/>
        <w:jc w:val="both"/>
      </w:pPr>
      <w:r>
        <w:rPr>
          <w:b/>
          <w:bCs/>
          <w:color w:val="000000"/>
          <w:spacing w:val="0"/>
          <w:w w:val="100"/>
          <w:position w:val="0"/>
          <w:sz w:val="24"/>
          <w:szCs w:val="24"/>
          <w:shd w:val="clear" w:color="auto" w:fill="auto"/>
          <w:lang w:val="cs-CZ" w:eastAsia="cs-CZ" w:bidi="cs-CZ"/>
        </w:rPr>
        <w:t>DPH 21%</w:t>
        <w:tab/>
        <w:t>9.319,78 Kč</w:t>
      </w:r>
    </w:p>
    <w:p>
      <w:pPr>
        <w:pStyle w:val="Style2"/>
        <w:keepNext w:val="0"/>
        <w:keepLines w:val="0"/>
        <w:widowControl w:val="0"/>
        <w:shd w:val="clear" w:color="auto" w:fill="auto"/>
        <w:tabs>
          <w:tab w:pos="6401" w:val="right"/>
        </w:tabs>
        <w:bidi w:val="0"/>
        <w:spacing w:before="0" w:line="240" w:lineRule="auto"/>
        <w:ind w:left="1100" w:right="0" w:firstLine="0"/>
        <w:jc w:val="both"/>
      </w:pPr>
      <w:r>
        <w:rPr>
          <w:b/>
          <w:bCs/>
          <w:color w:val="000000"/>
          <w:spacing w:val="0"/>
          <w:w w:val="100"/>
          <w:position w:val="0"/>
          <w:sz w:val="24"/>
          <w:szCs w:val="24"/>
          <w:shd w:val="clear" w:color="auto" w:fill="auto"/>
          <w:lang w:val="cs-CZ" w:eastAsia="cs-CZ" w:bidi="cs-CZ"/>
        </w:rPr>
        <w:t>Cena celkem včetně DPH</w:t>
        <w:tab/>
        <w:t>53.699,68 Kč</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2"/>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bude účtována daň z přidané hodnoty v zákonné výši.</w:t>
      </w:r>
    </w:p>
    <w:p>
      <w:pPr>
        <w:pStyle w:val="Style2"/>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z w:val="24"/>
          <w:szCs w:val="24"/>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a nedohodne se s objednatelem na ceně díla postupem dle </w:t>
      </w:r>
      <w:r>
        <w:rPr>
          <w:b/>
          <w:bCs/>
          <w:color w:val="000000"/>
          <w:spacing w:val="0"/>
          <w:w w:val="100"/>
          <w:position w:val="0"/>
          <w:sz w:val="24"/>
          <w:szCs w:val="24"/>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 </w:t>
      </w:r>
      <w:r>
        <w:rPr>
          <w:b/>
          <w:bCs/>
          <w:color w:val="000000"/>
          <w:spacing w:val="0"/>
          <w:w w:val="100"/>
          <w:position w:val="0"/>
          <w:sz w:val="24"/>
          <w:szCs w:val="24"/>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4"/>
          <w:szCs w:val="24"/>
          <w:shd w:val="clear" w:color="auto" w:fill="auto"/>
          <w:lang w:val="cs-CZ" w:eastAsia="cs-CZ" w:bidi="cs-CZ"/>
        </w:rPr>
        <w:t>dodatečných služeb.</w:t>
      </w:r>
    </w:p>
    <w:p>
      <w:pPr>
        <w:pStyle w:val="Style2"/>
        <w:keepNext w:val="0"/>
        <w:keepLines w:val="0"/>
        <w:widowControl w:val="0"/>
        <w:numPr>
          <w:ilvl w:val="0"/>
          <w:numId w:val="5"/>
        </w:numPr>
        <w:shd w:val="clear" w:color="auto" w:fill="auto"/>
        <w:tabs>
          <w:tab w:pos="662"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3"/>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5</w:t>
        <w:br/>
        <w:t>Způsob provádění díla a dodání díla</w:t>
      </w:r>
      <w:bookmarkEnd w:id="12"/>
      <w:bookmarkEnd w:id="13"/>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7"/>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7"/>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z w:val="24"/>
          <w:szCs w:val="24"/>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7"/>
        </w:numPr>
        <w:shd w:val="clear" w:color="auto" w:fill="auto"/>
        <w:tabs>
          <w:tab w:pos="567"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Kontaktní osoby </w:t>
      </w:r>
      <w:r>
        <w:rPr>
          <w:color w:val="000000"/>
          <w:spacing w:val="0"/>
          <w:w w:val="100"/>
          <w:position w:val="0"/>
          <w:shd w:val="clear" w:color="auto" w:fill="auto"/>
          <w:lang w:val="cs-CZ" w:eastAsia="cs-CZ" w:bidi="cs-CZ"/>
        </w:rPr>
        <w:t>objednatele a osoby pověřené provedením díla:</w:t>
      </w:r>
    </w:p>
    <w:p>
      <w:pPr>
        <w:pStyle w:val="Style2"/>
        <w:keepNext w:val="0"/>
        <w:keepLines w:val="0"/>
        <w:widowControl w:val="0"/>
        <w:shd w:val="clear" w:color="auto" w:fill="auto"/>
        <w:bidi w:val="0"/>
        <w:spacing w:before="0" w:after="940" w:line="240" w:lineRule="auto"/>
        <w:ind w:left="1160" w:right="0" w:firstLine="0"/>
        <w:jc w:val="left"/>
      </w:pPr>
      <w:r>
        <w:rPr>
          <w:color w:val="000000"/>
          <w:spacing w:val="0"/>
          <w:w w:val="100"/>
          <w:position w:val="0"/>
          <w:shd w:val="clear" w:color="auto" w:fill="auto"/>
          <w:lang w:val="cs-CZ" w:eastAsia="cs-CZ" w:bidi="cs-CZ"/>
        </w:rPr>
        <w:t>Zástupci objednatele ve věcech technických: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Dílo je provedeno, je-li dokončeno a předáno objednateli v rozsahu dle článku 2.2. této smlouvy a cenové nabídky zhotovitele ze dne 12. 9. 2022.</w:t>
      </w:r>
    </w:p>
    <w:p>
      <w:pPr>
        <w:pStyle w:val="Style2"/>
        <w:keepNext w:val="0"/>
        <w:keepLines w:val="0"/>
        <w:widowControl w:val="0"/>
        <w:numPr>
          <w:ilvl w:val="0"/>
          <w:numId w:val="7"/>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převzetím díla za objednatele:</w:t>
      </w:r>
    </w:p>
    <w:p>
      <w:pPr>
        <w:pStyle w:val="Style2"/>
        <w:keepNext w:val="0"/>
        <w:keepLines w:val="0"/>
        <w:widowControl w:val="0"/>
        <w:numPr>
          <w:ilvl w:val="0"/>
          <w:numId w:val="7"/>
        </w:numPr>
        <w:shd w:val="clear" w:color="auto" w:fill="auto"/>
        <w:tabs>
          <w:tab w:pos="567" w:val="left"/>
        </w:tabs>
        <w:bidi w:val="0"/>
        <w:spacing w:before="0" w:after="540" w:line="240" w:lineRule="auto"/>
        <w:ind w:left="580" w:right="0" w:hanging="580"/>
        <w:jc w:val="both"/>
      </w:pPr>
      <w:r>
        <w:rPr>
          <w:color w:val="000000"/>
          <w:spacing w:val="0"/>
          <w:w w:val="100"/>
          <w:position w:val="0"/>
          <w:shd w:val="clear" w:color="auto" w:fill="auto"/>
          <w:lang w:val="cs-CZ" w:eastAsia="cs-CZ" w:bidi="cs-CZ"/>
        </w:rPr>
        <w:t xml:space="preserve">Místem plnění je: </w:t>
      </w:r>
      <w:r>
        <w:rPr>
          <w:b/>
          <w:bCs/>
          <w:color w:val="000000"/>
          <w:spacing w:val="0"/>
          <w:w w:val="100"/>
          <w:position w:val="0"/>
          <w:sz w:val="24"/>
          <w:szCs w:val="24"/>
          <w:shd w:val="clear" w:color="auto" w:fill="auto"/>
          <w:lang w:val="cs-CZ" w:eastAsia="cs-CZ" w:bidi="cs-CZ"/>
        </w:rPr>
        <w:t>Krajská správa a údržba silnic Vysočiny</w:t>
      </w:r>
      <w:r>
        <w:rPr>
          <w:color w:val="000000"/>
          <w:spacing w:val="0"/>
          <w:w w:val="100"/>
          <w:position w:val="0"/>
          <w:shd w:val="clear" w:color="auto" w:fill="auto"/>
          <w:lang w:val="cs-CZ" w:eastAsia="cs-CZ" w:bidi="cs-CZ"/>
        </w:rPr>
        <w:t>, příspěvková organizace, Kosovská 1122/16, Jihlava, PSČ 586 01.</w:t>
      </w:r>
    </w:p>
    <w:p>
      <w:pPr>
        <w:pStyle w:val="Style23"/>
        <w:keepNext/>
        <w:keepLines/>
        <w:widowControl w:val="0"/>
        <w:shd w:val="clear" w:color="auto" w:fill="auto"/>
        <w:bidi w:val="0"/>
        <w:spacing w:before="0" w:line="233"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6</w:t>
        <w:br/>
        <w:t>Placení a fakturace</w:t>
      </w:r>
      <w:bookmarkEnd w:id="14"/>
      <w:bookmarkEnd w:id="15"/>
    </w:p>
    <w:p>
      <w:pPr>
        <w:pStyle w:val="Style2"/>
        <w:keepNext w:val="0"/>
        <w:keepLines w:val="0"/>
        <w:widowControl w:val="0"/>
        <w:numPr>
          <w:ilvl w:val="0"/>
          <w:numId w:val="9"/>
        </w:numPr>
        <w:shd w:val="clear" w:color="auto" w:fill="auto"/>
        <w:tabs>
          <w:tab w:pos="567" w:val="left"/>
        </w:tabs>
        <w:bidi w:val="0"/>
        <w:spacing w:before="0" w:after="0" w:line="240" w:lineRule="auto"/>
        <w:ind w:left="580" w:right="0" w:hanging="580"/>
        <w:jc w:val="both"/>
      </w:pPr>
      <w:r>
        <w:rPr>
          <w:color w:val="000000"/>
          <w:spacing w:val="0"/>
          <w:w w:val="100"/>
          <w:position w:val="0"/>
          <w:shd w:val="clear" w:color="auto" w:fill="auto"/>
          <w:lang w:val="cs-CZ" w:eastAsia="cs-CZ" w:bidi="cs-CZ"/>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2"/>
        <w:keepNext w:val="0"/>
        <w:keepLines w:val="0"/>
        <w:widowControl w:val="0"/>
        <w:numPr>
          <w:ilvl w:val="0"/>
          <w:numId w:val="9"/>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9"/>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9"/>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9"/>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550" w:val="left"/>
        </w:tabs>
        <w:bidi w:val="0"/>
        <w:spacing w:before="0" w:after="400" w:line="240" w:lineRule="auto"/>
        <w:ind w:left="560" w:right="0" w:hanging="56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3"/>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7</w:t>
      </w:r>
      <w:bookmarkEnd w:id="16"/>
      <w:bookmarkEnd w:id="17"/>
    </w:p>
    <w:p>
      <w:pPr>
        <w:pStyle w:val="Style23"/>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Smluvní pokuty, odpovědnost za vady, záruční podmínky</w:t>
      </w:r>
      <w:bookmarkEnd w:id="18"/>
      <w:bookmarkEnd w:id="19"/>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započatý den prodlení se zaplacením faktury.</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poskytuje objednateli záruku za kvalitu díla v délce 60 měsíců. Záruční doba počíná běžet dnem předání a převzetí předmětu plnění.</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2"/>
        <w:keepNext w:val="0"/>
        <w:keepLines w:val="0"/>
        <w:widowControl w:val="0"/>
        <w:numPr>
          <w:ilvl w:val="1"/>
          <w:numId w:val="9"/>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2"/>
        <w:keepNext w:val="0"/>
        <w:keepLines w:val="0"/>
        <w:widowControl w:val="0"/>
        <w:numPr>
          <w:ilvl w:val="1"/>
          <w:numId w:val="9"/>
        </w:numPr>
        <w:shd w:val="clear" w:color="auto" w:fill="auto"/>
        <w:tabs>
          <w:tab w:pos="577"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2"/>
        <w:keepNext w:val="0"/>
        <w:keepLines w:val="0"/>
        <w:widowControl w:val="0"/>
        <w:numPr>
          <w:ilvl w:val="1"/>
          <w:numId w:val="9"/>
        </w:numPr>
        <w:shd w:val="clear" w:color="auto" w:fill="auto"/>
        <w:tabs>
          <w:tab w:pos="577" w:val="left"/>
        </w:tabs>
        <w:bidi w:val="0"/>
        <w:spacing w:before="0" w:line="240" w:lineRule="auto"/>
        <w:ind w:left="560" w:right="0" w:hanging="560"/>
        <w:jc w:val="both"/>
      </w:pPr>
      <w:r>
        <w:rPr>
          <w:color w:val="000000"/>
          <w:spacing w:val="0"/>
          <w:w w:val="100"/>
          <w:position w:val="0"/>
          <w:shd w:val="clear" w:color="auto" w:fill="auto"/>
          <w:lang w:val="cs-CZ" w:eastAsia="cs-CZ" w:bidi="cs-CZ"/>
        </w:rPr>
        <w:t>Na písemné ohlášení vad je zhotovitel povinen odpovědět do 5 dnů ode dne doručení. Pokud tuto svoji povinnost nesplní, má se za to, že s termínem odstranění vad, uvedených v ohlášení, souhlasí.</w:t>
      </w:r>
    </w:p>
    <w:p>
      <w:pPr>
        <w:pStyle w:val="Style2"/>
        <w:keepNext w:val="0"/>
        <w:keepLines w:val="0"/>
        <w:widowControl w:val="0"/>
        <w:numPr>
          <w:ilvl w:val="1"/>
          <w:numId w:val="9"/>
        </w:numPr>
        <w:shd w:val="clear" w:color="auto" w:fill="auto"/>
        <w:tabs>
          <w:tab w:pos="577" w:val="left"/>
        </w:tabs>
        <w:bidi w:val="0"/>
        <w:spacing w:before="0" w:line="240" w:lineRule="auto"/>
        <w:ind w:left="560" w:right="0" w:hanging="560"/>
        <w:jc w:val="both"/>
      </w:pPr>
      <w:r>
        <w:rPr>
          <w:color w:val="000000"/>
          <w:spacing w:val="0"/>
          <w:w w:val="100"/>
          <w:position w:val="0"/>
          <w:shd w:val="clear" w:color="auto" w:fill="auto"/>
          <w:lang w:val="cs-CZ" w:eastAsia="cs-CZ" w:bidi="cs-CZ"/>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2"/>
        <w:keepNext w:val="0"/>
        <w:keepLines w:val="0"/>
        <w:widowControl w:val="0"/>
        <w:numPr>
          <w:ilvl w:val="1"/>
          <w:numId w:val="9"/>
        </w:numPr>
        <w:shd w:val="clear" w:color="auto" w:fill="auto"/>
        <w:tabs>
          <w:tab w:pos="577" w:val="left"/>
        </w:tabs>
        <w:bidi w:val="0"/>
        <w:spacing w:before="0" w:line="240" w:lineRule="auto"/>
        <w:ind w:left="560" w:right="0" w:hanging="56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2"/>
        <w:keepNext w:val="0"/>
        <w:keepLines w:val="0"/>
        <w:widowControl w:val="0"/>
        <w:numPr>
          <w:ilvl w:val="1"/>
          <w:numId w:val="9"/>
        </w:numPr>
        <w:shd w:val="clear" w:color="auto" w:fill="auto"/>
        <w:tabs>
          <w:tab w:pos="567" w:val="left"/>
        </w:tabs>
        <w:bidi w:val="0"/>
        <w:spacing w:before="0" w:after="540" w:line="240" w:lineRule="auto"/>
        <w:ind w:left="560" w:right="0" w:hanging="56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23"/>
        <w:keepNext/>
        <w:keepLines/>
        <w:widowControl w:val="0"/>
        <w:shd w:val="clear" w:color="auto" w:fill="auto"/>
        <w:bidi w:val="0"/>
        <w:spacing w:before="0" w:line="233"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8</w:t>
        <w:br/>
        <w:t>Další ujednání</w:t>
      </w:r>
      <w:bookmarkEnd w:id="20"/>
      <w:bookmarkEnd w:id="21"/>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z w:val="24"/>
          <w:szCs w:val="24"/>
          <w:shd w:val="clear" w:color="auto" w:fill="auto"/>
          <w:lang w:val="cs-CZ" w:eastAsia="cs-CZ" w:bidi="cs-CZ"/>
        </w:rPr>
        <w:t xml:space="preserve">§ 2 písm. e) zákona č. 320/2001 Sb., o finanční kontrole </w:t>
      </w:r>
      <w:r>
        <w:rPr>
          <w:color w:val="000000"/>
          <w:spacing w:val="0"/>
          <w:w w:val="100"/>
          <w:position w:val="0"/>
          <w:shd w:val="clear" w:color="auto" w:fill="auto"/>
          <w:lang w:val="cs-CZ" w:eastAsia="cs-CZ" w:bidi="cs-CZ"/>
        </w:rPr>
        <w:t>ve veřejné správě a o změně některých zákonů (zákon o finanční kontrole) v platném znění.</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w:t>
      </w:r>
      <w:r>
        <w:rPr>
          <w:b/>
          <w:bCs/>
          <w:color w:val="000000"/>
          <w:spacing w:val="0"/>
          <w:w w:val="100"/>
          <w:position w:val="0"/>
          <w:sz w:val="24"/>
          <w:szCs w:val="24"/>
          <w:shd w:val="clear" w:color="auto" w:fill="auto"/>
          <w:lang w:val="cs-CZ" w:eastAsia="cs-CZ" w:bidi="cs-CZ"/>
        </w:rPr>
        <w:t xml:space="preserve">v 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předmětné zakázky. Zhotovitel je povinen předložit doklady prokazující splnění výše uvedených kvalifikačních předpokladů do 10 pracovních dnů ode dne doručení písemné výzvy ze strany objednatele.</w:t>
      </w:r>
    </w:p>
    <w:p>
      <w:pPr>
        <w:pStyle w:val="Style2"/>
        <w:keepNext w:val="0"/>
        <w:keepLines w:val="0"/>
        <w:widowControl w:val="0"/>
        <w:numPr>
          <w:ilvl w:val="0"/>
          <w:numId w:val="11"/>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shd w:val="clear" w:color="auto" w:fill="auto"/>
        <w:bidi w:val="0"/>
        <w:spacing w:before="0" w:after="420" w:line="240" w:lineRule="auto"/>
        <w:ind w:left="560" w:right="0" w:hanging="560"/>
        <w:jc w:val="both"/>
      </w:pPr>
      <w:r>
        <w:rPr>
          <w:b/>
          <w:bCs/>
          <w:color w:val="000000"/>
          <w:spacing w:val="0"/>
          <w:w w:val="100"/>
          <w:position w:val="0"/>
          <w:sz w:val="24"/>
          <w:szCs w:val="24"/>
          <w:shd w:val="clear" w:color="auto" w:fill="auto"/>
          <w:lang w:val="cs-CZ" w:eastAsia="cs-CZ" w:bidi="cs-CZ"/>
        </w:rPr>
        <w:t xml:space="preserve">8.10 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z w:val="24"/>
          <w:szCs w:val="24"/>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z w:val="24"/>
          <w:szCs w:val="24"/>
          <w:shd w:val="clear" w:color="auto" w:fill="auto"/>
          <w:lang w:val="cs-CZ" w:eastAsia="cs-CZ" w:bidi="cs-CZ"/>
        </w:rPr>
        <w:t xml:space="preserve">70.000 Kč. </w:t>
      </w:r>
      <w:r>
        <w:rPr>
          <w:color w:val="000000"/>
          <w:spacing w:val="0"/>
          <w:w w:val="100"/>
          <w:position w:val="0"/>
          <w:shd w:val="clear" w:color="auto" w:fill="auto"/>
          <w:lang w:val="cs-CZ" w:eastAsia="cs-CZ" w:bidi="cs-CZ"/>
        </w:rPr>
        <w:t xml:space="preserve">Za účelem prokázání splnění tohoto požadavku je zhotovitel povinen doložit objednateli do </w:t>
      </w:r>
      <w:r>
        <w:rPr>
          <w:color w:val="000000"/>
          <w:spacing w:val="0"/>
          <w:w w:val="100"/>
          <w:position w:val="0"/>
          <w:shd w:val="clear" w:color="auto" w:fill="auto"/>
          <w:lang w:val="cs-CZ" w:eastAsia="cs-CZ" w:bidi="cs-CZ"/>
        </w:rPr>
        <w:t>3 pracovních dnů od doručení výzvy doklad osvědčující uzavření pojistné smlouvy v požadovaném rozsahu.</w:t>
      </w:r>
    </w:p>
    <w:p>
      <w:pPr>
        <w:pStyle w:val="Style23"/>
        <w:keepNext/>
        <w:keepLines/>
        <w:widowControl w:val="0"/>
        <w:shd w:val="clear" w:color="auto" w:fill="auto"/>
        <w:bidi w:val="0"/>
        <w:spacing w:before="0" w:line="233"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9</w:t>
        <w:br/>
        <w:t>Zvláštní ujednání</w:t>
      </w:r>
      <w:bookmarkEnd w:id="22"/>
      <w:bookmarkEnd w:id="23"/>
    </w:p>
    <w:p>
      <w:pPr>
        <w:pStyle w:val="Style2"/>
        <w:keepNext w:val="0"/>
        <w:keepLines w:val="0"/>
        <w:widowControl w:val="0"/>
        <w:numPr>
          <w:ilvl w:val="1"/>
          <w:numId w:val="1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1"/>
          <w:numId w:val="1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1"/>
          <w:numId w:val="11"/>
        </w:numPr>
        <w:shd w:val="clear" w:color="auto" w:fill="auto"/>
        <w:tabs>
          <w:tab w:pos="566" w:val="left"/>
        </w:tabs>
        <w:bidi w:val="0"/>
        <w:spacing w:before="0" w:after="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1"/>
          <w:numId w:val="11"/>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13"/>
        </w:numPr>
        <w:shd w:val="clear" w:color="auto" w:fill="auto"/>
        <w:tabs>
          <w:tab w:pos="1100" w:val="left"/>
        </w:tabs>
        <w:bidi w:val="0"/>
        <w:spacing w:before="0" w:line="240" w:lineRule="auto"/>
        <w:ind w:left="1100" w:right="0" w:hanging="36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13"/>
        </w:numPr>
        <w:shd w:val="clear" w:color="auto" w:fill="auto"/>
        <w:tabs>
          <w:tab w:pos="1100" w:val="left"/>
        </w:tabs>
        <w:bidi w:val="0"/>
        <w:spacing w:before="0" w:line="240" w:lineRule="auto"/>
        <w:ind w:left="1100" w:right="0" w:hanging="360"/>
        <w:jc w:val="both"/>
      </w:pPr>
      <w:r>
        <w:rPr>
          <w:color w:val="000000"/>
          <w:spacing w:val="0"/>
          <w:w w:val="100"/>
          <w:position w:val="0"/>
          <w:shd w:val="clear" w:color="auto" w:fill="auto"/>
          <w:lang w:val="cs-CZ" w:eastAsia="cs-CZ" w:bidi="cs-CZ"/>
        </w:rPr>
        <w:t>v případě, že zhotovitel uvedl ve své nabídce informace nebo doklady, které neodpovídají skutečnosti a měly nebo mohly mít vliv na výsledek zadávacího řízení; a</w:t>
      </w:r>
    </w:p>
    <w:p>
      <w:pPr>
        <w:pStyle w:val="Style2"/>
        <w:keepNext w:val="0"/>
        <w:keepLines w:val="0"/>
        <w:widowControl w:val="0"/>
        <w:numPr>
          <w:ilvl w:val="0"/>
          <w:numId w:val="13"/>
        </w:numPr>
        <w:shd w:val="clear" w:color="auto" w:fill="auto"/>
        <w:tabs>
          <w:tab w:pos="1100" w:val="left"/>
        </w:tabs>
        <w:bidi w:val="0"/>
        <w:spacing w:before="0" w:line="240" w:lineRule="auto"/>
        <w:ind w:left="1100" w:right="0" w:hanging="36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2"/>
        <w:keepNext w:val="0"/>
        <w:keepLines w:val="0"/>
        <w:widowControl w:val="0"/>
        <w:shd w:val="clear" w:color="auto" w:fill="auto"/>
        <w:bidi w:val="0"/>
        <w:spacing w:before="0" w:after="520" w:line="240" w:lineRule="auto"/>
        <w:ind w:left="580" w:right="0" w:hanging="580"/>
        <w:jc w:val="both"/>
      </w:pPr>
      <w:r>
        <w:rPr>
          <w:b/>
          <w:bCs/>
          <w:color w:val="000000"/>
          <w:spacing w:val="0"/>
          <w:w w:val="100"/>
          <w:position w:val="0"/>
          <w:sz w:val="24"/>
          <w:szCs w:val="24"/>
          <w:shd w:val="clear" w:color="auto" w:fill="auto"/>
          <w:lang w:val="cs-CZ" w:eastAsia="cs-CZ" w:bidi="cs-CZ"/>
        </w:rPr>
        <w:t xml:space="preserve">9.5 </w:t>
      </w: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poptávací řízení na nového zhotovitele, který dokončí rozpracované dílo. Pro tyto účely budou předmětem této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poptávacím řízení vybrána jako nejvýhodnější) a částka, o kterou případně přesáhne nová cenová nabídka cenovou nabídku zhotovitele, bude společně s náklady spojenými s realizací nového poptávacího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3"/>
        <w:keepNext/>
        <w:keepLines/>
        <w:widowControl w:val="0"/>
        <w:shd w:val="clear" w:color="auto" w:fill="auto"/>
        <w:bidi w:val="0"/>
        <w:spacing w:before="0" w:after="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10</w:t>
      </w:r>
      <w:bookmarkEnd w:id="24"/>
      <w:bookmarkEnd w:id="25"/>
    </w:p>
    <w:p>
      <w:pPr>
        <w:pStyle w:val="Style25"/>
        <w:keepNext w:val="0"/>
        <w:keepLines w:val="0"/>
        <w:widowControl w:val="0"/>
        <w:shd w:val="clear" w:color="auto" w:fill="auto"/>
        <w:bidi w:val="0"/>
        <w:spacing w:before="0" w:after="0"/>
        <w:ind w:left="0" w:right="0" w:firstLine="0"/>
        <w:jc w:val="center"/>
      </w:pPr>
      <w:r>
        <w:rPr>
          <w:rFonts w:ascii="Calibri" w:eastAsia="Calibri" w:hAnsi="Calibri" w:cs="Calibri"/>
          <w:b w:val="0"/>
          <w:bCs w:val="0"/>
          <w:i w:val="0"/>
          <w:iCs w:val="0"/>
          <w:color w:val="000000"/>
          <w:spacing w:val="0"/>
          <w:w w:val="100"/>
          <w:position w:val="0"/>
          <w:sz w:val="24"/>
          <w:szCs w:val="24"/>
          <w:shd w:val="clear" w:color="auto" w:fill="auto"/>
          <w:lang w:val="cs-CZ" w:eastAsia="cs-CZ" w:bidi="cs-CZ"/>
        </w:rPr>
        <w:t xml:space="preserve">v </w:t>
      </w:r>
      <w:r>
        <w:rPr>
          <w:color w:val="000000"/>
          <w:spacing w:val="0"/>
          <w:w w:val="100"/>
          <w:position w:val="0"/>
          <w:shd w:val="clear" w:color="auto" w:fill="auto"/>
          <w:lang w:val="cs-CZ" w:eastAsia="cs-CZ" w:bidi="cs-CZ"/>
        </w:rPr>
        <w:t>r •</w:t>
      </w:r>
    </w:p>
    <w:p>
      <w:pPr>
        <w:pStyle w:val="Style2"/>
        <w:keepNext w:val="0"/>
        <w:keepLines w:val="0"/>
        <w:widowControl w:val="0"/>
        <w:shd w:val="clear" w:color="auto" w:fill="auto"/>
        <w:bidi w:val="0"/>
        <w:spacing w:before="0" w:line="180" w:lineRule="auto"/>
        <w:ind w:left="0" w:right="0" w:firstLine="0"/>
        <w:jc w:val="center"/>
      </w:pPr>
      <w:r>
        <w:rPr>
          <w:b/>
          <w:bCs/>
          <w:color w:val="000000"/>
          <w:spacing w:val="0"/>
          <w:w w:val="100"/>
          <w:position w:val="0"/>
          <w:sz w:val="24"/>
          <w:szCs w:val="24"/>
          <w:shd w:val="clear" w:color="auto" w:fill="auto"/>
          <w:lang w:val="cs-CZ" w:eastAsia="cs-CZ" w:bidi="cs-CZ"/>
        </w:rPr>
        <w:t>Závěrečná ujednání</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15"/>
        </w:numPr>
        <w:shd w:val="clear" w:color="auto" w:fill="auto"/>
        <w:tabs>
          <w:tab w:pos="710" w:val="left"/>
        </w:tabs>
        <w:bidi w:val="0"/>
        <w:spacing w:before="0" w:after="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15"/>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Smlouva je vyhotovena v 1 výtisku v elektronické formě ve formátu .pdf s Kvalifikovaným elektronickým podpisem obou smluvních stran.</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520" w:line="240" w:lineRule="auto"/>
        <w:ind w:left="1140" w:right="0" w:firstLine="0"/>
        <w:jc w:val="left"/>
      </w:pPr>
      <w:r>
        <w:rPr>
          <w:color w:val="000000"/>
          <w:spacing w:val="0"/>
          <w:w w:val="100"/>
          <w:position w:val="0"/>
          <w:shd w:val="clear" w:color="auto" w:fill="auto"/>
          <w:lang w:val="cs-CZ" w:eastAsia="cs-CZ" w:bidi="cs-CZ"/>
        </w:rPr>
        <w:t>Cenová nabídka zhotovitele ze dne 12. 9. 2022</w:t>
      </w:r>
    </w:p>
    <w:p>
      <w:pPr>
        <w:pStyle w:val="Style2"/>
        <w:keepNext w:val="0"/>
        <w:keepLines w:val="0"/>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645795</wp:posOffset>
                </wp:positionH>
                <wp:positionV relativeFrom="paragraph">
                  <wp:posOffset>12700</wp:posOffset>
                </wp:positionV>
                <wp:extent cx="716280" cy="213360"/>
                <wp:wrapSquare wrapText="right"/>
                <wp:docPr id="1" name="Shape 1"/>
                <a:graphic xmlns:a="http://schemas.openxmlformats.org/drawingml/2006/main">
                  <a:graphicData uri="http://schemas.microsoft.com/office/word/2010/wordprocessingShape">
                    <wps:wsp>
                      <wps:cNvSpPr txBox="1"/>
                      <wps:spPr>
                        <a:xfrm>
                          <a:ext cx="716280"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850000000000001pt;margin-top:1.pt;width:56.399999999999999pt;height:16.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220"/>
        <w:jc w:val="left"/>
        <w:sectPr>
          <w:footerReference w:type="default" r:id="rId5"/>
          <w:footnotePr>
            <w:pos w:val="pageBottom"/>
            <w:numFmt w:val="decimal"/>
            <w:numRestart w:val="continuous"/>
          </w:footnotePr>
          <w:pgSz w:w="11900" w:h="16840"/>
          <w:pgMar w:top="538" w:left="868" w:right="1019" w:bottom="1252" w:header="110" w:footer="3" w:gutter="0"/>
          <w:pgNumType w:start="1"/>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3687445</wp:posOffset>
                </wp:positionH>
                <wp:positionV relativeFrom="paragraph">
                  <wp:posOffset>12700</wp:posOffset>
                </wp:positionV>
                <wp:extent cx="575945" cy="213360"/>
                <wp:wrapSquare wrapText="left"/>
                <wp:docPr id="8" name="Shape 8"/>
                <a:graphic xmlns:a="http://schemas.openxmlformats.org/drawingml/2006/main">
                  <a:graphicData uri="http://schemas.microsoft.com/office/word/2010/wordprocessingShape">
                    <wps:wsp>
                      <wps:cNvSpPr txBox="1"/>
                      <wps:spPr>
                        <a:xfrm>
                          <a:ext cx="57594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wps:txbx>
                      <wps:bodyPr wrap="none" lIns="0" tIns="0" rIns="0" bIns="0">
                        <a:noAutoFit/>
                      </wps:bodyPr>
                    </wps:wsp>
                  </a:graphicData>
                </a:graphic>
              </wp:anchor>
            </w:drawing>
          </mc:Choice>
          <mc:Fallback>
            <w:pict>
              <v:shape id="_x0000_s1034" type="#_x0000_t202" style="position:absolute;margin-left:290.35000000000002pt;margin-top:1.pt;width:45.350000000000001pt;height:16.8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v:textbox>
                <w10:wrap type="square" side="left" anchorx="page"/>
              </v:shape>
            </w:pict>
          </mc:Fallback>
        </mc:AlternateContent>
      </w:r>
      <w:r>
        <w:rPr>
          <w:color w:val="000000"/>
          <w:spacing w:val="0"/>
          <w:w w:val="100"/>
          <w:position w:val="0"/>
          <w:shd w:val="clear" w:color="auto" w:fill="auto"/>
          <w:lang w:val="cs-CZ" w:eastAsia="cs-CZ" w:bidi="cs-CZ"/>
        </w:rPr>
        <w:t>V Českých Budějovicích</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8" w:after="10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75" w:left="0" w:right="0" w:bottom="117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Jan David Ing. Dušan Sitař</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Jednatel společnosti Jednatel společnosti</w:t>
      </w:r>
    </w:p>
    <w:p>
      <w:pPr>
        <w:pStyle w:val="Style2"/>
        <w:keepNext w:val="0"/>
        <w:keepLines w:val="0"/>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cs-CZ" w:eastAsia="cs-CZ" w:bidi="cs-CZ"/>
        </w:rPr>
        <w:t>TPA ČR, s.r.o. TPA ČR, s.r.o.</w:t>
      </w:r>
    </w:p>
    <w:p>
      <w:pPr>
        <w:pStyle w:val="Style2"/>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1040" w:right="0" w:firstLine="0"/>
        <w:jc w:val="left"/>
        <w:rPr>
          <w:sz w:val="22"/>
          <w:szCs w:val="22"/>
        </w:rPr>
      </w:pPr>
      <w:r>
        <w:rPr>
          <w:color w:val="000000"/>
          <w:spacing w:val="0"/>
          <w:w w:val="100"/>
          <w:position w:val="0"/>
          <w:sz w:val="22"/>
          <w:szCs w:val="22"/>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0" w:right="0" w:firstLine="0"/>
        <w:jc w:val="left"/>
        <w:rPr>
          <w:sz w:val="22"/>
          <w:szCs w:val="22"/>
        </w:rPr>
        <w:sectPr>
          <w:footnotePr>
            <w:pos w:val="pageBottom"/>
            <w:numFmt w:val="decimal"/>
            <w:numRestart w:val="continuous"/>
          </w:footnotePr>
          <w:type w:val="continuous"/>
          <w:pgSz w:w="11900" w:h="16840"/>
          <w:pgMar w:top="975" w:left="1512" w:right="2386" w:bottom="1172" w:header="0" w:footer="3" w:gutter="0"/>
          <w:cols w:num="2" w:space="570"/>
          <w:noEndnote/>
          <w:rtlGutter w:val="0"/>
          <w:docGrid w:linePitch="360"/>
        </w:sectPr>
      </w:pPr>
      <w:r>
        <w:rPr>
          <w:color w:val="000000"/>
          <w:spacing w:val="0"/>
          <w:w w:val="100"/>
          <w:position w:val="0"/>
          <w:sz w:val="22"/>
          <w:szCs w:val="22"/>
          <w:shd w:val="clear" w:color="auto" w:fill="auto"/>
          <w:lang w:val="cs-CZ" w:eastAsia="cs-CZ" w:bidi="cs-CZ"/>
        </w:rPr>
        <w:t>Krajská správa a údržba silnic Vysočiny, příspěvková organizace</w:t>
      </w: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5429885</wp:posOffset>
                </wp:positionH>
                <wp:positionV relativeFrom="paragraph">
                  <wp:posOffset>1426210</wp:posOffset>
                </wp:positionV>
                <wp:extent cx="1219200" cy="1167130"/>
                <wp:wrapSquare wrapText="bothSides"/>
                <wp:docPr id="10" name="Shape 10"/>
                <a:graphic xmlns:a="http://schemas.openxmlformats.org/drawingml/2006/main">
                  <a:graphicData uri="http://schemas.microsoft.com/office/word/2010/wordprocessingShape">
                    <wps:wsp>
                      <wps:cNvSpPr txBox="1"/>
                      <wps:spPr>
                        <a:xfrm>
                          <a:ext cx="1219200" cy="1167130"/>
                        </a:xfrm>
                        <a:prstGeom prst="rect"/>
                        <a:noFill/>
                      </wps:spPr>
                      <wps:txbx>
                        <w:txbxContent>
                          <w:p>
                            <w:pPr>
                              <w:pStyle w:val="Style29"/>
                              <w:keepNext w:val="0"/>
                              <w:keepLines w:val="0"/>
                              <w:widowControl w:val="0"/>
                              <w:shd w:val="clear" w:color="auto" w:fill="auto"/>
                              <w:bidi w:val="0"/>
                              <w:spacing w:before="0" w:after="72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Vvřizuie</w:t>
                            </w:r>
                          </w:p>
                          <w:p>
                            <w:pPr>
                              <w:pStyle w:val="Style29"/>
                              <w:keepNext w:val="0"/>
                              <w:keepLines w:val="0"/>
                              <w:widowControl w:val="0"/>
                              <w:shd w:val="clear" w:color="auto" w:fill="auto"/>
                              <w:bidi w:val="0"/>
                              <w:spacing w:before="0" w:after="22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©tpaqi.com</w:t>
                            </w:r>
                          </w:p>
                          <w:p>
                            <w:pPr>
                              <w:pStyle w:val="Style29"/>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Naše značka</w:t>
                            </w:r>
                          </w:p>
                          <w:p>
                            <w:pPr>
                              <w:pStyle w:val="Style29"/>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CZEE4020220115 v02</w:t>
                            </w:r>
                          </w:p>
                        </w:txbxContent>
                      </wps:txbx>
                      <wps:bodyPr lIns="0" tIns="0" rIns="0" bIns="0">
                        <a:noAutoFit/>
                      </wps:bodyPr>
                    </wps:wsp>
                  </a:graphicData>
                </a:graphic>
              </wp:anchor>
            </w:drawing>
          </mc:Choice>
          <mc:Fallback>
            <w:pict>
              <v:shape id="_x0000_s1036" type="#_x0000_t202" style="position:absolute;margin-left:427.55000000000001pt;margin-top:112.3pt;width:96.pt;height:91.900000000000006pt;z-index:-125829371;mso-wrap-distance-left:9.pt;mso-wrap-distance-right:9.pt;mso-position-horizontal-relative:page" filled="f" stroked="f">
                <v:textbox inset="0,0,0,0">
                  <w:txbxContent>
                    <w:p>
                      <w:pPr>
                        <w:pStyle w:val="Style29"/>
                        <w:keepNext w:val="0"/>
                        <w:keepLines w:val="0"/>
                        <w:widowControl w:val="0"/>
                        <w:shd w:val="clear" w:color="auto" w:fill="auto"/>
                        <w:bidi w:val="0"/>
                        <w:spacing w:before="0" w:after="72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Vvřizuie</w:t>
                      </w:r>
                    </w:p>
                    <w:p>
                      <w:pPr>
                        <w:pStyle w:val="Style29"/>
                        <w:keepNext w:val="0"/>
                        <w:keepLines w:val="0"/>
                        <w:widowControl w:val="0"/>
                        <w:shd w:val="clear" w:color="auto" w:fill="auto"/>
                        <w:bidi w:val="0"/>
                        <w:spacing w:before="0" w:after="22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©tpaqi.com</w:t>
                      </w:r>
                    </w:p>
                    <w:p>
                      <w:pPr>
                        <w:pStyle w:val="Style29"/>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Naše značka</w:t>
                      </w:r>
                    </w:p>
                    <w:p>
                      <w:pPr>
                        <w:pStyle w:val="Style29"/>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CZEE4020220115 v02</w:t>
                      </w:r>
                    </w:p>
                  </w:txbxContent>
                </v:textbox>
                <w10:wrap type="square" anchorx="page"/>
              </v:shape>
            </w:pict>
          </mc:Fallback>
        </mc:AlternateContent>
      </w:r>
    </w:p>
    <w:p>
      <w:pPr>
        <w:pStyle w:val="Style2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TPA ČR, s.r.o.</w:t>
      </w:r>
    </w:p>
    <w:p>
      <w:pPr>
        <w:pStyle w:val="Style2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Vrbenská 1821/31,</w:t>
      </w:r>
    </w:p>
    <w:p>
      <w:pPr>
        <w:pStyle w:val="Style29"/>
        <w:keepNext w:val="0"/>
        <w:keepLines w:val="0"/>
        <w:widowControl w:val="0"/>
        <w:shd w:val="clear" w:color="auto" w:fill="auto"/>
        <w:bidi w:val="0"/>
        <w:spacing w:before="0" w:after="160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370 06 České Budějovice</w:t>
      </w:r>
    </w:p>
    <w:p>
      <w:pPr>
        <w:pStyle w:val="Style2"/>
        <w:keepNext w:val="0"/>
        <w:keepLines w:val="0"/>
        <w:widowControl w:val="0"/>
        <w:shd w:val="clear" w:color="auto" w:fill="auto"/>
        <w:bidi w:val="0"/>
        <w:spacing w:before="0" w:after="240" w:line="202" w:lineRule="auto"/>
        <w:ind w:left="0" w:right="0" w:firstLine="0"/>
        <w:jc w:val="left"/>
      </w:pPr>
      <w:r>
        <w:rPr>
          <w:b/>
          <w:bCs/>
          <w:color w:val="000000"/>
          <w:spacing w:val="0"/>
          <w:w w:val="100"/>
          <w:position w:val="0"/>
          <w:sz w:val="24"/>
          <w:szCs w:val="24"/>
          <w:shd w:val="clear" w:color="auto" w:fill="auto"/>
          <w:lang w:val="cs-CZ" w:eastAsia="cs-CZ" w:bidi="cs-CZ"/>
        </w:rPr>
        <w:t>Krajská správa a údržba silnic Vysočiny příspěvková org.</w:t>
      </w:r>
    </w:p>
    <w:p>
      <w:pPr>
        <w:pStyle w:val="Style2"/>
        <w:keepNext w:val="0"/>
        <w:keepLines w:val="0"/>
        <w:widowControl w:val="0"/>
        <w:shd w:val="clear" w:color="auto" w:fill="auto"/>
        <w:bidi w:val="0"/>
        <w:spacing w:before="0" w:after="0" w:line="202" w:lineRule="auto"/>
        <w:ind w:left="0" w:right="0" w:firstLine="0"/>
        <w:jc w:val="left"/>
      </w:pPr>
      <w:r>
        <w:rPr>
          <w:b/>
          <w:bCs/>
          <w:color w:val="000000"/>
          <w:spacing w:val="0"/>
          <w:w w:val="100"/>
          <w:position w:val="0"/>
          <w:sz w:val="24"/>
          <w:szCs w:val="24"/>
          <w:shd w:val="clear" w:color="auto" w:fill="auto"/>
          <w:lang w:val="cs-CZ" w:eastAsia="cs-CZ" w:bidi="cs-CZ"/>
        </w:rPr>
        <w:t>Kosovská 16</w:t>
      </w:r>
    </w:p>
    <w:p>
      <w:pPr>
        <w:pStyle w:val="Style2"/>
        <w:keepNext w:val="0"/>
        <w:keepLines w:val="0"/>
        <w:widowControl w:val="0"/>
        <w:shd w:val="clear" w:color="auto" w:fill="auto"/>
        <w:bidi w:val="0"/>
        <w:spacing w:before="0" w:after="0" w:line="202" w:lineRule="auto"/>
        <w:ind w:left="0" w:right="0" w:firstLine="0"/>
        <w:jc w:val="left"/>
        <w:sectPr>
          <w:footerReference w:type="default" r:id="rId6"/>
          <w:footnotePr>
            <w:pos w:val="pageBottom"/>
            <w:numFmt w:val="decimal"/>
            <w:numRestart w:val="continuous"/>
          </w:footnotePr>
          <w:pgSz w:w="11900" w:h="16840"/>
          <w:pgMar w:top="1243" w:left="1120" w:right="6550" w:bottom="56"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586 01 Jihlava</w:t>
      </w: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3" w:left="0" w:right="0" w:bottom="56" w:header="0" w:footer="3" w:gutter="0"/>
          <w:cols w:space="720"/>
          <w:noEndnote/>
          <w:rtlGutter w:val="0"/>
          <w:docGrid w:linePitch="360"/>
        </w:sectPr>
      </w:pPr>
    </w:p>
    <w:p>
      <w:pPr>
        <w:pStyle w:val="Style33"/>
        <w:keepNext w:val="0"/>
        <w:keepLines w:val="0"/>
        <w:framePr w:w="931" w:h="269" w:wrap="none" w:vAnchor="text" w:hAnchor="page" w:x="9541" w:y="21"/>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12.9.2022</w:t>
      </w:r>
    </w:p>
    <w:p>
      <w:pPr>
        <w:pStyle w:val="Style23"/>
        <w:keepNext/>
        <w:keepLines/>
        <w:framePr w:w="9298" w:h="2318" w:wrap="none" w:vAnchor="text" w:hAnchor="page" w:x="1112" w:y="1019"/>
        <w:widowControl w:val="0"/>
        <w:shd w:val="clear" w:color="auto" w:fill="auto"/>
        <w:bidi w:val="0"/>
        <w:spacing w:before="0" w:after="240" w:line="204"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Nabídka prací - Diagnostický průzkum silnice 11/129 Humpolec, ul. Okružní</w:t>
      </w:r>
      <w:bookmarkEnd w:id="26"/>
      <w:bookmarkEnd w:id="27"/>
    </w:p>
    <w:p>
      <w:pPr>
        <w:pStyle w:val="Style33"/>
        <w:keepNext w:val="0"/>
        <w:keepLines w:val="0"/>
        <w:framePr w:w="9298" w:h="2318" w:wrap="none" w:vAnchor="text" w:hAnchor="page" w:x="1112" w:y="1019"/>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Vážení obchodní partneři,</w:t>
      </w:r>
    </w:p>
    <w:p>
      <w:pPr>
        <w:pStyle w:val="Style33"/>
        <w:keepNext w:val="0"/>
        <w:keepLines w:val="0"/>
        <w:framePr w:w="9298" w:h="2318" w:wrap="none" w:vAnchor="text" w:hAnchor="page" w:x="1112" w:y="1019"/>
        <w:widowControl w:val="0"/>
        <w:shd w:val="clear" w:color="auto" w:fill="auto"/>
        <w:bidi w:val="0"/>
        <w:spacing w:before="0"/>
        <w:ind w:left="0" w:right="0"/>
        <w:jc w:val="left"/>
      </w:pPr>
      <w:r>
        <w:rPr>
          <w:color w:val="000000"/>
          <w:spacing w:val="0"/>
          <w:w w:val="100"/>
          <w:position w:val="0"/>
          <w:shd w:val="clear" w:color="auto" w:fill="auto"/>
          <w:lang w:val="cs-CZ" w:eastAsia="cs-CZ" w:bidi="cs-CZ"/>
        </w:rPr>
        <w:t>děkujeme za oslovení. Zasíláme Vám naši nabídku na „Diagnostický průzkum silnice 11/129 Humpolec, ul. Okružní“ včetně stanovení množství polyaromatických uhlovodíků PAU dle vyhlášky č. 130/2019. Součástí závěrečné zprávy je návrh opravy.</w:t>
      </w:r>
    </w:p>
    <w:p>
      <w:pPr>
        <w:pStyle w:val="Style33"/>
        <w:keepNext w:val="0"/>
        <w:keepLines w:val="0"/>
        <w:framePr w:w="9298" w:h="2318" w:wrap="none" w:vAnchor="text" w:hAnchor="page" w:x="1112" w:y="1019"/>
        <w:widowControl w:val="0"/>
        <w:shd w:val="clear" w:color="auto" w:fill="auto"/>
        <w:bidi w:val="0"/>
        <w:spacing w:before="0"/>
        <w:ind w:left="0" w:right="0"/>
        <w:jc w:val="left"/>
      </w:pPr>
      <w:r>
        <w:rPr>
          <w:color w:val="000000"/>
          <w:spacing w:val="0"/>
          <w:w w:val="100"/>
          <w:position w:val="0"/>
          <w:shd w:val="clear" w:color="auto" w:fill="auto"/>
          <w:lang w:val="cs-CZ" w:eastAsia="cs-CZ" w:bidi="cs-CZ"/>
        </w:rPr>
        <w:t>V případě jakýchkoliv dotazů či nejasností se obracejte na výše uvedené osoby.</w:t>
      </w:r>
    </w:p>
    <w:tbl>
      <w:tblPr>
        <w:tblOverlap w:val="never"/>
        <w:jc w:val="left"/>
        <w:tblLayout w:type="fixed"/>
      </w:tblPr>
      <w:tblGrid>
        <w:gridCol w:w="7325"/>
        <w:gridCol w:w="2155"/>
      </w:tblGrid>
      <w:tr>
        <w:trPr>
          <w:trHeight w:val="202" w:hRule="exact"/>
        </w:trPr>
        <w:tc>
          <w:tcPr>
            <w:tcBorders>
              <w:top w:val="single" w:sz="4"/>
              <w:left w:val="single" w:sz="4"/>
            </w:tcBorders>
            <w:shd w:val="clear" w:color="auto" w:fill="FFFFFF"/>
            <w:vAlign w:val="bottom"/>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26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CELKEM bez DPH</w:t>
            </w:r>
          </w:p>
        </w:tc>
        <w:tc>
          <w:tcPr>
            <w:tcBorders>
              <w:top w:val="single" w:sz="4"/>
              <w:left w:val="single" w:sz="4"/>
              <w:right w:val="single" w:sz="4"/>
            </w:tcBorders>
            <w:shd w:val="clear" w:color="auto" w:fill="FFFFFF"/>
            <w:vAlign w:val="bottom"/>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49 311,00 Kč</w:t>
            </w:r>
          </w:p>
        </w:tc>
      </w:tr>
      <w:tr>
        <w:trPr>
          <w:trHeight w:val="192" w:hRule="exact"/>
        </w:trPr>
        <w:tc>
          <w:tcPr>
            <w:tcBorders>
              <w:top w:val="single" w:sz="4"/>
              <w:left w:val="single" w:sz="4"/>
            </w:tcBorders>
            <w:shd w:val="clear" w:color="auto" w:fill="FFFFFF"/>
            <w:vAlign w:val="bottom"/>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26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CELKEM bez DPH po sledvě 10%</w:t>
            </w:r>
          </w:p>
        </w:tc>
        <w:tc>
          <w:tcPr>
            <w:tcBorders>
              <w:top w:val="single" w:sz="4"/>
              <w:left w:val="single" w:sz="4"/>
              <w:right w:val="single" w:sz="4"/>
            </w:tcBorders>
            <w:shd w:val="clear" w:color="auto" w:fill="FFFFFF"/>
            <w:vAlign w:val="bottom"/>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0"/>
              <w:jc w:val="right"/>
              <w:rPr>
                <w:sz w:val="11"/>
                <w:szCs w:val="11"/>
              </w:rPr>
            </w:pPr>
            <w:r>
              <w:rPr>
                <w:rFonts w:ascii="Arial" w:eastAsia="Arial" w:hAnsi="Arial" w:cs="Arial"/>
                <w:b/>
                <w:bCs/>
                <w:color w:val="000000"/>
                <w:spacing w:val="0"/>
                <w:w w:val="100"/>
                <w:position w:val="0"/>
                <w:sz w:val="11"/>
                <w:szCs w:val="11"/>
                <w:shd w:val="clear" w:color="auto" w:fill="auto"/>
                <w:lang w:val="cs-CZ" w:eastAsia="cs-CZ" w:bidi="cs-CZ"/>
              </w:rPr>
              <w:t>44 379,90 Kč</w:t>
            </w:r>
          </w:p>
        </w:tc>
      </w:tr>
      <w:tr>
        <w:trPr>
          <w:trHeight w:val="168" w:hRule="exact"/>
        </w:trPr>
        <w:tc>
          <w:tcPr>
            <w:tcBorders>
              <w:top w:val="single" w:sz="4"/>
              <w:left w:val="single" w:sz="4"/>
            </w:tcBorders>
            <w:shd w:val="clear" w:color="auto" w:fill="FFFFFF"/>
            <w:vAlign w:val="top"/>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26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DPH 21 %</w:t>
            </w:r>
          </w:p>
        </w:tc>
        <w:tc>
          <w:tcPr>
            <w:tcBorders>
              <w:top w:val="single" w:sz="4"/>
              <w:left w:val="single" w:sz="4"/>
              <w:right w:val="single" w:sz="4"/>
            </w:tcBorders>
            <w:shd w:val="clear" w:color="auto" w:fill="FFFFFF"/>
            <w:vAlign w:val="top"/>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9 319,78 Kč</w:t>
            </w:r>
          </w:p>
        </w:tc>
      </w:tr>
      <w:tr>
        <w:trPr>
          <w:trHeight w:val="379" w:hRule="exact"/>
        </w:trPr>
        <w:tc>
          <w:tcPr>
            <w:tcBorders>
              <w:top w:val="single" w:sz="4"/>
              <w:left w:val="single" w:sz="4"/>
              <w:bottom w:val="single" w:sz="4"/>
            </w:tcBorders>
            <w:shd w:val="clear" w:color="auto" w:fill="FFFFFF"/>
            <w:vAlign w:val="center"/>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26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Cena CELKEM s DPH</w:t>
            </w:r>
          </w:p>
        </w:tc>
        <w:tc>
          <w:tcPr>
            <w:tcBorders>
              <w:top w:val="single" w:sz="4"/>
              <w:left w:val="single" w:sz="4"/>
              <w:bottom w:val="single" w:sz="4"/>
              <w:right w:val="single" w:sz="4"/>
            </w:tcBorders>
            <w:shd w:val="clear" w:color="auto" w:fill="FFFFFF"/>
            <w:vAlign w:val="center"/>
          </w:tcPr>
          <w:p>
            <w:pPr>
              <w:pStyle w:val="Style15"/>
              <w:keepNext w:val="0"/>
              <w:keepLines w:val="0"/>
              <w:framePr w:w="9480" w:h="941" w:wrap="none" w:vAnchor="text" w:hAnchor="page" w:x="1150" w:y="4028"/>
              <w:widowControl w:val="0"/>
              <w:shd w:val="clear" w:color="auto" w:fill="auto"/>
              <w:bidi w:val="0"/>
              <w:spacing w:before="0" w:after="0" w:line="240" w:lineRule="auto"/>
              <w:ind w:left="0" w:right="0" w:firstLine="0"/>
              <w:jc w:val="right"/>
              <w:rPr>
                <w:sz w:val="11"/>
                <w:szCs w:val="11"/>
              </w:rPr>
            </w:pPr>
            <w:r>
              <w:rPr>
                <w:rFonts w:ascii="Arial" w:eastAsia="Arial" w:hAnsi="Arial" w:cs="Arial"/>
                <w:b/>
                <w:bCs/>
                <w:color w:val="000000"/>
                <w:spacing w:val="0"/>
                <w:w w:val="100"/>
                <w:position w:val="0"/>
                <w:sz w:val="11"/>
                <w:szCs w:val="11"/>
                <w:shd w:val="clear" w:color="auto" w:fill="auto"/>
                <w:lang w:val="cs-CZ" w:eastAsia="cs-CZ" w:bidi="cs-CZ"/>
              </w:rPr>
              <w:t>53 699,68 Kč</w:t>
            </w:r>
          </w:p>
        </w:tc>
      </w:tr>
    </w:tbl>
    <w:p>
      <w:pPr>
        <w:framePr w:w="9480" w:h="941" w:wrap="none" w:vAnchor="text" w:hAnchor="page" w:x="1150" w:y="4028"/>
        <w:widowControl w:val="0"/>
        <w:spacing w:line="1" w:lineRule="exact"/>
      </w:pPr>
    </w:p>
    <w:tbl>
      <w:tblPr>
        <w:tblOverlap w:val="never"/>
        <w:jc w:val="left"/>
        <w:tblLayout w:type="fixed"/>
      </w:tblPr>
      <w:tblGrid>
        <w:gridCol w:w="3341"/>
        <w:gridCol w:w="946"/>
      </w:tblGrid>
      <w:tr>
        <w:trPr>
          <w:trHeight w:val="259" w:hRule="exact"/>
        </w:trPr>
        <w:tc>
          <w:tcPr>
            <w:tcBorders/>
            <w:shd w:val="clear" w:color="auto" w:fill="FFFFFF"/>
            <w:vAlign w:val="bottom"/>
          </w:tcPr>
          <w:p>
            <w:pPr>
              <w:pStyle w:val="Style15"/>
              <w:keepNext w:val="0"/>
              <w:keepLines w:val="0"/>
              <w:framePr w:w="4286" w:h="989" w:wrap="none" w:vAnchor="text" w:hAnchor="page" w:x="1141" w:y="5718"/>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Předpokládaný termín realizace:</w:t>
            </w:r>
          </w:p>
        </w:tc>
        <w:tc>
          <w:tcPr>
            <w:tcBorders/>
            <w:shd w:val="clear" w:color="auto" w:fill="FFFFFF"/>
            <w:vAlign w:val="bottom"/>
          </w:tcPr>
          <w:p>
            <w:pPr>
              <w:pStyle w:val="Style15"/>
              <w:keepNext w:val="0"/>
              <w:keepLines w:val="0"/>
              <w:framePr w:w="4286" w:h="989" w:wrap="none" w:vAnchor="text" w:hAnchor="page" w:x="1141" w:y="5718"/>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09/2022</w:t>
            </w:r>
          </w:p>
        </w:tc>
      </w:tr>
      <w:tr>
        <w:trPr>
          <w:trHeight w:val="365" w:hRule="exact"/>
        </w:trPr>
        <w:tc>
          <w:tcPr>
            <w:tcBorders/>
            <w:shd w:val="clear" w:color="auto" w:fill="FFFFFF"/>
            <w:vAlign w:val="top"/>
          </w:tcPr>
          <w:p>
            <w:pPr>
              <w:pStyle w:val="Style15"/>
              <w:keepNext w:val="0"/>
              <w:keepLines w:val="0"/>
              <w:framePr w:w="4286" w:h="989" w:wrap="none" w:vAnchor="text" w:hAnchor="page" w:x="1141" w:y="5718"/>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Platnost závaznosti nabídky:</w:t>
            </w:r>
          </w:p>
        </w:tc>
        <w:tc>
          <w:tcPr>
            <w:tcBorders/>
            <w:shd w:val="clear" w:color="auto" w:fill="FFFFFF"/>
            <w:vAlign w:val="top"/>
          </w:tcPr>
          <w:p>
            <w:pPr>
              <w:pStyle w:val="Style15"/>
              <w:keepNext w:val="0"/>
              <w:keepLines w:val="0"/>
              <w:framePr w:w="4286" w:h="989" w:wrap="none" w:vAnchor="text" w:hAnchor="page" w:x="1141" w:y="5718"/>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09/2022</w:t>
            </w:r>
          </w:p>
        </w:tc>
      </w:tr>
      <w:tr>
        <w:trPr>
          <w:trHeight w:val="365" w:hRule="exact"/>
        </w:trPr>
        <w:tc>
          <w:tcPr>
            <w:tcBorders/>
            <w:shd w:val="clear" w:color="auto" w:fill="FFFFFF"/>
            <w:vAlign w:val="bottom"/>
          </w:tcPr>
          <w:p>
            <w:pPr>
              <w:pStyle w:val="Style15"/>
              <w:keepNext w:val="0"/>
              <w:keepLines w:val="0"/>
              <w:framePr w:w="4286" w:h="989" w:wrap="none" w:vAnchor="text" w:hAnchor="page" w:x="1141" w:y="5718"/>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Příloha:</w:t>
            </w:r>
          </w:p>
        </w:tc>
        <w:tc>
          <w:tcPr>
            <w:tcBorders/>
            <w:shd w:val="clear" w:color="auto" w:fill="FFFFFF"/>
            <w:vAlign w:val="bottom"/>
          </w:tcPr>
          <w:p>
            <w:pPr>
              <w:pStyle w:val="Style15"/>
              <w:keepNext w:val="0"/>
              <w:keepLines w:val="0"/>
              <w:framePr w:w="4286" w:h="989" w:wrap="none" w:vAnchor="text" w:hAnchor="page" w:x="1141" w:y="5718"/>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1x A4</w:t>
            </w:r>
          </w:p>
        </w:tc>
      </w:tr>
    </w:tbl>
    <w:p>
      <w:pPr>
        <w:framePr w:w="4286" w:h="989" w:wrap="none" w:vAnchor="text" w:hAnchor="page" w:x="1141" w:y="5718"/>
        <w:widowControl w:val="0"/>
        <w:spacing w:line="1" w:lineRule="exact"/>
      </w:pPr>
    </w:p>
    <w:p>
      <w:pPr>
        <w:pStyle w:val="Style2"/>
        <w:keepNext w:val="0"/>
        <w:keepLines w:val="0"/>
        <w:framePr w:w="1421" w:h="336" w:wrap="none" w:vAnchor="text" w:hAnchor="page" w:x="1131" w:y="7148"/>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S pozdravem</w:t>
      </w:r>
    </w:p>
    <w:p>
      <w:pPr>
        <w:pStyle w:val="Style23"/>
        <w:keepNext/>
        <w:keepLines/>
        <w:framePr w:w="3125" w:h="336" w:wrap="none" w:vAnchor="text" w:hAnchor="page" w:x="1121" w:y="8665"/>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Jednatel společnosti TPA ČR</w:t>
      </w:r>
      <w:bookmarkEnd w:id="28"/>
      <w:bookmarkEnd w:id="29"/>
    </w:p>
    <w:p>
      <w:pPr>
        <w:pStyle w:val="Style23"/>
        <w:keepNext/>
        <w:keepLines/>
        <w:framePr w:w="4613" w:h="336" w:wrap="none" w:vAnchor="text" w:hAnchor="page" w:x="5355" w:y="8670"/>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Vedoucí skupiny České Budějovice TPA ČR</w:t>
      </w:r>
      <w:bookmarkEnd w:id="30"/>
      <w:bookmarkEnd w:id="31"/>
    </w:p>
    <w:p>
      <w:pPr>
        <w:pStyle w:val="Style40"/>
        <w:keepNext w:val="0"/>
        <w:keepLines w:val="0"/>
        <w:framePr w:w="3446" w:h="610" w:wrap="none" w:vAnchor="text" w:hAnchor="page" w:x="1131" w:y="9567"/>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TPA ČR, s.r.o.</w:t>
      </w:r>
    </w:p>
    <w:p>
      <w:pPr>
        <w:pStyle w:val="Style40"/>
        <w:keepNext w:val="0"/>
        <w:keepLines w:val="0"/>
        <w:framePr w:w="3446" w:h="610" w:wrap="none" w:vAnchor="text" w:hAnchor="page" w:x="1131" w:y="9567"/>
        <w:widowControl w:val="0"/>
        <w:shd w:val="clear" w:color="auto" w:fill="auto"/>
        <w:tabs>
          <w:tab w:pos="31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Vrbenská 1821/31</w:t>
        <w:tab/>
        <w:t>Tel.</w:t>
      </w:r>
    </w:p>
    <w:p>
      <w:pPr>
        <w:pStyle w:val="Style40"/>
        <w:keepNext w:val="0"/>
        <w:keepLines w:val="0"/>
        <w:framePr w:w="3446" w:h="610" w:wrap="none" w:vAnchor="text" w:hAnchor="page" w:x="1131" w:y="9567"/>
        <w:widowControl w:val="0"/>
        <w:shd w:val="clear" w:color="auto" w:fill="auto"/>
        <w:tabs>
          <w:tab w:pos="3154" w:val="left"/>
        </w:tabs>
        <w:bidi w:val="0"/>
        <w:spacing w:before="0" w:after="0" w:line="240" w:lineRule="auto"/>
        <w:ind w:left="0" w:right="0" w:firstLine="0"/>
        <w:jc w:val="left"/>
      </w:pPr>
      <w:r>
        <w:rPr>
          <w:color w:val="000000"/>
          <w:spacing w:val="0"/>
          <w:w w:val="100"/>
          <w:position w:val="0"/>
          <w:shd w:val="clear" w:color="auto" w:fill="auto"/>
          <w:lang w:val="cs-CZ" w:eastAsia="cs-CZ" w:bidi="cs-CZ"/>
        </w:rPr>
        <w:t>370 06 České Budějovice/Česká republika</w:t>
        <w:tab/>
        <w:t>Fax</w:t>
      </w:r>
    </w:p>
    <w:p>
      <w:pPr>
        <w:pStyle w:val="Style40"/>
        <w:keepNext w:val="0"/>
        <w:keepLines w:val="0"/>
        <w:framePr w:w="3446" w:h="610" w:wrap="none" w:vAnchor="text" w:hAnchor="page" w:x="1131" w:y="9567"/>
        <w:widowControl w:val="0"/>
        <w:shd w:val="clear" w:color="auto" w:fill="auto"/>
        <w:bidi w:val="0"/>
        <w:spacing w:before="0" w:after="0" w:line="240" w:lineRule="auto"/>
        <w:ind w:left="0" w:right="0" w:firstLine="0"/>
        <w:jc w:val="left"/>
      </w:pPr>
      <w:r>
        <w:fldChar w:fldCharType="begin"/>
      </w:r>
      <w:r>
        <w:rPr/>
        <w:instrText> HYPERLINK "http://www.tpaqi.com" </w:instrText>
      </w:r>
      <w:r>
        <w:fldChar w:fldCharType="separate"/>
      </w:r>
      <w:r>
        <w:rPr>
          <w:color w:val="000000"/>
          <w:spacing w:val="0"/>
          <w:w w:val="100"/>
          <w:position w:val="0"/>
          <w:shd w:val="clear" w:color="auto" w:fill="auto"/>
          <w:lang w:val="en-US" w:eastAsia="en-US" w:bidi="en-US"/>
        </w:rPr>
        <w:t>www.tpaqi.com</w:t>
      </w:r>
      <w:r>
        <w:fldChar w:fldCharType="end"/>
      </w:r>
    </w:p>
    <w:p>
      <w:pPr>
        <w:pStyle w:val="Style40"/>
        <w:keepNext w:val="0"/>
        <w:keepLines w:val="0"/>
        <w:framePr w:w="662" w:h="173" w:wrap="none" w:vAnchor="text" w:hAnchor="page" w:x="9944" w:y="94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1 z 1</w:t>
      </w:r>
    </w:p>
    <w:p>
      <w:pPr>
        <w:pStyle w:val="Style40"/>
        <w:keepNext w:val="0"/>
        <w:keepLines w:val="0"/>
        <w:framePr w:w="2165" w:h="494" w:wrap="none" w:vAnchor="text" w:hAnchor="page" w:x="7453" w:y="9726"/>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UniCredit Bank Czech Republic and IBAN: CZ23 2700 0000 0052 5428 5002 BIC/SWIFT: BACXCZPPXXX</w:t>
      </w:r>
    </w:p>
    <w:p>
      <w:pPr>
        <w:pStyle w:val="Style40"/>
        <w:keepNext w:val="0"/>
        <w:keepLines w:val="0"/>
        <w:framePr w:w="7886" w:h="322" w:wrap="none" w:vAnchor="text" w:hAnchor="page" w:x="1136"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společnosti: Vrbenská 1821/31, 370 06 České Budějovice. Zápis v obchodním rejstříku: Krajský soud v českých Budějovicích, sp.zn. C 17759. IČO 25122835, DIČ CZ25122835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2" w:line="1" w:lineRule="exact"/>
      </w:pPr>
    </w:p>
    <w:p>
      <w:pPr>
        <w:widowControl w:val="0"/>
        <w:spacing w:line="1" w:lineRule="exact"/>
        <w:sectPr>
          <w:footnotePr>
            <w:pos w:val="pageBottom"/>
            <w:numFmt w:val="decimal"/>
            <w:numRestart w:val="continuous"/>
          </w:footnotePr>
          <w:type w:val="continuous"/>
          <w:pgSz w:w="11900" w:h="16840"/>
          <w:pgMar w:top="1243" w:left="1111" w:right="1271" w:bottom="56" w:header="0" w:footer="3" w:gutter="0"/>
          <w:cols w:space="720"/>
          <w:noEndnote/>
          <w:rtlGutter w:val="0"/>
          <w:docGrid w:linePitch="360"/>
        </w:sectPr>
      </w:pPr>
    </w:p>
    <w:p>
      <w:pPr>
        <w:pStyle w:val="Style43"/>
        <w:keepNext w:val="0"/>
        <w:keepLines w:val="0"/>
        <w:widowControl w:val="0"/>
        <w:shd w:val="clear" w:color="auto" w:fill="auto"/>
        <w:bidi w:val="0"/>
        <w:spacing w:before="0" w:after="0"/>
        <w:ind w:left="0" w:right="0" w:firstLine="0"/>
        <w:jc w:val="left"/>
      </w:pPr>
      <w:r>
        <w:drawing>
          <wp:anchor distT="0" distB="0" distL="114300" distR="114300" simplePos="0" relativeHeight="125829384" behindDoc="0" locked="0" layoutInCell="1" allowOverlap="1">
            <wp:simplePos x="0" y="0"/>
            <wp:positionH relativeFrom="page">
              <wp:posOffset>8307070</wp:posOffset>
            </wp:positionH>
            <wp:positionV relativeFrom="paragraph">
              <wp:posOffset>12700</wp:posOffset>
            </wp:positionV>
            <wp:extent cx="1139825" cy="591185"/>
            <wp:wrapSquare wrapText="left"/>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7"/>
                    <a:stretch/>
                  </pic:blipFill>
                  <pic:spPr>
                    <a:xfrm>
                      <a:ext cx="1139825" cy="591185"/>
                    </a:xfrm>
                    <a:prstGeom prst="rect"/>
                  </pic:spPr>
                </pic:pic>
              </a:graphicData>
            </a:graphic>
          </wp:anchor>
        </w:drawing>
      </w:r>
      <w:r>
        <w:rPr>
          <w:color w:val="000000"/>
          <w:spacing w:val="0"/>
          <w:w w:val="100"/>
          <w:position w:val="0"/>
          <w:sz w:val="24"/>
          <w:szCs w:val="24"/>
          <w:shd w:val="clear" w:color="auto" w:fill="auto"/>
          <w:lang w:val="cs-CZ" w:eastAsia="cs-CZ" w:bidi="cs-CZ"/>
        </w:rPr>
        <w:t>Krajská správa a údržba silnic Vysočiny příspěvková org.</w:t>
      </w:r>
    </w:p>
    <w:p>
      <w:pPr>
        <w:pStyle w:val="Style43"/>
        <w:keepNext w:val="0"/>
        <w:keepLines w:val="0"/>
        <w:widowControl w:val="0"/>
        <w:shd w:val="clear" w:color="auto" w:fill="auto"/>
        <w:bidi w:val="0"/>
        <w:spacing w:before="0" w:after="120"/>
        <w:ind w:left="0" w:right="0" w:firstLine="0"/>
        <w:jc w:val="left"/>
      </w:pPr>
      <w:r>
        <w:rPr>
          <w:color w:val="000000"/>
          <w:spacing w:val="0"/>
          <w:w w:val="100"/>
          <w:position w:val="0"/>
          <w:sz w:val="24"/>
          <w:szCs w:val="24"/>
          <w:shd w:val="clear" w:color="auto" w:fill="auto"/>
          <w:lang w:val="cs-CZ" w:eastAsia="cs-CZ" w:bidi="cs-CZ"/>
        </w:rPr>
        <w:t>Kosovská 16, 586 01 Jihlava</w:t>
      </w:r>
    </w:p>
    <w:p>
      <w:pPr>
        <w:pStyle w:val="Style12"/>
        <w:keepNext w:val="0"/>
        <w:keepLines w:val="0"/>
        <w:widowControl w:val="0"/>
        <w:shd w:val="clear" w:color="auto" w:fill="auto"/>
        <w:tabs>
          <w:tab w:pos="6374" w:val="left"/>
          <w:tab w:pos="11866" w:val="left"/>
        </w:tabs>
        <w:bidi w:val="0"/>
        <w:spacing w:before="0" w:after="100" w:line="240" w:lineRule="auto"/>
        <w:ind w:left="0" w:right="0" w:firstLine="0"/>
        <w:jc w:val="both"/>
        <w:rPr>
          <w:sz w:val="19"/>
          <w:szCs w:val="19"/>
        </w:rPr>
      </w:pPr>
      <w:r>
        <w:rPr>
          <w:rFonts w:ascii="Arial" w:eastAsia="Arial" w:hAnsi="Arial" w:cs="Arial"/>
          <w:b/>
          <w:bCs/>
          <w:color w:val="000000"/>
          <w:spacing w:val="0"/>
          <w:w w:val="100"/>
          <w:position w:val="0"/>
          <w:sz w:val="24"/>
          <w:szCs w:val="24"/>
          <w:u w:val="single"/>
          <w:shd w:val="clear" w:color="auto" w:fill="auto"/>
          <w:lang w:val="cs-CZ" w:eastAsia="cs-CZ" w:bidi="cs-CZ"/>
        </w:rPr>
        <w:t>Cenová nabídka - Diagnosticky průzkum vozovky</w:t>
      </w:r>
      <w:r>
        <w:rPr>
          <w:rFonts w:ascii="Arial" w:eastAsia="Arial" w:hAnsi="Arial" w:cs="Arial"/>
          <w:b/>
          <w:bCs/>
          <w:color w:val="000000"/>
          <w:spacing w:val="0"/>
          <w:w w:val="100"/>
          <w:position w:val="0"/>
          <w:sz w:val="24"/>
          <w:szCs w:val="24"/>
          <w:shd w:val="clear" w:color="auto" w:fill="auto"/>
          <w:lang w:val="cs-CZ" w:eastAsia="cs-CZ" w:bidi="cs-CZ"/>
        </w:rPr>
        <w:tab/>
      </w:r>
      <w:r>
        <w:rPr>
          <w:rFonts w:ascii="Arial" w:eastAsia="Arial" w:hAnsi="Arial" w:cs="Arial"/>
          <w:b/>
          <w:bCs/>
          <w:i/>
          <w:iCs/>
          <w:color w:val="000000"/>
          <w:spacing w:val="0"/>
          <w:w w:val="100"/>
          <w:position w:val="0"/>
          <w:sz w:val="19"/>
          <w:szCs w:val="19"/>
          <w:shd w:val="clear" w:color="auto" w:fill="auto"/>
          <w:lang w:val="cs-CZ" w:eastAsia="cs-CZ" w:bidi="cs-CZ"/>
        </w:rPr>
        <w:t>CZEE4020220115</w:t>
      </w:r>
      <w:r>
        <w:rPr>
          <w:rFonts w:ascii="Arial" w:eastAsia="Arial" w:hAnsi="Arial" w:cs="Arial"/>
          <w:color w:val="000000"/>
          <w:spacing w:val="0"/>
          <w:w w:val="100"/>
          <w:position w:val="0"/>
          <w:sz w:val="19"/>
          <w:szCs w:val="19"/>
          <w:shd w:val="clear" w:color="auto" w:fill="auto"/>
          <w:lang w:val="cs-CZ" w:eastAsia="cs-CZ" w:bidi="cs-CZ"/>
        </w:rPr>
        <w:tab/>
        <w:t>V českých Budějovicích 12 9 2022</w:t>
      </w:r>
    </w:p>
    <w:p>
      <w:pPr>
        <w:pStyle w:val="Style12"/>
        <w:keepNext w:val="0"/>
        <w:keepLines w:val="0"/>
        <w:widowControl w:val="0"/>
        <w:shd w:val="clear" w:color="auto" w:fill="auto"/>
        <w:tabs>
          <w:tab w:pos="960" w:val="left"/>
        </w:tabs>
        <w:bidi w:val="0"/>
        <w:spacing w:before="0" w:after="0" w:line="240" w:lineRule="auto"/>
        <w:ind w:left="43" w:right="0" w:firstLine="0"/>
        <w:jc w:val="left"/>
        <w:rPr>
          <w:sz w:val="20"/>
          <w:szCs w:val="20"/>
        </w:rPr>
      </w:pPr>
      <w:r>
        <w:rPr>
          <w:rFonts w:ascii="Arial" w:eastAsia="Arial" w:hAnsi="Arial" w:cs="Arial"/>
          <w:b/>
          <w:bCs/>
          <w:color w:val="000000"/>
          <w:spacing w:val="0"/>
          <w:w w:val="100"/>
          <w:position w:val="0"/>
          <w:sz w:val="20"/>
          <w:szCs w:val="20"/>
          <w:u w:val="single"/>
          <w:shd w:val="clear" w:color="auto" w:fill="auto"/>
          <w:lang w:val="cs-CZ" w:eastAsia="cs-CZ" w:bidi="cs-CZ"/>
        </w:rPr>
        <w:t>Akce:</w:t>
        <w:tab/>
        <w:t>Diagnosticky průzkum silnice 11/129 Humpolec, ul. Okružní</w:t>
      </w:r>
    </w:p>
    <w:tbl>
      <w:tblPr>
        <w:tblOverlap w:val="never"/>
        <w:jc w:val="center"/>
        <w:tblLayout w:type="fixed"/>
      </w:tblPr>
      <w:tblGrid>
        <w:gridCol w:w="936"/>
        <w:gridCol w:w="5626"/>
        <w:gridCol w:w="1402"/>
        <w:gridCol w:w="1843"/>
        <w:gridCol w:w="1843"/>
        <w:gridCol w:w="1848"/>
        <w:gridCol w:w="1594"/>
      </w:tblGrid>
      <w:tr>
        <w:trPr>
          <w:trHeight w:val="283" w:hRule="exact"/>
        </w:trPr>
        <w:tc>
          <w:tcPr>
            <w:gridSpan w:val="7"/>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Stanovení nabídkové ceny</w:t>
            </w:r>
          </w:p>
        </w:tc>
      </w:tr>
      <w:tr>
        <w:trPr>
          <w:trHeight w:val="480"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i/>
                <w:iCs/>
                <w:color w:val="000000"/>
                <w:spacing w:val="0"/>
                <w:w w:val="100"/>
                <w:position w:val="0"/>
                <w:sz w:val="18"/>
                <w:szCs w:val="18"/>
                <w:shd w:val="clear" w:color="auto" w:fill="auto"/>
                <w:lang w:val="cs-CZ" w:eastAsia="cs-CZ" w:bidi="cs-CZ"/>
              </w:rPr>
              <w:t>Poř. číslo</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cs-CZ" w:eastAsia="cs-CZ" w:bidi="cs-CZ"/>
              </w:rPr>
              <w:t>Popis úkonu</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i/>
                <w:iCs/>
                <w:color w:val="000000"/>
                <w:spacing w:val="0"/>
                <w:w w:val="100"/>
                <w:position w:val="0"/>
                <w:sz w:val="18"/>
                <w:szCs w:val="18"/>
                <w:shd w:val="clear" w:color="auto" w:fill="auto"/>
                <w:lang w:val="cs-CZ" w:eastAsia="cs-CZ" w:bidi="cs-CZ"/>
              </w:rPr>
              <w:t>Jednotka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57" w:lineRule="auto"/>
              <w:ind w:left="0" w:right="0" w:firstLine="0"/>
              <w:jc w:val="center"/>
              <w:rPr>
                <w:sz w:val="18"/>
                <w:szCs w:val="18"/>
              </w:rPr>
            </w:pPr>
            <w:r>
              <w:rPr>
                <w:rFonts w:ascii="Arial" w:eastAsia="Arial" w:hAnsi="Arial" w:cs="Arial"/>
                <w:i/>
                <w:iCs/>
                <w:color w:val="000000"/>
                <w:spacing w:val="0"/>
                <w:w w:val="100"/>
                <w:position w:val="0"/>
                <w:sz w:val="18"/>
                <w:szCs w:val="18"/>
                <w:shd w:val="clear" w:color="auto" w:fill="auto"/>
                <w:lang w:val="cs-CZ" w:eastAsia="cs-CZ" w:bidi="cs-CZ"/>
              </w:rPr>
              <w:t>Cena za jednotku bez DPH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62" w:lineRule="auto"/>
              <w:ind w:left="0" w:right="0" w:firstLine="0"/>
              <w:jc w:val="center"/>
              <w:rPr>
                <w:sz w:val="18"/>
                <w:szCs w:val="18"/>
              </w:rPr>
            </w:pPr>
            <w:r>
              <w:rPr>
                <w:rFonts w:ascii="Arial" w:eastAsia="Arial" w:hAnsi="Arial" w:cs="Arial"/>
                <w:i/>
                <w:iCs/>
                <w:color w:val="000000"/>
                <w:spacing w:val="0"/>
                <w:w w:val="100"/>
                <w:position w:val="0"/>
                <w:sz w:val="18"/>
                <w:szCs w:val="18"/>
                <w:shd w:val="clear" w:color="auto" w:fill="auto"/>
                <w:lang w:val="cs-CZ" w:eastAsia="cs-CZ" w:bidi="cs-CZ"/>
              </w:rPr>
              <w:t>Cena za jednotku s DPH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i/>
                <w:iCs/>
                <w:color w:val="000000"/>
                <w:spacing w:val="0"/>
                <w:w w:val="100"/>
                <w:position w:val="0"/>
                <w:sz w:val="18"/>
                <w:szCs w:val="18"/>
                <w:shd w:val="clear" w:color="auto" w:fill="auto"/>
                <w:lang w:val="cs-CZ" w:eastAsia="cs-CZ" w:bidi="cs-CZ"/>
              </w:rPr>
              <w:t>Počet jednotek</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i/>
                <w:iCs/>
                <w:color w:val="000000"/>
                <w:spacing w:val="0"/>
                <w:w w:val="100"/>
                <w:position w:val="0"/>
                <w:sz w:val="18"/>
                <w:szCs w:val="18"/>
                <w:shd w:val="clear" w:color="auto" w:fill="auto"/>
                <w:lang w:val="cs-CZ" w:eastAsia="cs-CZ" w:bidi="cs-CZ"/>
              </w:rPr>
              <w:t>Cena celkem bez</w:t>
            </w:r>
          </w:p>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i/>
                <w:iCs/>
                <w:color w:val="000000"/>
                <w:spacing w:val="0"/>
                <w:w w:val="100"/>
                <w:position w:val="0"/>
                <w:sz w:val="18"/>
                <w:szCs w:val="18"/>
                <w:shd w:val="clear" w:color="auto" w:fill="auto"/>
                <w:lang w:val="cs-CZ" w:eastAsia="cs-CZ" w:bidi="cs-CZ"/>
              </w:rPr>
              <w:t>DPH</w:t>
            </w:r>
          </w:p>
        </w:tc>
      </w:tr>
      <w:tr>
        <w:trPr>
          <w:trHeight w:val="480"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57"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Fotodokumentace provedených sond, vizuální prohlídka se záznamem poruch, rekognoskace lokality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1 500,00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1 815,00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1,05</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1 575,00 Kč</w:t>
            </w:r>
          </w:p>
        </w:tc>
      </w:tr>
      <w:tr>
        <w:trPr>
          <w:trHeight w:val="490"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57"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Vrtaná sonda pro stanovení konstrukce nebo PAU, zpětný zához, zapravení prostupů</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2 000,00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2 420,00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3</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6 000,00 Kč</w:t>
            </w:r>
          </w:p>
        </w:tc>
      </w:tr>
      <w:tr>
        <w:trPr>
          <w:trHeight w:val="49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62"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Vrtaná hloubková sonda do úrovně aktivní zóny (průměr 150 mm), zpětný zához, zapravení prostupů</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4 000,00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4 840,00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3</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12 000,00 Kč</w:t>
            </w:r>
          </w:p>
        </w:tc>
      </w:tr>
      <w:tr>
        <w:trPr>
          <w:trHeight w:val="499"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4</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Vizuální rozbor asfaltových směsí a jejich zatřídění</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500,00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605,00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3 000,00 Kč</w:t>
            </w:r>
          </w:p>
        </w:tc>
      </w:tr>
      <w:tr>
        <w:trPr>
          <w:trHeight w:val="4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5</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62"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Vizuální posouzení podkladních nestmelených vrstev, zatřídění materiálu vrstev</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500,00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605,00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3 000,00 Kč</w:t>
            </w:r>
          </w:p>
        </w:tc>
      </w:tr>
      <w:tr>
        <w:trPr>
          <w:trHeight w:val="72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6</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57"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Laboratorní rozbor zeminy aktivní zóny a zeminy podloží: Zatříděni zeminy dle ČSN 73 6133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500,00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605,00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3</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1 500,00 Kč</w:t>
            </w:r>
          </w:p>
        </w:tc>
      </w:tr>
      <w:tr>
        <w:trPr>
          <w:trHeight w:val="4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7</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57"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Stanovení PAU dle vyhl. č. 130/2019 sb. (rozbory z 1 sondy, předpoklad 3 vrstvy = 3x rozbor)</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1 985,00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2 401,85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11 910,00 Kč</w:t>
            </w:r>
          </w:p>
        </w:tc>
      </w:tr>
      <w:tr>
        <w:trPr>
          <w:trHeight w:val="45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8</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Příprava vzorků pro rozbor PAU</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221,00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267,41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1 326,00 Kč</w:t>
            </w:r>
          </w:p>
        </w:tc>
      </w:tr>
      <w:tr>
        <w:trPr>
          <w:trHeight w:val="53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9</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57" w:lineRule="auto"/>
              <w:ind w:left="1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Interpretace získaných výsledků a vypracování zprávy (Závěrečná zpráva s návrhem opravy)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hod</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1 680,00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2 032,80 Kč</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3,0</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5 040,00 Kč</w:t>
            </w:r>
          </w:p>
        </w:tc>
      </w:tr>
      <w:tr>
        <w:trPr>
          <w:trHeight w:val="25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10</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Doprava 2 vrtných souprav</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km</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18,00 Kč</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21,78 Kč</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220</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3 960,00 Kč</w:t>
            </w:r>
          </w:p>
        </w:tc>
      </w:tr>
      <w:tr>
        <w:trPr>
          <w:trHeight w:val="278" w:hRule="exact"/>
        </w:trPr>
        <w:tc>
          <w:tcPr>
            <w:gridSpan w:val="5"/>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CELKEM bez DPH</w:t>
            </w:r>
          </w:p>
        </w:tc>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49 311,00 Kč</w:t>
            </w:r>
          </w:p>
        </w:tc>
      </w:tr>
      <w:tr>
        <w:trPr>
          <w:trHeight w:val="274" w:hRule="exact"/>
        </w:trPr>
        <w:tc>
          <w:tcPr>
            <w:gridSpan w:val="5"/>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CELKEM bez DPH po sledvě 10%</w:t>
            </w:r>
          </w:p>
        </w:tc>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44 379,90 Kč</w:t>
            </w:r>
          </w:p>
        </w:tc>
      </w:tr>
      <w:tr>
        <w:trPr>
          <w:trHeight w:val="245" w:hRule="exact"/>
        </w:trPr>
        <w:tc>
          <w:tcPr>
            <w:gridSpan w:val="5"/>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DPH 21 %</w:t>
            </w:r>
          </w:p>
        </w:tc>
        <w:tc>
          <w:tcPr>
            <w:gridSpan w:val="2"/>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9 319,78 Kč</w:t>
            </w:r>
          </w:p>
        </w:tc>
      </w:tr>
      <w:tr>
        <w:trPr>
          <w:trHeight w:val="562" w:hRule="exact"/>
        </w:trPr>
        <w:tc>
          <w:tcPr>
            <w:gridSpan w:val="5"/>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6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Cena CELKEM s DPH</w:t>
            </w:r>
          </w:p>
        </w:tc>
        <w:tc>
          <w:tcPr>
            <w:gridSpan w:val="2"/>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53 699,68 Kč</w:t>
            </w:r>
          </w:p>
        </w:tc>
      </w:tr>
    </w:tbl>
    <w:p>
      <w:pPr>
        <w:pStyle w:val="Style12"/>
        <w:keepNext w:val="0"/>
        <w:keepLines w:val="0"/>
        <w:widowControl w:val="0"/>
        <w:shd w:val="clear" w:color="auto" w:fill="auto"/>
        <w:bidi w:val="0"/>
        <w:spacing w:before="0" w:after="0" w:line="240" w:lineRule="auto"/>
        <w:ind w:left="0" w:right="0" w:firstLine="0"/>
        <w:jc w:val="both"/>
        <w:rPr>
          <w:sz w:val="16"/>
          <w:szCs w:val="16"/>
        </w:rPr>
      </w:pPr>
      <w:r>
        <w:rPr>
          <w:rFonts w:ascii="Arial" w:eastAsia="Arial" w:hAnsi="Arial" w:cs="Arial"/>
          <w:b/>
          <w:bCs/>
          <w:color w:val="000000"/>
          <w:spacing w:val="0"/>
          <w:w w:val="100"/>
          <w:position w:val="0"/>
          <w:sz w:val="16"/>
          <w:szCs w:val="16"/>
          <w:shd w:val="clear" w:color="auto" w:fill="auto"/>
          <w:lang w:val="cs-CZ" w:eastAsia="cs-CZ" w:bidi="cs-CZ"/>
        </w:rPr>
        <w:t xml:space="preserve">Pozn. Rozsah prováděných prací může být na základě požadavku objednatele úpravě" </w:t>
      </w:r>
      <w:r>
        <w:rPr>
          <w:rFonts w:ascii="Arial" w:eastAsia="Arial" w:hAnsi="Arial" w:cs="Arial"/>
          <w:b/>
          <w:bCs/>
          <w:color w:val="000000"/>
          <w:spacing w:val="0"/>
          <w:w w:val="100"/>
          <w:position w:val="0"/>
          <w:sz w:val="16"/>
          <w:szCs w:val="16"/>
          <w:shd w:val="clear" w:color="auto" w:fill="auto"/>
          <w:vertAlign w:val="superscript"/>
          <w:lang w:val="cs-CZ" w:eastAsia="cs-CZ" w:bidi="cs-CZ"/>
        </w:rPr>
        <w:t>n,n</w:t>
      </w:r>
      <w:r>
        <w:rPr>
          <w:rFonts w:ascii="Arial" w:eastAsia="Arial" w:hAnsi="Arial" w:cs="Arial"/>
          <w:b/>
          <w:bCs/>
          <w:color w:val="000000"/>
          <w:spacing w:val="0"/>
          <w:w w:val="100"/>
          <w:position w:val="0"/>
          <w:sz w:val="16"/>
          <w:szCs w:val="16"/>
          <w:shd w:val="clear" w:color="auto" w:fill="auto"/>
          <w:lang w:val="cs-CZ" w:eastAsia="cs-CZ" w:bidi="cs-CZ"/>
        </w:rPr>
        <w:t xml:space="preserve"> - "ředpokládá se dohoda o dočasném omezeni provozu se správcem / majitelem komunikací</w:t>
      </w:r>
    </w:p>
    <w:p>
      <w:pPr>
        <w:pStyle w:val="Style12"/>
        <w:keepNext w:val="0"/>
        <w:keepLines w:val="0"/>
        <w:widowControl w:val="0"/>
        <w:shd w:val="clear" w:color="auto" w:fill="auto"/>
        <w:bidi w:val="0"/>
        <w:spacing w:before="0" w:after="0" w:line="240" w:lineRule="auto"/>
        <w:ind w:left="931"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KSÚS Vysočiny. Vytyčení podzemních inženýrských sítí zajistí ohiednatai</w:t>
      </w:r>
    </w:p>
    <w:p>
      <w:pPr>
        <w:widowControl w:val="0"/>
        <w:spacing w:after="299" w:line="1" w:lineRule="exact"/>
      </w:pPr>
    </w:p>
    <w:p>
      <w:pPr>
        <w:pStyle w:val="Style29"/>
        <w:keepNext w:val="0"/>
        <w:keepLines w:val="0"/>
        <w:widowControl w:val="0"/>
        <w:shd w:val="clear" w:color="auto" w:fill="auto"/>
        <w:tabs>
          <w:tab w:leader="underscore" w:pos="3772" w:val="left"/>
        </w:tabs>
        <w:bidi w:val="0"/>
        <w:spacing w:before="0" w:after="0" w:line="240" w:lineRule="auto"/>
        <w:ind w:left="1300" w:right="0" w:firstLine="0"/>
        <w:jc w:val="left"/>
      </w:pPr>
      <w:r>
        <mc:AlternateContent>
          <mc:Choice Requires="wps">
            <w:drawing>
              <wp:anchor distT="0" distB="328930" distL="114300" distR="3281045" simplePos="0" relativeHeight="125829385" behindDoc="0" locked="0" layoutInCell="1" allowOverlap="1">
                <wp:simplePos x="0" y="0"/>
                <wp:positionH relativeFrom="page">
                  <wp:posOffset>4634230</wp:posOffset>
                </wp:positionH>
                <wp:positionV relativeFrom="paragraph">
                  <wp:posOffset>12700</wp:posOffset>
                </wp:positionV>
                <wp:extent cx="1103630" cy="170815"/>
                <wp:wrapSquare wrapText="left"/>
                <wp:docPr id="14" name="Shape 14"/>
                <a:graphic xmlns:a="http://schemas.openxmlformats.org/drawingml/2006/main">
                  <a:graphicData uri="http://schemas.microsoft.com/office/word/2010/wordprocessingShape">
                    <wps:wsp>
                      <wps:cNvSpPr txBox="1"/>
                      <wps:spPr>
                        <a:xfrm>
                          <a:ext cx="1103630" cy="17081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vedoucí skupiny Č.B.</w:t>
                            </w:r>
                          </w:p>
                        </w:txbxContent>
                      </wps:txbx>
                      <wps:bodyPr wrap="none" lIns="0" tIns="0" rIns="0" bIns="0">
                        <a:noAutoFit/>
                      </wps:bodyPr>
                    </wps:wsp>
                  </a:graphicData>
                </a:graphic>
              </wp:anchor>
            </w:drawing>
          </mc:Choice>
          <mc:Fallback>
            <w:pict>
              <v:shape id="_x0000_s1040" type="#_x0000_t202" style="position:absolute;margin-left:364.89999999999998pt;margin-top:1.pt;width:86.900000000000006pt;height:13.449999999999999pt;z-index:-125829368;mso-wrap-distance-left:9.pt;mso-wrap-distance-right:258.35000000000002pt;mso-wrap-distance-bottom:25.89999999999999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vedoucí skupiny Č.B.</w:t>
                      </w:r>
                    </w:p>
                  </w:txbxContent>
                </v:textbox>
                <w10:wrap type="square" side="left" anchorx="page"/>
              </v:shape>
            </w:pict>
          </mc:Fallback>
        </mc:AlternateContent>
      </w:r>
      <w:r>
        <mc:AlternateContent>
          <mc:Choice Requires="wps">
            <w:drawing>
              <wp:anchor distT="173990" distB="0" distL="2132330" distR="114300" simplePos="0" relativeHeight="125829387" behindDoc="0" locked="0" layoutInCell="1" allowOverlap="1">
                <wp:simplePos x="0" y="0"/>
                <wp:positionH relativeFrom="page">
                  <wp:posOffset>6652260</wp:posOffset>
                </wp:positionH>
                <wp:positionV relativeFrom="paragraph">
                  <wp:posOffset>186690</wp:posOffset>
                </wp:positionV>
                <wp:extent cx="2252345" cy="326390"/>
                <wp:wrapSquare wrapText="left"/>
                <wp:docPr id="16" name="Shape 16"/>
                <a:graphic xmlns:a="http://schemas.openxmlformats.org/drawingml/2006/main">
                  <a:graphicData uri="http://schemas.microsoft.com/office/word/2010/wordprocessingShape">
                    <wps:wsp>
                      <wps:cNvSpPr txBox="1"/>
                      <wps:spPr>
                        <a:xfrm>
                          <a:ext cx="2252345" cy="3263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podpis objednatele</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txbxContent>
                      </wps:txbx>
                      <wps:bodyPr lIns="0" tIns="0" rIns="0" bIns="0">
                        <a:noAutoFit/>
                      </wps:bodyPr>
                    </wps:wsp>
                  </a:graphicData>
                </a:graphic>
              </wp:anchor>
            </w:drawing>
          </mc:Choice>
          <mc:Fallback>
            <w:pict>
              <v:shape id="_x0000_s1042" type="#_x0000_t202" style="position:absolute;margin-left:523.79999999999995pt;margin-top:14.699999999999999pt;width:177.34999999999999pt;height:25.699999999999999pt;z-index:-125829366;mso-wrap-distance-left:167.90000000000001pt;mso-wrap-distance-top:13.69999999999999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podpis objednatele</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Jednatel společnosti </w:t>
        <w:tab/>
        <w:t xml:space="preserve"> vz.</w:t>
      </w:r>
    </w:p>
    <w:p>
      <w:pPr>
        <w:pStyle w:val="Style2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podpis dodavatele</w:t>
      </w:r>
    </w:p>
    <w:p>
      <w:pPr>
        <w:pStyle w:val="Style2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TPAČR s.r.o., Vrbenská 1821/31 České Budějovice, 370 06</w:t>
      </w:r>
    </w:p>
    <w:sectPr>
      <w:footnotePr>
        <w:pos w:val="pageBottom"/>
        <w:numFmt w:val="decimal"/>
        <w:numRestart w:val="continuous"/>
      </w:footnotePr>
      <w:pgSz w:w="16840" w:h="11900" w:orient="landscape"/>
      <w:pgMar w:top="254" w:left="674" w:right="1075" w:bottom="25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622935</wp:posOffset>
              </wp:positionH>
              <wp:positionV relativeFrom="page">
                <wp:posOffset>9962515</wp:posOffset>
              </wp:positionV>
              <wp:extent cx="3352800" cy="280670"/>
              <wp:wrapNone/>
              <wp:docPr id="3" name="Shape 3"/>
              <a:graphic xmlns:a="http://schemas.openxmlformats.org/drawingml/2006/main">
                <a:graphicData uri="http://schemas.microsoft.com/office/word/2010/wordprocessingShape">
                  <wps:wsp>
                    <wps:cNvSpPr txBox="1"/>
                    <wps:spPr>
                      <a:xfrm>
                        <a:ext cx="3352800" cy="2806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SoD Vypracování diagnostického průzkumu konstrukce vozovky</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II/129 Humpolec, ulice Okružní</w:t>
                          </w:r>
                        </w:p>
                      </w:txbxContent>
                    </wps:txbx>
                    <wps:bodyPr wrap="none" lIns="0" tIns="0" rIns="0" bIns="0">
                      <a:spAutoFit/>
                    </wps:bodyPr>
                  </wps:wsp>
                </a:graphicData>
              </a:graphic>
            </wp:anchor>
          </w:drawing>
        </mc:Choice>
        <mc:Fallback>
          <w:pict>
            <v:shape id="_x0000_s1029" type="#_x0000_t202" style="position:absolute;margin-left:49.049999999999997pt;margin-top:784.45000000000005pt;width:264.pt;height:22.1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SoD Vypracování diagnostického průzkumu konstrukce vozovky</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II/129 Humpolec, ulice Okružní</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5716270</wp:posOffset>
              </wp:positionH>
              <wp:positionV relativeFrom="page">
                <wp:posOffset>10118090</wp:posOffset>
              </wp:positionV>
              <wp:extent cx="670560" cy="121920"/>
              <wp:wrapNone/>
              <wp:docPr id="5" name="Shape 5"/>
              <a:graphic xmlns:a="http://schemas.openxmlformats.org/drawingml/2006/main">
                <a:graphicData uri="http://schemas.microsoft.com/office/word/2010/wordprocessingShape">
                  <wps:wsp>
                    <wps:cNvSpPr txBox="1"/>
                    <wps:spPr>
                      <a:xfrm>
                        <a:ext cx="670560" cy="1219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1" type="#_x0000_t202" style="position:absolute;margin-left:450.10000000000002pt;margin-top:796.70000000000005pt;width:52.799999999999997pt;height:9.599999999999999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604520</wp:posOffset>
              </wp:positionH>
              <wp:positionV relativeFrom="page">
                <wp:posOffset>9942195</wp:posOffset>
              </wp:positionV>
              <wp:extent cx="6248400" cy="0"/>
              <wp:wrapNone/>
              <wp:docPr id="7" name="Shape 7"/>
              <a:graphic xmlns:a="http://schemas.openxmlformats.org/drawingml/2006/main">
                <a:graphicData uri="http://schemas.microsoft.com/office/word/2010/wordprocessingShape">
                  <wps:wsp>
                    <wps:cNvCnPr/>
                    <wps:spPr>
                      <a:xfrm>
                        <a:ext cx="6248400" cy="0"/>
                      </a:xfrm>
                      <a:prstGeom prst="straightConnector1"/>
                      <a:ln w="12700">
                        <a:solidFill/>
                      </a:ln>
                    </wps:spPr>
                    <wps:bodyPr/>
                  </wps:wsp>
                </a:graphicData>
              </a:graphic>
            </wp:anchor>
          </w:drawing>
        </mc:Choice>
        <mc:Fallback>
          <w:pict>
            <v:shape o:spt="32" o:oned="true" path="m,l21600,21600e" style="position:absolute;margin-left:47.600000000000001pt;margin-top:782.85000000000002pt;width:49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Základní text (6)_"/>
    <w:basedOn w:val="DefaultParagraphFont"/>
    <w:link w:val="Style4"/>
    <w:rPr>
      <w:rFonts w:ascii="Calibri" w:eastAsia="Calibri" w:hAnsi="Calibri" w:cs="Calibri"/>
      <w:b/>
      <w:bCs/>
      <w:i w:val="0"/>
      <w:iCs w:val="0"/>
      <w:smallCaps w:val="0"/>
      <w:strike w:val="0"/>
      <w:sz w:val="32"/>
      <w:szCs w:val="32"/>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1_"/>
    <w:basedOn w:val="DefaultParagraphFont"/>
    <w:link w:val="Style9"/>
    <w:rPr>
      <w:rFonts w:ascii="Calibri" w:eastAsia="Calibri" w:hAnsi="Calibri" w:cs="Calibri"/>
      <w:b/>
      <w:bCs/>
      <w:i w:val="0"/>
      <w:iCs w:val="0"/>
      <w:smallCaps w:val="0"/>
      <w:strike w:val="0"/>
      <w:sz w:val="36"/>
      <w:szCs w:val="36"/>
      <w:u w:val="none"/>
    </w:rPr>
  </w:style>
  <w:style w:type="character" w:customStyle="1" w:styleId="CharStyle13">
    <w:name w:val="Titulek tabulky_"/>
    <w:basedOn w:val="DefaultParagraphFont"/>
    <w:link w:val="Style12"/>
    <w:rPr>
      <w:rFonts w:ascii="Calibri" w:eastAsia="Calibri" w:hAnsi="Calibri" w:cs="Calibri"/>
      <w:b w:val="0"/>
      <w:bCs w:val="0"/>
      <w:i w:val="0"/>
      <w:iCs w:val="0"/>
      <w:smallCaps w:val="0"/>
      <w:strike w:val="0"/>
      <w:sz w:val="24"/>
      <w:szCs w:val="24"/>
      <w:u w:val="none"/>
    </w:rPr>
  </w:style>
  <w:style w:type="character" w:customStyle="1" w:styleId="CharStyle16">
    <w:name w:val="Jiné_"/>
    <w:basedOn w:val="DefaultParagraphFont"/>
    <w:link w:val="Style15"/>
    <w:rPr>
      <w:rFonts w:ascii="Calibri" w:eastAsia="Calibri" w:hAnsi="Calibri" w:cs="Calibri"/>
      <w:b w:val="0"/>
      <w:bCs w:val="0"/>
      <w:i w:val="0"/>
      <w:iCs w:val="0"/>
      <w:smallCaps w:val="0"/>
      <w:strike w:val="0"/>
      <w:sz w:val="24"/>
      <w:szCs w:val="24"/>
      <w:u w:val="none"/>
    </w:rPr>
  </w:style>
  <w:style w:type="character" w:customStyle="1" w:styleId="CharStyle24">
    <w:name w:val="Nadpis #2_"/>
    <w:basedOn w:val="DefaultParagraphFont"/>
    <w:link w:val="Style23"/>
    <w:rPr>
      <w:rFonts w:ascii="Calibri" w:eastAsia="Calibri" w:hAnsi="Calibri" w:cs="Calibri"/>
      <w:b/>
      <w:bCs/>
      <w:i w:val="0"/>
      <w:iCs w:val="0"/>
      <w:smallCaps w:val="0"/>
      <w:strike w:val="0"/>
      <w:sz w:val="24"/>
      <w:szCs w:val="24"/>
      <w:u w:val="none"/>
    </w:rPr>
  </w:style>
  <w:style w:type="character" w:customStyle="1" w:styleId="CharStyle26">
    <w:name w:val="Základní text (7)_"/>
    <w:basedOn w:val="DefaultParagraphFont"/>
    <w:link w:val="Style25"/>
    <w:rPr>
      <w:rFonts w:ascii="Times New Roman" w:eastAsia="Times New Roman" w:hAnsi="Times New Roman" w:cs="Times New Roman"/>
      <w:b/>
      <w:bCs/>
      <w:i/>
      <w:iCs/>
      <w:smallCaps w:val="0"/>
      <w:strike w:val="0"/>
      <w:sz w:val="8"/>
      <w:szCs w:val="8"/>
      <w:u w:val="none"/>
    </w:rPr>
  </w:style>
  <w:style w:type="character" w:customStyle="1" w:styleId="CharStyle30">
    <w:name w:val="Základní text (4)_"/>
    <w:basedOn w:val="DefaultParagraphFont"/>
    <w:link w:val="Style29"/>
    <w:rPr>
      <w:rFonts w:ascii="Arial" w:eastAsia="Arial" w:hAnsi="Arial" w:cs="Arial"/>
      <w:b w:val="0"/>
      <w:bCs w:val="0"/>
      <w:i w:val="0"/>
      <w:iCs w:val="0"/>
      <w:smallCaps w:val="0"/>
      <w:strike w:val="0"/>
      <w:sz w:val="19"/>
      <w:szCs w:val="19"/>
      <w:u w:val="none"/>
    </w:rPr>
  </w:style>
  <w:style w:type="character" w:customStyle="1" w:styleId="CharStyle34">
    <w:name w:val="Základní text (3)_"/>
    <w:basedOn w:val="DefaultParagraphFont"/>
    <w:link w:val="Style33"/>
    <w:rPr>
      <w:rFonts w:ascii="Arial" w:eastAsia="Arial" w:hAnsi="Arial" w:cs="Arial"/>
      <w:b w:val="0"/>
      <w:bCs w:val="0"/>
      <w:i w:val="0"/>
      <w:iCs w:val="0"/>
      <w:smallCaps w:val="0"/>
      <w:strike w:val="0"/>
      <w:sz w:val="20"/>
      <w:szCs w:val="20"/>
      <w:u w:val="none"/>
    </w:rPr>
  </w:style>
  <w:style w:type="character" w:customStyle="1" w:styleId="CharStyle41">
    <w:name w:val="Základní text (2)_"/>
    <w:basedOn w:val="DefaultParagraphFont"/>
    <w:link w:val="Style40"/>
    <w:rPr>
      <w:rFonts w:ascii="Arial" w:eastAsia="Arial" w:hAnsi="Arial" w:cs="Arial"/>
      <w:b w:val="0"/>
      <w:bCs w:val="0"/>
      <w:i w:val="0"/>
      <w:iCs w:val="0"/>
      <w:smallCaps w:val="0"/>
      <w:strike w:val="0"/>
      <w:sz w:val="12"/>
      <w:szCs w:val="12"/>
      <w:u w:val="none"/>
    </w:rPr>
  </w:style>
  <w:style w:type="character" w:customStyle="1" w:styleId="CharStyle44">
    <w:name w:val="Základní text (5)_"/>
    <w:basedOn w:val="DefaultParagraphFont"/>
    <w:link w:val="Style43"/>
    <w:rPr>
      <w:rFonts w:ascii="Arial" w:eastAsia="Arial" w:hAnsi="Arial" w:cs="Arial"/>
      <w:b/>
      <w:bCs/>
      <w:i w:val="0"/>
      <w:iCs w:val="0"/>
      <w:smallCaps w:val="0"/>
      <w:strike w:val="0"/>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4">
    <w:name w:val="Základní text (6)"/>
    <w:basedOn w:val="Normal"/>
    <w:link w:val="CharStyle5"/>
    <w:pPr>
      <w:widowControl w:val="0"/>
      <w:shd w:val="clear" w:color="auto" w:fill="FFFFFF"/>
      <w:spacing w:before="180" w:after="240"/>
      <w:jc w:val="center"/>
    </w:pPr>
    <w:rPr>
      <w:rFonts w:ascii="Calibri" w:eastAsia="Calibri" w:hAnsi="Calibri" w:cs="Calibri"/>
      <w:b/>
      <w:bCs/>
      <w:i w:val="0"/>
      <w:iCs w:val="0"/>
      <w:smallCaps w:val="0"/>
      <w:strike w:val="0"/>
      <w:sz w:val="32"/>
      <w:szCs w:val="32"/>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1"/>
    <w:basedOn w:val="Normal"/>
    <w:link w:val="CharStyle10"/>
    <w:pPr>
      <w:widowControl w:val="0"/>
      <w:shd w:val="clear" w:color="auto" w:fill="FFFFFF"/>
      <w:spacing w:after="120" w:line="235" w:lineRule="auto"/>
      <w:jc w:val="center"/>
      <w:outlineLvl w:val="0"/>
    </w:pPr>
    <w:rPr>
      <w:rFonts w:ascii="Calibri" w:eastAsia="Calibri" w:hAnsi="Calibri" w:cs="Calibri"/>
      <w:b/>
      <w:bCs/>
      <w:i w:val="0"/>
      <w:iCs w:val="0"/>
      <w:smallCaps w:val="0"/>
      <w:strike w:val="0"/>
      <w:sz w:val="36"/>
      <w:szCs w:val="36"/>
      <w:u w:val="none"/>
    </w:rPr>
  </w:style>
  <w:style w:type="paragraph" w:customStyle="1" w:styleId="Style12">
    <w:name w:val="Titulek tabulky"/>
    <w:basedOn w:val="Normal"/>
    <w:link w:val="CharStyle13"/>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5">
    <w:name w:val="Jiné"/>
    <w:basedOn w:val="Normal"/>
    <w:link w:val="CharStyle16"/>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23">
    <w:name w:val="Nadpis #2"/>
    <w:basedOn w:val="Normal"/>
    <w:link w:val="CharStyle24"/>
    <w:pPr>
      <w:widowControl w:val="0"/>
      <w:shd w:val="clear" w:color="auto" w:fill="FFFFFF"/>
      <w:spacing w:after="280"/>
      <w:jc w:val="center"/>
      <w:outlineLvl w:val="1"/>
    </w:pPr>
    <w:rPr>
      <w:rFonts w:ascii="Calibri" w:eastAsia="Calibri" w:hAnsi="Calibri" w:cs="Calibri"/>
      <w:b/>
      <w:bCs/>
      <w:i w:val="0"/>
      <w:iCs w:val="0"/>
      <w:smallCaps w:val="0"/>
      <w:strike w:val="0"/>
      <w:sz w:val="24"/>
      <w:szCs w:val="24"/>
      <w:u w:val="none"/>
    </w:rPr>
  </w:style>
  <w:style w:type="paragraph" w:customStyle="1" w:styleId="Style25">
    <w:name w:val="Základní text (7)"/>
    <w:basedOn w:val="Normal"/>
    <w:link w:val="CharStyle26"/>
    <w:pPr>
      <w:widowControl w:val="0"/>
      <w:shd w:val="clear" w:color="auto" w:fill="FFFFFF"/>
      <w:spacing w:line="180" w:lineRule="auto"/>
      <w:jc w:val="center"/>
    </w:pPr>
    <w:rPr>
      <w:rFonts w:ascii="Times New Roman" w:eastAsia="Times New Roman" w:hAnsi="Times New Roman" w:cs="Times New Roman"/>
      <w:b/>
      <w:bCs/>
      <w:i/>
      <w:iCs/>
      <w:smallCaps w:val="0"/>
      <w:strike w:val="0"/>
      <w:sz w:val="8"/>
      <w:szCs w:val="8"/>
      <w:u w:val="none"/>
    </w:rPr>
  </w:style>
  <w:style w:type="paragraph" w:customStyle="1" w:styleId="Style29">
    <w:name w:val="Základní text (4)"/>
    <w:basedOn w:val="Normal"/>
    <w:link w:val="CharStyle30"/>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33">
    <w:name w:val="Základní text (3)"/>
    <w:basedOn w:val="Normal"/>
    <w:link w:val="CharStyle34"/>
    <w:pPr>
      <w:widowControl w:val="0"/>
      <w:shd w:val="clear" w:color="auto" w:fill="FFFFFF"/>
      <w:spacing w:after="240" w:line="264" w:lineRule="auto"/>
      <w:ind w:firstLine="720"/>
    </w:pPr>
    <w:rPr>
      <w:rFonts w:ascii="Arial" w:eastAsia="Arial" w:hAnsi="Arial" w:cs="Arial"/>
      <w:b w:val="0"/>
      <w:bCs w:val="0"/>
      <w:i w:val="0"/>
      <w:iCs w:val="0"/>
      <w:smallCaps w:val="0"/>
      <w:strike w:val="0"/>
      <w:sz w:val="20"/>
      <w:szCs w:val="20"/>
      <w:u w:val="none"/>
    </w:rPr>
  </w:style>
  <w:style w:type="paragraph" w:customStyle="1" w:styleId="Style40">
    <w:name w:val="Základní text (2)"/>
    <w:basedOn w:val="Normal"/>
    <w:link w:val="CharStyle41"/>
    <w:pPr>
      <w:widowControl w:val="0"/>
      <w:shd w:val="clear" w:color="auto" w:fill="FFFFFF"/>
    </w:pPr>
    <w:rPr>
      <w:rFonts w:ascii="Arial" w:eastAsia="Arial" w:hAnsi="Arial" w:cs="Arial"/>
      <w:b w:val="0"/>
      <w:bCs w:val="0"/>
      <w:i w:val="0"/>
      <w:iCs w:val="0"/>
      <w:smallCaps w:val="0"/>
      <w:strike w:val="0"/>
      <w:sz w:val="12"/>
      <w:szCs w:val="12"/>
      <w:u w:val="none"/>
    </w:rPr>
  </w:style>
  <w:style w:type="paragraph" w:customStyle="1" w:styleId="Style43">
    <w:name w:val="Základní text (5)"/>
    <w:basedOn w:val="Normal"/>
    <w:link w:val="CharStyle44"/>
    <w:pPr>
      <w:widowControl w:val="0"/>
      <w:shd w:val="clear" w:color="auto" w:fill="FFFFFF"/>
      <w:spacing w:after="60" w:line="264" w:lineRule="auto"/>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s>
</file>