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right" w:pos="9057"/>
        </w:tabs>
        <w:spacing w:before="240" w:after="240"/>
        <w:jc w:val="center"/>
        <w:rPr>
          <w:rFonts w:cs="Arial"/>
          <w:b/>
          <w:sz w:val="28"/>
          <w:szCs w:val="28"/>
        </w:rPr>
      </w:pPr>
      <w:r>
        <w:rPr>
          <w:rFonts w:cs="Arial"/>
          <w:b/>
          <w:sz w:val="28"/>
          <w:szCs w:val="28"/>
        </w:rPr>
        <w:t>DOHODA o provedení rekvalifikace v rámci NPO 3.3 č. OTA-BO-1/2022</w:t>
      </w: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proofErr w:type="spellStart"/>
      <w:r>
        <w:t>xxx</w:t>
      </w:r>
      <w:proofErr w:type="spellEnd"/>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w:t>
      </w:r>
      <w:proofErr w:type="gramStart"/>
      <w:r>
        <w:rPr>
          <w:szCs w:val="20"/>
        </w:rPr>
        <w:t>republiky - krajská</w:t>
      </w:r>
      <w:proofErr w:type="gramEnd"/>
      <w:r>
        <w:rPr>
          <w:szCs w:val="20"/>
        </w:rPr>
        <w:t xml:space="preserve"> pobočka v Ostravě, Zahradní 368/12, Moravská Ostrava, 701 60 Ostrava</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číslo účtu:</w:t>
      </w:r>
      <w:r>
        <w:rPr>
          <w:rFonts w:cs="Arial"/>
          <w:szCs w:val="20"/>
        </w:rPr>
        <w:tab/>
      </w:r>
      <w:proofErr w:type="spellStart"/>
      <w:r>
        <w:t>xxx</w:t>
      </w:r>
      <w:proofErr w:type="spellEnd"/>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POE EDUCO</w:t>
      </w:r>
      <w:r>
        <w:rPr>
          <w:szCs w:val="20"/>
        </w:rPr>
        <w:t>, spol. s r. o.</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xxx</w:t>
      </w:r>
    </w:p>
    <w:p>
      <w:pPr>
        <w:tabs>
          <w:tab w:val="left" w:pos="2520"/>
        </w:tabs>
        <w:ind w:left="2520" w:hanging="2520"/>
        <w:rPr>
          <w:rFonts w:cs="Arial"/>
          <w:szCs w:val="20"/>
        </w:rPr>
      </w:pPr>
      <w:r>
        <w:rPr>
          <w:rFonts w:cs="Arial"/>
          <w:noProof/>
          <w:szCs w:val="20"/>
        </w:rPr>
        <w:t>sídlo:</w:t>
      </w:r>
      <w:r>
        <w:rPr>
          <w:rFonts w:cs="Arial"/>
          <w:szCs w:val="20"/>
        </w:rPr>
        <w:tab/>
      </w:r>
      <w:r>
        <w:t>Divadelní č</w:t>
      </w:r>
      <w:r>
        <w:rPr>
          <w:szCs w:val="20"/>
        </w:rPr>
        <w:t>.p. 946/9, 741 01 Nový Jičín 1</w:t>
      </w:r>
    </w:p>
    <w:p>
      <w:pPr>
        <w:tabs>
          <w:tab w:val="left" w:pos="2520"/>
        </w:tabs>
        <w:ind w:left="2520" w:hanging="2520"/>
        <w:rPr>
          <w:rFonts w:cs="Arial"/>
          <w:szCs w:val="20"/>
        </w:rPr>
      </w:pPr>
      <w:r>
        <w:rPr>
          <w:rFonts w:cs="Arial"/>
          <w:szCs w:val="20"/>
        </w:rPr>
        <w:t>identifikační číslo:</w:t>
      </w:r>
      <w:r>
        <w:rPr>
          <w:rFonts w:cs="Arial"/>
          <w:szCs w:val="20"/>
        </w:rPr>
        <w:tab/>
      </w:r>
      <w:r>
        <w:t>64089398</w:t>
      </w:r>
    </w:p>
    <w:p>
      <w:pPr>
        <w:tabs>
          <w:tab w:val="left" w:pos="2520"/>
        </w:tabs>
        <w:ind w:left="2520" w:hanging="2520"/>
        <w:rPr>
          <w:rFonts w:cs="Arial"/>
          <w:szCs w:val="20"/>
        </w:rPr>
      </w:pPr>
      <w:r>
        <w:rPr>
          <w:rFonts w:cs="Arial"/>
          <w:szCs w:val="20"/>
        </w:rPr>
        <w:t>číslo účtu:</w:t>
      </w:r>
      <w:r>
        <w:rPr>
          <w:rFonts w:cs="Arial"/>
          <w:szCs w:val="20"/>
        </w:rPr>
        <w:tab/>
      </w:r>
      <w:proofErr w:type="spellStart"/>
      <w:r>
        <w:t>xxx</w:t>
      </w:r>
      <w:proofErr w:type="spellEnd"/>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projektu NPO –</w:t>
      </w:r>
      <w:r>
        <w:rPr>
          <w:szCs w:val="20"/>
        </w:rPr>
        <w:t xml:space="preserve"> vzdělávám se v DIGI</w:t>
      </w:r>
      <w:r>
        <w:rPr>
          <w:iCs/>
        </w:rPr>
        <w:t>,</w:t>
      </w:r>
      <w:r>
        <w:t xml:space="preserve"> </w:t>
      </w:r>
      <w:proofErr w:type="spellStart"/>
      <w:r>
        <w:t>reg</w:t>
      </w:r>
      <w:proofErr w:type="spellEnd"/>
      <w:r>
        <w:t>. č. CZ.99</w:t>
      </w:r>
      <w:r>
        <w:rPr>
          <w:szCs w:val="20"/>
        </w:rPr>
        <w:t>.9.9/9.9/9.9/99_999/9999996</w:t>
      </w:r>
      <w:r>
        <w:rPr>
          <w:iCs/>
        </w:rPr>
        <w:t>. Projekt je realizovaný v rámci Národního plánu obnovy, komponenty 3.3: Modernizace služeb zaměstnanosti a rozvoj trhu práce, investice č. 3.3.1 Rozvoj politik zaměstnanosti a hrazený z prostředků Nástroje pro oživení a </w:t>
      </w:r>
      <w:proofErr w:type="gramStart"/>
      <w:r>
        <w:rPr>
          <w:iCs/>
        </w:rPr>
        <w:t>odolnost - RRF</w:t>
      </w:r>
      <w:proofErr w:type="gramEnd"/>
      <w:r>
        <w:rPr>
          <w:iCs/>
        </w:rPr>
        <w:t xml:space="preserve"> v rámci </w:t>
      </w:r>
      <w:proofErr w:type="spellStart"/>
      <w:r>
        <w:rPr>
          <w:iCs/>
        </w:rPr>
        <w:t>NextGenerationEU</w:t>
      </w:r>
      <w:proofErr w:type="spellEnd"/>
      <w:r>
        <w:rPr>
          <w:iCs/>
        </w:rPr>
        <w:t xml:space="preserve"> (dále jen „NPO 3.3“).</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 xml:space="preserve">"účetnictví </w:t>
      </w:r>
      <w:r>
        <w:rPr>
          <w:szCs w:val="20"/>
        </w:rPr>
        <w:t>a daňová evidence (s využitím výpočetní techniky; v rozsahu 170 hodin teoretické výuky)"</w:t>
      </w:r>
    </w:p>
    <w:p>
      <w:pPr>
        <w:pStyle w:val="BoddohodyII"/>
        <w:numPr>
          <w:ilvl w:val="0"/>
          <w:numId w:val="0"/>
        </w:numPr>
        <w:ind w:left="709"/>
      </w:pPr>
      <w:r>
        <w:t xml:space="preserve">za účelem rozvoje digitálních dovedností v oblasti </w:t>
      </w:r>
      <w:r>
        <w:rPr>
          <w:szCs w:val="20"/>
        </w:rPr>
        <w:t>Průmysl 4.0</w:t>
      </w:r>
      <w:r>
        <w:t>.</w:t>
      </w:r>
    </w:p>
    <w:p>
      <w:pPr>
        <w:pStyle w:val="BoddohodyII"/>
      </w:pPr>
      <w:r>
        <w:t xml:space="preserve">Rekvalifikace se uskuteční ve vzdělávacím programu: </w:t>
      </w:r>
      <w:r>
        <w:tab/>
      </w:r>
      <w:r>
        <w:br/>
      </w:r>
      <w:r>
        <w:rPr>
          <w:b/>
        </w:rPr>
        <w:t>Účetnictví a</w:t>
      </w:r>
      <w:r>
        <w:rPr>
          <w:b/>
          <w:szCs w:val="20"/>
        </w:rPr>
        <w:t xml:space="preserve"> daňová evidence s využitím výpočetní techniky</w:t>
      </w:r>
    </w:p>
    <w:p>
      <w:pPr>
        <w:pStyle w:val="BoddohodyII"/>
      </w:pPr>
      <w:r>
        <w:t xml:space="preserve">Základní kvalifikační předpoklady potřebné pro zařazení do rekvalifikace, tj. minimální stupeň vzdělání, popřípadě další požadavky: </w:t>
      </w:r>
      <w:r>
        <w:tab/>
      </w:r>
      <w:r>
        <w:br/>
        <w:t>Střední odborné</w:t>
      </w:r>
      <w:r>
        <w:rPr>
          <w:szCs w:val="20"/>
        </w:rPr>
        <w:t xml:space="preserve"> (vyučen)</w:t>
      </w:r>
    </w:p>
    <w:p>
      <w:pPr>
        <w:pStyle w:val="BoddohodyII"/>
        <w:tabs>
          <w:tab w:val="left" w:pos="1440"/>
          <w:tab w:val="right" w:pos="7740"/>
          <w:tab w:val="left" w:pos="7853"/>
        </w:tabs>
      </w:pPr>
      <w:r>
        <w:t>Celkový rozsah rekvalifikace:</w:t>
      </w:r>
      <w:r>
        <w:tab/>
      </w:r>
      <w:r>
        <w:rPr>
          <w:b/>
        </w:rPr>
        <w:t xml:space="preserve">175,00 </w:t>
      </w:r>
      <w:r>
        <w:rPr>
          <w:b/>
        </w:rPr>
        <w:tab/>
        <w:t>hodin</w:t>
      </w:r>
      <w:r>
        <w:br/>
        <w:t>z toho:</w:t>
      </w:r>
      <w:r>
        <w:tab/>
        <w:t>- teoretická příprava:</w:t>
      </w:r>
      <w:r>
        <w:tab/>
        <w:t>170,00</w:t>
      </w:r>
      <w:r>
        <w:tab/>
        <w:t>hodin</w:t>
      </w:r>
      <w:r>
        <w:br/>
      </w:r>
      <w:r>
        <w:tab/>
        <w:t>- praktická příprava:</w:t>
      </w:r>
      <w:r>
        <w:tab/>
        <w:t>0,00</w:t>
      </w:r>
      <w:r>
        <w:tab/>
        <w:t>hodin</w:t>
      </w:r>
      <w:r>
        <w:br/>
      </w:r>
      <w:r>
        <w:tab/>
        <w:t>- ověření získaných znalostí a dovedností:</w:t>
      </w:r>
      <w:r>
        <w:tab/>
        <w:t>5,00</w:t>
      </w:r>
      <w:r>
        <w:tab/>
        <w:t>hodin</w:t>
      </w:r>
      <w:r>
        <w:br/>
        <w:t>Forma konání přípravy: Určené dny</w:t>
      </w:r>
      <w:r>
        <w:rPr>
          <w:szCs w:val="20"/>
        </w:rPr>
        <w:t xml:space="preserve"> v týdnu</w:t>
      </w:r>
    </w:p>
    <w:p>
      <w:pPr>
        <w:pStyle w:val="BoddohodyII"/>
      </w:pPr>
      <w:r>
        <w:lastRenderedPageBreak/>
        <w:t xml:space="preserve">Místo konání rekvalifikace: </w:t>
      </w:r>
      <w:r>
        <w:tab/>
      </w:r>
      <w:r>
        <w:br/>
        <w:t>POE EDUCO</w:t>
      </w:r>
      <w:r>
        <w:rPr>
          <w:szCs w:val="20"/>
        </w:rPr>
        <w:t>, spol. s r. o., pobočka Ostrava, Varenská č.p. 3101/49, Moravská Ostrava, 702 00 Ostrava 2</w:t>
      </w:r>
      <w:r>
        <w:t>, případně další místa určená rekvalifikačním zařízením.</w:t>
      </w:r>
    </w:p>
    <w:p>
      <w:pPr>
        <w:pStyle w:val="BoddohodyII"/>
        <w:tabs>
          <w:tab w:val="left" w:pos="2880"/>
          <w:tab w:val="right" w:pos="6120"/>
          <w:tab w:val="left" w:pos="6660"/>
        </w:tabs>
        <w:rPr>
          <w:b/>
        </w:rPr>
      </w:pPr>
      <w:r>
        <w:t>Doba rekvalifikace:</w:t>
      </w:r>
      <w:r>
        <w:tab/>
        <w:t>zahájení</w:t>
      </w:r>
      <w:r>
        <w:tab/>
      </w:r>
      <w:r>
        <w:rPr>
          <w:b/>
        </w:rPr>
        <w:t>31.10</w:t>
      </w:r>
      <w:r>
        <w:rPr>
          <w:b/>
          <w:szCs w:val="20"/>
        </w:rPr>
        <w:t>.2022</w:t>
      </w:r>
      <w:r>
        <w:tab/>
      </w:r>
      <w:r>
        <w:rPr>
          <w:noProof/>
        </w:rPr>
        <w:t>v 8</w:t>
      </w:r>
      <w:r>
        <w:rPr>
          <w:noProof/>
          <w:szCs w:val="20"/>
        </w:rPr>
        <w:t>:00 hod.</w:t>
      </w:r>
      <w:r>
        <w:t xml:space="preserve"> </w:t>
      </w:r>
      <w:r>
        <w:br/>
      </w:r>
      <w:r>
        <w:tab/>
        <w:t>ukončení</w:t>
      </w:r>
      <w:r>
        <w:tab/>
      </w:r>
      <w:r>
        <w:rPr>
          <w:b/>
        </w:rPr>
        <w:t>13.12</w:t>
      </w:r>
      <w:r>
        <w:rPr>
          <w:b/>
          <w:szCs w:val="20"/>
        </w:rPr>
        <w:t>.2022</w:t>
      </w:r>
    </w:p>
    <w:p>
      <w:pPr>
        <w:pStyle w:val="BoddohodyII"/>
      </w:pPr>
      <w:r>
        <w:t xml:space="preserve">Způsob ověření získaných znalostí a dovedností: </w:t>
      </w:r>
      <w:r>
        <w:tab/>
      </w:r>
      <w:r>
        <w:br/>
        <w:t>Závěrečná zkouška</w:t>
      </w:r>
      <w:r>
        <w:tab/>
      </w:r>
      <w:r>
        <w:br/>
        <w:t>Výstupní doklad:</w:t>
      </w:r>
      <w:r>
        <w:tab/>
      </w:r>
      <w:r>
        <w:br/>
        <w:t>Osvědčení s celostátní</w:t>
      </w:r>
      <w:r>
        <w:rPr>
          <w:szCs w:val="20"/>
        </w:rPr>
        <w:t xml:space="preserve"> platností</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12</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6 206</w:t>
      </w:r>
      <w:r>
        <w:tab/>
        <w:t>Kč</w:t>
      </w:r>
      <w:r>
        <w:tab/>
        <w:t xml:space="preserve">(slovy </w:t>
      </w:r>
      <w:proofErr w:type="spellStart"/>
      <w:r>
        <w:t>Šesttisícdvěstěšest</w:t>
      </w:r>
      <w:proofErr w:type="spellEnd"/>
      <w:r>
        <w:t xml:space="preserve"> korun českých) </w:t>
      </w:r>
      <w:r>
        <w:tab/>
      </w:r>
      <w:r>
        <w:br/>
        <w:t xml:space="preserve">Celkové náklady rekvalifikace: </w:t>
      </w:r>
      <w:r>
        <w:tab/>
      </w:r>
      <w:r>
        <w:br/>
        <w:t>do výše</w:t>
      </w:r>
      <w:r>
        <w:rPr>
          <w:b/>
        </w:rPr>
        <w:tab/>
        <w:t xml:space="preserve"> 74 472</w:t>
      </w:r>
      <w:r>
        <w:tab/>
        <w:t>Kč</w:t>
      </w:r>
      <w:r>
        <w:tab/>
        <w:t xml:space="preserve">(slovy </w:t>
      </w:r>
      <w:proofErr w:type="spellStart"/>
      <w:r>
        <w:t>Sedmdesátčtyřitisícečtyřistasedmdesátdva</w:t>
      </w:r>
      <w:proofErr w:type="spellEnd"/>
      <w:r>
        <w:t xml:space="preserve">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NPO specifikovanou v Obecné části pravidel pro žadatele a příjemce vydaných pro NPO 3.3 (k dispozici na </w:t>
      </w:r>
      <w:hyperlink r:id="rId8" w:history="1">
        <w:r>
          <w:rPr>
            <w:rStyle w:val="Hypertextovodkaz"/>
          </w:rPr>
          <w:t>https://www.mpsv.cz/narodni-plan-obnovy</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se účastník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t>Neprodleně, nejpozději do 8 kalendářních dnů, písemně informovat Úřad práce, pokud vzniknou překážky, které znemožní pokračování rekvalifikace.</w:t>
      </w:r>
    </w:p>
    <w:p>
      <w:pPr>
        <w:pStyle w:val="BoddohodyIII"/>
      </w:pPr>
      <w:r>
        <w:lastRenderedPageBreak/>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NPO specifikovanou v Obecné části pravidel pro žadatele a příjemce vydaných pro NPO 3.3 (k dispozici na </w:t>
      </w:r>
      <w:hyperlink r:id="rId9" w:history="1">
        <w:r>
          <w:rPr>
            <w:rStyle w:val="Hypertextovodkaz"/>
          </w:rPr>
          <w:t>https://www.mpsv.cz/narodni-plan-obnovy</w:t>
        </w:r>
      </w:hyperlink>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 xml:space="preserve">V souladu s body II.8 a II.9 dohody fakturovat Úřadu práce náklady na rekvalifikaci účastníků rekvalifikace, kteří do rekvalifikace skutečně nastoupili. V případě, že účastník rekvalifikace </w:t>
      </w:r>
      <w:proofErr w:type="gramStart"/>
      <w:r>
        <w:t>nedokončí</w:t>
      </w:r>
      <w:proofErr w:type="gramEnd"/>
      <w:r>
        <w:t xml:space="preserve"> rekvalifikaci, fakturovat Úřadu práce odpovídající část dohodnutých nákladů. </w:t>
      </w:r>
      <w:r>
        <w:tab/>
      </w:r>
      <w:r>
        <w:br/>
        <w:t>Fakturu doložit Úřadu práce provést do 14 dnů</w:t>
      </w:r>
      <w:r>
        <w:rPr>
          <w:szCs w:val="20"/>
        </w:rPr>
        <w:t xml:space="preserve"> po ukončení rekvalifikace.</w:t>
      </w:r>
      <w:r>
        <w:t xml:space="preserve"> </w:t>
      </w:r>
      <w:r>
        <w:tab/>
      </w:r>
      <w:r>
        <w:br/>
        <w:t>Lhůta splatnosti faktur bude stanovena minimálně 30 kalendářních dnů.</w:t>
      </w:r>
    </w:p>
    <w:p>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 108 odst. 7 písm. i) zákona o zaměstnanosti]. Vrácení bude provedeno ve lhůtě a způsobem stanoveným ve výzvě Úřadu práce. 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pPr>
        <w:pStyle w:val="BoddohodyIII"/>
      </w:pPr>
      <w:r>
        <w:t>Umožnit zaměstnancům Úřadu práce kontrolu dodržování sjednaných podmínek pro rekvalifikaci, včetně účasti na ověření získaných znalostí a dovedností.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III"/>
      </w:pPr>
      <w:r>
        <w:t>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 let se počítá od 1. ledna roku následujícího po roce, v němž byl projekt ukončen.</w:t>
      </w:r>
    </w:p>
    <w:p>
      <w:pPr>
        <w:pStyle w:val="lnek"/>
        <w:keepNext/>
        <w:rPr>
          <w:szCs w:val="20"/>
        </w:rPr>
      </w:pPr>
      <w:r>
        <w:rPr>
          <w:szCs w:val="20"/>
        </w:rPr>
        <w:lastRenderedPageBreak/>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IV"/>
        <w:numPr>
          <w:ilvl w:val="0"/>
          <w:numId w:val="29"/>
        </w:numPr>
      </w:pPr>
      <w:r>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lnek"/>
        <w:rPr>
          <w:szCs w:val="20"/>
        </w:rPr>
      </w:pPr>
      <w:r>
        <w:rPr>
          <w:szCs w:val="20"/>
        </w:rPr>
        <w:t>Článek V</w:t>
      </w:r>
    </w:p>
    <w:p>
      <w:pPr>
        <w:pStyle w:val="Nadpislnku"/>
      </w:pPr>
      <w:r>
        <w:t>Všeobecná ustanovení</w:t>
      </w:r>
    </w:p>
    <w:p>
      <w:pPr>
        <w:pStyle w:val="BoddohodyV"/>
      </w:pPr>
      <w:r>
        <w:t xml:space="preserve">Rekvalifikační zařízení je povinno spolupracovat s Úřadem práce na zajištění publicity </w:t>
      </w:r>
      <w:r>
        <w:rPr>
          <w:rFonts w:cs="Arial"/>
          <w:szCs w:val="20"/>
        </w:rPr>
        <w:t>Národního plánu obnovy (dále jen „NPO“)</w:t>
      </w:r>
      <w:r>
        <w:t>.</w:t>
      </w:r>
    </w:p>
    <w:p>
      <w:pPr>
        <w:pStyle w:val="BoddohodyV"/>
      </w:pPr>
      <w:r>
        <w:t>Rekvalifikační zařízení souhlasí s využíváním údajů v informačních systémech týkajících se příjemců příspěvku pro účely administrace prostředků z rozpočtu EU.</w:t>
      </w:r>
    </w:p>
    <w:p>
      <w:pPr>
        <w:pStyle w:val="BoddohodyV"/>
      </w:pPr>
      <w:r>
        <w:t>Rekvalifikační zařízení poskytne písemně Úřadu práce na jeho žádost jakékoliv doplňující informace související s poskytnutím příspěvku, a to ve lhůtě stanovené Úřadem práce.</w:t>
      </w:r>
    </w:p>
    <w:p>
      <w:pPr>
        <w:pStyle w:val="BoddohodyV"/>
      </w:pPr>
      <w:r>
        <w:t>Změny této dohody budou učiněny jen se souhlasem obou smluvních stran písemným dodatkem k dohodě.</w:t>
      </w:r>
    </w:p>
    <w:p>
      <w:pPr>
        <w:pStyle w:val="BoddohodyV"/>
      </w:pPr>
      <w:r>
        <w:t>V případě zániku některé ze smluvních stran přecházejí její práva a povinnosti vyplývající z dohody na jejího právního nástupce.</w:t>
      </w:r>
    </w:p>
    <w:p>
      <w:pPr>
        <w:pStyle w:val="BoddohodyV"/>
      </w:pPr>
      <w:r>
        <w:t>Součástí dohody je příloha č. 1 Seznam účastníků rekvalifikace.</w:t>
      </w:r>
    </w:p>
    <w:p>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pPr>
        <w:pStyle w:val="BoddohodyV"/>
      </w:pPr>
      <w:r>
        <w:t>Smluvní strany mají informační povinnost podle platných pravidel pro informování, komunikaci a vizuální identitu NPO specifikovanou v Obecných pravidlech pro žadatele a příjemce vydaných pro NPO 3.3.</w:t>
      </w:r>
    </w:p>
    <w:p>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pStyle w:val="lnek"/>
        <w:rPr>
          <w:szCs w:val="20"/>
        </w:rPr>
      </w:pPr>
      <w:r>
        <w:rPr>
          <w:szCs w:val="20"/>
        </w:rPr>
        <w:lastRenderedPageBreak/>
        <w:t>Článek VI</w:t>
      </w:r>
    </w:p>
    <w:p>
      <w:pPr>
        <w:pStyle w:val="Nadpislnku"/>
      </w:pPr>
      <w:r>
        <w:t>Další ujednání</w:t>
      </w:r>
    </w:p>
    <w:p>
      <w:r>
        <w:rPr>
          <w:b/>
        </w:rPr>
        <w:tab/>
      </w:r>
      <w:r>
        <w:t>Rekvalifikační zařízení</w:t>
      </w:r>
      <w:r>
        <w:rPr>
          <w:szCs w:val="20"/>
        </w:rPr>
        <w:t xml:space="preserve"> se zavazuje, z důvodu vyššího počtu účastníků rekvalifikace, provést rekvalifikaci ve dvou skupinách.</w:t>
      </w:r>
    </w:p>
    <w:p>
      <w:pPr>
        <w:rPr>
          <w:b/>
        </w:rPr>
      </w:pPr>
    </w:p>
    <w:p/>
    <w:p>
      <w:r>
        <w:t>Úřad práce</w:t>
      </w:r>
      <w:r>
        <w:rPr>
          <w:szCs w:val="20"/>
        </w:rPr>
        <w:t xml:space="preserve"> České republiky</w:t>
      </w:r>
      <w:r>
        <w:t xml:space="preserve"> dne 31.10</w:t>
      </w:r>
      <w:r>
        <w:rPr>
          <w:szCs w:val="20"/>
        </w:rPr>
        <w:t>.2022</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proofErr w:type="spellStart"/>
      <w:r>
        <w:t>xxx</w:t>
      </w:r>
      <w:proofErr w:type="spellEnd"/>
    </w:p>
    <w:p>
      <w:pPr>
        <w:keepNext/>
        <w:keepLines/>
        <w:jc w:val="center"/>
        <w:rPr>
          <w:rFonts w:cs="Arial"/>
          <w:szCs w:val="20"/>
        </w:rPr>
      </w:pPr>
      <w:r>
        <w:rPr>
          <w:rFonts w:cs="Arial"/>
          <w:szCs w:val="20"/>
        </w:rPr>
        <w:br w:type="column"/>
      </w:r>
      <w:r>
        <w:rPr>
          <w:rFonts w:cs="Arial"/>
          <w:szCs w:val="20"/>
        </w:rPr>
        <w:t>..................................................................</w:t>
      </w:r>
    </w:p>
    <w:p>
      <w:pPr>
        <w:tabs>
          <w:tab w:val="center" w:pos="1800"/>
          <w:tab w:val="center" w:pos="7200"/>
        </w:tabs>
        <w:jc w:val="center"/>
      </w:pPr>
      <w:proofErr w:type="spellStart"/>
      <w:r>
        <w:t>xxx</w:t>
      </w:r>
      <w:proofErr w:type="spellEnd"/>
    </w:p>
    <w:p>
      <w:pPr>
        <w:tabs>
          <w:tab w:val="center" w:pos="1800"/>
          <w:tab w:val="center" w:pos="7200"/>
        </w:tabs>
        <w:jc w:val="center"/>
      </w:pP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proofErr w:type="spellStart"/>
      <w:r>
        <w:t>xxx</w:t>
      </w:r>
      <w:proofErr w:type="spellEnd"/>
    </w:p>
    <w:p>
      <w:pPr>
        <w:keepLines/>
        <w:tabs>
          <w:tab w:val="left" w:pos="2160"/>
        </w:tabs>
        <w:rPr>
          <w:rFonts w:cs="Arial"/>
          <w:szCs w:val="20"/>
        </w:rPr>
      </w:pPr>
      <w:r>
        <w:rPr>
          <w:rFonts w:cs="Arial"/>
          <w:szCs w:val="20"/>
        </w:rPr>
        <w:t>Telefon:</w:t>
      </w:r>
      <w:r>
        <w:rPr>
          <w:rFonts w:cs="Arial"/>
          <w:szCs w:val="20"/>
        </w:rPr>
        <w:tab/>
      </w:r>
      <w:r>
        <w:t>xxx</w:t>
      </w:r>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Bdr>
        <w:top w:val="single" w:sz="4" w:space="1" w:color="auto"/>
      </w:pBdr>
      <w:tabs>
        <w:tab w:val="clear" w:pos="4536"/>
        <w:tab w:val="clear" w:pos="9072"/>
        <w:tab w:val="right" w:pos="9498"/>
      </w:tabs>
      <w:rPr>
        <w:i/>
      </w:rPr>
    </w:pPr>
    <w:r>
      <w:rPr>
        <w:i/>
      </w:rPr>
      <w:t>Dohoda o provedení rekvalifikace č. OTA-BO-1/2022</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Bdr>
        <w:top w:val="single" w:sz="4" w:space="1" w:color="auto"/>
      </w:pBdr>
      <w:tabs>
        <w:tab w:val="clear" w:pos="4536"/>
        <w:tab w:val="clear" w:pos="9072"/>
        <w:tab w:val="right" w:pos="9498"/>
      </w:tabs>
      <w:rPr>
        <w:i/>
      </w:rPr>
    </w:pPr>
    <w:r>
      <w:rPr>
        <w:i/>
      </w:rPr>
      <w:t>Dohoda o provedení rekvalifikace č. OTA-BO-1/2022</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tabs>
        <w:tab w:val="clear" w:pos="9072"/>
        <w:tab w:val="right" w:pos="9498"/>
      </w:tabs>
      <w:rPr>
        <w:i/>
        <w:sz w:val="12"/>
        <w:szCs w:val="12"/>
      </w:rPr>
    </w:pPr>
  </w:p>
  <w:p>
    <w:pPr>
      <w:pStyle w:val="Zpat"/>
      <w:tabs>
        <w:tab w:val="clear" w:pos="9072"/>
        <w:tab w:val="right" w:pos="9498"/>
      </w:tabs>
      <w:rPr>
        <w:i/>
        <w:sz w:val="16"/>
        <w:szCs w:val="16"/>
      </w:rPr>
    </w:pPr>
    <w:r>
      <w:rPr>
        <w:i/>
        <w:sz w:val="16"/>
        <w:szCs w:val="16"/>
      </w:rPr>
      <w:t>C</w:t>
    </w:r>
    <w:r>
      <w:rPr>
        <w:i/>
        <w:sz w:val="16"/>
        <w:szCs w:val="16"/>
      </w:rPr>
      <w:tab/>
    </w:r>
    <w:r>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left"/>
    </w:pPr>
    <w:r>
      <w:rPr>
        <w:noProof/>
      </w:rPr>
      <w:drawing>
        <wp:inline distT="0" distB="0" distL="0" distR="0">
          <wp:extent cx="6035040" cy="6915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9EBDBA-1067-4F65-96EF-FB359706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18"/>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2</TotalTime>
  <Pages>5</Pages>
  <Words>1594</Words>
  <Characters>10219</Characters>
  <Application>Microsoft Office Word</Application>
  <DocSecurity>0</DocSecurity>
  <Lines>85</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11790</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3</cp:revision>
  <cp:lastPrinted>2022-11-01T15:09:00Z</cp:lastPrinted>
  <dcterms:created xsi:type="dcterms:W3CDTF">2022-11-02T07:08:00Z</dcterms:created>
  <dcterms:modified xsi:type="dcterms:W3CDTF">2022-11-02T07:43:00Z</dcterms:modified>
</cp:coreProperties>
</file>