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25DF7960" w:rsidR="00CD22B3" w:rsidRPr="0000727D" w:rsidRDefault="00785C00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4DB94" wp14:editId="0E2E6B85">
                <wp:simplePos x="0" y="0"/>
                <wp:positionH relativeFrom="column">
                  <wp:posOffset>1443990</wp:posOffset>
                </wp:positionH>
                <wp:positionV relativeFrom="paragraph">
                  <wp:posOffset>163830</wp:posOffset>
                </wp:positionV>
                <wp:extent cx="3291840" cy="160020"/>
                <wp:effectExtent l="11430" t="13335" r="11430" b="762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600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B2E04" id="Rectangle 3" o:spid="_x0000_s1026" style="position:absolute;margin-left:113.7pt;margin-top:12.9pt;width:259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" fillcolor="black [3213]"/>
            </w:pict>
          </mc:Fallback>
        </mc:AlternateContent>
      </w:r>
      <w:r w:rsidR="00CD22B3" w:rsidRPr="0000727D">
        <w:rPr>
          <w:rFonts w:ascii="Calibri" w:hAnsi="Calibri"/>
          <w:b/>
          <w:sz w:val="22"/>
          <w:szCs w:val="22"/>
        </w:rPr>
        <w:t>DIČ:</w:t>
      </w:r>
      <w:r w:rsidR="00CD22B3" w:rsidRPr="0000727D">
        <w:rPr>
          <w:rFonts w:ascii="Calibri" w:hAnsi="Calibri"/>
          <w:sz w:val="22"/>
          <w:szCs w:val="22"/>
        </w:rPr>
        <w:tab/>
      </w:r>
      <w:bookmarkStart w:id="0" w:name="OLE_LINK2"/>
      <w:r w:rsidR="00CD22B3"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3E3A40EB" w:rsidR="00CD22B3" w:rsidRPr="0000727D" w:rsidRDefault="003E7095" w:rsidP="00CD22B3">
      <w:pPr>
        <w:pStyle w:val="Nadpis7"/>
        <w:numPr>
          <w:ilvl w:val="0"/>
          <w:numId w:val="0"/>
        </w:numPr>
        <w:tabs>
          <w:tab w:val="left" w:pos="2268"/>
        </w:tabs>
        <w:ind w:left="2268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3E7095">
        <w:rPr>
          <w:rFonts w:ascii="Calibri" w:hAnsi="Calibri"/>
          <w:b/>
          <w:sz w:val="22"/>
          <w:szCs w:val="22"/>
        </w:rPr>
        <w:t>Mateřská škola Klíček, Karviná-Hranice, Einsteinova 2849, příspěvková organizace</w:t>
      </w:r>
    </w:p>
    <w:p w14:paraId="6908E129" w14:textId="35732777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0F37FA" w:rsidRPr="000F37FA">
        <w:rPr>
          <w:rFonts w:ascii="Calibri" w:hAnsi="Calibri"/>
          <w:sz w:val="22"/>
          <w:szCs w:val="22"/>
        </w:rPr>
        <w:t>733 01</w:t>
      </w:r>
      <w:r w:rsidR="000F37FA">
        <w:rPr>
          <w:rFonts w:ascii="Calibri" w:hAnsi="Calibri"/>
          <w:sz w:val="22"/>
          <w:szCs w:val="22"/>
        </w:rPr>
        <w:t xml:space="preserve"> </w:t>
      </w:r>
      <w:r w:rsidR="000F37FA" w:rsidRPr="000F37FA">
        <w:rPr>
          <w:rFonts w:ascii="Calibri" w:hAnsi="Calibri"/>
          <w:sz w:val="22"/>
          <w:szCs w:val="22"/>
        </w:rPr>
        <w:t>Karviná</w:t>
      </w:r>
      <w:r w:rsidR="000F37FA">
        <w:rPr>
          <w:rFonts w:ascii="Calibri" w:hAnsi="Calibri"/>
          <w:sz w:val="22"/>
          <w:szCs w:val="22"/>
        </w:rPr>
        <w:t xml:space="preserve">, </w:t>
      </w:r>
      <w:r w:rsidR="000F37FA" w:rsidRPr="000F37FA">
        <w:rPr>
          <w:rFonts w:ascii="Calibri" w:hAnsi="Calibri"/>
          <w:sz w:val="22"/>
          <w:szCs w:val="22"/>
        </w:rPr>
        <w:t>Einsteinova 2849</w:t>
      </w:r>
    </w:p>
    <w:p w14:paraId="14B2BE49" w14:textId="0586354B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0F37FA" w:rsidRPr="000F37FA">
        <w:rPr>
          <w:rFonts w:ascii="Calibri" w:hAnsi="Calibri"/>
          <w:sz w:val="22"/>
          <w:szCs w:val="22"/>
        </w:rPr>
        <w:t>Mgr. Eva Janáková</w:t>
      </w:r>
      <w:r w:rsidR="000F37FA">
        <w:rPr>
          <w:rFonts w:ascii="Calibri" w:hAnsi="Calibri"/>
          <w:sz w:val="22"/>
          <w:szCs w:val="22"/>
        </w:rPr>
        <w:t>, ředitelka školy</w:t>
      </w:r>
    </w:p>
    <w:p w14:paraId="283AA893" w14:textId="5F47CEC3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0F37FA" w:rsidRPr="000F37FA">
        <w:rPr>
          <w:rFonts w:ascii="Calibri" w:hAnsi="Calibri"/>
          <w:sz w:val="22"/>
          <w:szCs w:val="22"/>
        </w:rPr>
        <w:t>60337346</w:t>
      </w:r>
    </w:p>
    <w:p w14:paraId="6D61CFC3" w14:textId="2D665EAB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0F37FA" w:rsidRPr="000F37FA">
        <w:rPr>
          <w:rFonts w:ascii="Calibri" w:hAnsi="Calibri"/>
          <w:sz w:val="22"/>
          <w:szCs w:val="22"/>
        </w:rPr>
        <w:t>---</w:t>
      </w:r>
    </w:p>
    <w:p w14:paraId="5C6C6D2A" w14:textId="247C33A5" w:rsidR="00CD22B3" w:rsidRPr="0000727D" w:rsidRDefault="00785C00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6221E" wp14:editId="4198F859">
                <wp:simplePos x="0" y="0"/>
                <wp:positionH relativeFrom="column">
                  <wp:posOffset>1413510</wp:posOffset>
                </wp:positionH>
                <wp:positionV relativeFrom="paragraph">
                  <wp:posOffset>6985</wp:posOffset>
                </wp:positionV>
                <wp:extent cx="2705100" cy="182880"/>
                <wp:effectExtent l="952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82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138A" id="Rectangle 2" o:spid="_x0000_s1026" style="position:absolute;margin-left:111.3pt;margin-top:.55pt;width:213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" fillcolor="black [3213]"/>
            </w:pict>
          </mc:Fallback>
        </mc:AlternateContent>
      </w:r>
      <w:r w:rsidR="00CD22B3" w:rsidRPr="0000727D">
        <w:rPr>
          <w:rFonts w:ascii="Calibri" w:hAnsi="Calibri"/>
          <w:b/>
          <w:sz w:val="22"/>
          <w:szCs w:val="22"/>
        </w:rPr>
        <w:t>bankovní spojení:</w:t>
      </w:r>
      <w:r w:rsidR="00CD22B3" w:rsidRPr="0000727D">
        <w:rPr>
          <w:rFonts w:ascii="Calibri" w:hAnsi="Calibri"/>
          <w:sz w:val="22"/>
          <w:szCs w:val="22"/>
        </w:rPr>
        <w:tab/>
      </w:r>
      <w:r w:rsidR="000F37FA" w:rsidRPr="000F37FA">
        <w:rPr>
          <w:rFonts w:ascii="Calibri" w:hAnsi="Calibri"/>
          <w:sz w:val="22"/>
          <w:szCs w:val="22"/>
        </w:rPr>
        <w:t>27-0193320237/0100</w:t>
      </w:r>
      <w:r w:rsidR="000F37FA">
        <w:rPr>
          <w:rFonts w:ascii="Calibri" w:hAnsi="Calibri"/>
          <w:sz w:val="22"/>
          <w:szCs w:val="22"/>
        </w:rPr>
        <w:t xml:space="preserve"> – </w:t>
      </w:r>
      <w:r w:rsidR="000F37FA" w:rsidRPr="000F37FA">
        <w:rPr>
          <w:rFonts w:ascii="Calibri" w:hAnsi="Calibri"/>
          <w:sz w:val="22"/>
          <w:szCs w:val="22"/>
        </w:rPr>
        <w:t>Komerční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11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12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4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77777777" w:rsidR="00CD22B3" w:rsidRPr="00C3386C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Pr="00C3386C">
        <w:rPr>
          <w:rFonts w:ascii="Calibri" w:hAnsi="Calibri"/>
          <w:sz w:val="22"/>
          <w:szCs w:val="22"/>
        </w:rPr>
        <w:t>první fakturace dle</w:t>
      </w:r>
      <w:r w:rsidR="00681167" w:rsidRPr="00C3386C">
        <w:rPr>
          <w:rFonts w:ascii="Calibri" w:hAnsi="Calibri"/>
          <w:sz w:val="22"/>
          <w:szCs w:val="22"/>
        </w:rPr>
        <w:t> </w:t>
      </w:r>
      <w:r w:rsidRPr="00C3386C">
        <w:rPr>
          <w:rFonts w:ascii="Calibri" w:hAnsi="Calibri"/>
          <w:sz w:val="22"/>
          <w:szCs w:val="22"/>
        </w:rPr>
        <w:t xml:space="preserve">následujícího bodu b) a </w:t>
      </w:r>
      <w:r w:rsidR="00D601A5" w:rsidRPr="00C3386C">
        <w:rPr>
          <w:rFonts w:ascii="Calibri" w:hAnsi="Calibri"/>
          <w:sz w:val="22"/>
          <w:szCs w:val="22"/>
        </w:rPr>
        <w:t xml:space="preserve">u případných </w:t>
      </w:r>
      <w:r w:rsidRPr="00C3386C">
        <w:rPr>
          <w:rFonts w:ascii="Calibri" w:hAnsi="Calibri"/>
          <w:sz w:val="22"/>
          <w:szCs w:val="22"/>
        </w:rPr>
        <w:t>dokupů dle následujícího bodu c)</w:t>
      </w:r>
    </w:p>
    <w:p w14:paraId="0C824819" w14:textId="421E7BA3" w:rsidR="00CD22B3" w:rsidRPr="00C3386C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C3386C">
        <w:rPr>
          <w:rFonts w:ascii="Calibri" w:hAnsi="Calibri"/>
          <w:sz w:val="22"/>
          <w:szCs w:val="22"/>
        </w:rPr>
        <w:t>V roce 20</w:t>
      </w:r>
      <w:r w:rsidR="00CC4785" w:rsidRPr="00C3386C">
        <w:rPr>
          <w:rFonts w:ascii="Calibri" w:hAnsi="Calibri"/>
          <w:sz w:val="22"/>
          <w:szCs w:val="22"/>
        </w:rPr>
        <w:t>2</w:t>
      </w:r>
      <w:r w:rsidR="00A3191F" w:rsidRPr="00C3386C">
        <w:rPr>
          <w:rFonts w:ascii="Calibri" w:hAnsi="Calibri"/>
          <w:sz w:val="22"/>
          <w:szCs w:val="22"/>
        </w:rPr>
        <w:t>2</w:t>
      </w:r>
      <w:r w:rsidRPr="00C3386C">
        <w:rPr>
          <w:rFonts w:ascii="Calibri" w:hAnsi="Calibri"/>
          <w:sz w:val="22"/>
          <w:szCs w:val="22"/>
        </w:rPr>
        <w:t xml:space="preserve"> proběhne fakturace po podpisu smlouvy oběma stranami.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4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4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5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5" w:name="OLE_LINK5"/>
      <w:bookmarkStart w:id="6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5"/>
      <w:bookmarkEnd w:id="6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7" w:name="_Hlk22052791"/>
      <w:bookmarkStart w:id="8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7"/>
      <w:r w:rsidR="00652D1B" w:rsidRPr="00DD59E6">
        <w:rPr>
          <w:rFonts w:ascii="Calibri" w:hAnsi="Calibri"/>
          <w:sz w:val="22"/>
          <w:szCs w:val="22"/>
        </w:rPr>
        <w:t>.</w:t>
      </w:r>
      <w:bookmarkEnd w:id="8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9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0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C3386C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C3386C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C3386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C3386C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C3386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C3386C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C3386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C3386C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C3386C">
        <w:rPr>
          <w:rFonts w:ascii="Calibri" w:hAnsi="Calibri" w:cs="Calibri"/>
          <w:i/>
          <w:szCs w:val="22"/>
        </w:rPr>
        <w:t xml:space="preserve">Subdodavatelé – </w:t>
      </w:r>
      <w:r w:rsidRPr="00C3386C">
        <w:rPr>
          <w:rFonts w:ascii="Calibri" w:hAnsi="Calibri" w:cs="Calibri"/>
          <w:i/>
          <w:szCs w:val="22"/>
        </w:rPr>
        <w:t>Dílčí</w:t>
      </w:r>
      <w:r w:rsidR="001B348D" w:rsidRPr="00C3386C">
        <w:rPr>
          <w:rFonts w:ascii="Calibri" w:hAnsi="Calibri" w:cs="Calibri"/>
          <w:i/>
          <w:szCs w:val="22"/>
        </w:rPr>
        <w:t xml:space="preserve"> </w:t>
      </w:r>
      <w:r w:rsidRPr="00C3386C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1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1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9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0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5AEF29BB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2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2"/>
    <w:p w14:paraId="5F064BCC" w14:textId="77DBF5D1" w:rsidR="00642D02" w:rsidRPr="00C3386C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C3386C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18EC1ABF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</w:t>
      </w:r>
      <w:r w:rsidRPr="00C3386C">
        <w:rPr>
          <w:rFonts w:ascii="Calibri" w:hAnsi="Calibri" w:cs="Calibri"/>
          <w:sz w:val="22"/>
          <w:szCs w:val="22"/>
        </w:rPr>
        <w:t xml:space="preserve">systému Fenix č.: </w:t>
      </w:r>
      <w:r w:rsidR="00C3386C" w:rsidRPr="00C3386C">
        <w:rPr>
          <w:rFonts w:ascii="Calibri" w:hAnsi="Calibri" w:cs="Calibri"/>
          <w:sz w:val="22"/>
          <w:szCs w:val="22"/>
        </w:rPr>
        <w:t xml:space="preserve">F-10-00256 </w:t>
      </w:r>
      <w:r w:rsidR="00D05217" w:rsidRPr="00C3386C">
        <w:rPr>
          <w:rFonts w:ascii="Calibri" w:hAnsi="Calibri" w:cs="Calibri"/>
          <w:sz w:val="22"/>
          <w:szCs w:val="22"/>
        </w:rPr>
        <w:t xml:space="preserve">ze dne </w:t>
      </w:r>
      <w:r w:rsidR="00C3386C" w:rsidRPr="00C3386C">
        <w:rPr>
          <w:rFonts w:ascii="Calibri" w:hAnsi="Calibri" w:cs="Calibri"/>
          <w:sz w:val="22"/>
          <w:szCs w:val="22"/>
        </w:rPr>
        <w:t xml:space="preserve">27.12.2010 </w:t>
      </w:r>
      <w:r w:rsidRPr="00C3386C">
        <w:rPr>
          <w:rFonts w:ascii="Calibri" w:hAnsi="Calibri" w:cs="Calibri"/>
          <w:sz w:val="22"/>
          <w:szCs w:val="22"/>
        </w:rPr>
        <w:t>včetně její</w:t>
      </w:r>
      <w:r w:rsidR="00C3386C" w:rsidRPr="00C3386C">
        <w:rPr>
          <w:rFonts w:ascii="Calibri" w:hAnsi="Calibri" w:cs="Calibri"/>
          <w:sz w:val="22"/>
          <w:szCs w:val="22"/>
        </w:rPr>
        <w:t>ho</w:t>
      </w:r>
      <w:r w:rsidRPr="00C3386C">
        <w:rPr>
          <w:rFonts w:ascii="Calibri" w:hAnsi="Calibri" w:cs="Calibri"/>
          <w:sz w:val="22"/>
          <w:szCs w:val="22"/>
        </w:rPr>
        <w:t xml:space="preserve"> dodatk</w:t>
      </w:r>
      <w:r w:rsidR="00C3386C" w:rsidRPr="00C3386C">
        <w:rPr>
          <w:rFonts w:ascii="Calibri" w:hAnsi="Calibri" w:cs="Calibri"/>
          <w:sz w:val="22"/>
          <w:szCs w:val="22"/>
        </w:rPr>
        <w:t>u</w:t>
      </w:r>
      <w:r w:rsidRPr="00C3386C">
        <w:rPr>
          <w:rFonts w:ascii="Calibri" w:hAnsi="Calibri" w:cs="Calibri"/>
          <w:sz w:val="22"/>
          <w:szCs w:val="22"/>
        </w:rPr>
        <w:t xml:space="preserve"> č.: </w:t>
      </w:r>
      <w:r w:rsidR="00C3386C" w:rsidRPr="00C3386C">
        <w:rPr>
          <w:rFonts w:ascii="Calibri" w:hAnsi="Calibri" w:cs="Calibri"/>
          <w:sz w:val="22"/>
          <w:szCs w:val="22"/>
        </w:rPr>
        <w:t xml:space="preserve">F-10-00256-01 </w:t>
      </w:r>
      <w:r w:rsidRPr="00C3386C">
        <w:rPr>
          <w:rFonts w:ascii="Calibri" w:hAnsi="Calibri" w:cs="Calibri"/>
          <w:sz w:val="22"/>
          <w:szCs w:val="22"/>
        </w:rPr>
        <w:t xml:space="preserve">ze dne </w:t>
      </w:r>
      <w:r w:rsidR="00C3386C" w:rsidRPr="00C3386C">
        <w:rPr>
          <w:rFonts w:ascii="Calibri" w:hAnsi="Calibri" w:cs="Calibri"/>
          <w:sz w:val="22"/>
          <w:szCs w:val="22"/>
        </w:rPr>
        <w:t xml:space="preserve">1.9.2011 </w:t>
      </w:r>
      <w:r w:rsidRPr="00C3386C">
        <w:rPr>
          <w:rFonts w:ascii="Calibri" w:hAnsi="Calibri" w:cs="Calibri"/>
          <w:sz w:val="22"/>
          <w:szCs w:val="22"/>
        </w:rPr>
        <w:t>(dál</w:t>
      </w:r>
      <w:r w:rsidRPr="005F0560">
        <w:rPr>
          <w:rFonts w:ascii="Calibri" w:hAnsi="Calibri" w:cs="Calibri"/>
          <w:sz w:val="22"/>
          <w:szCs w:val="22"/>
        </w:rPr>
        <w:t xml:space="preserve">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účinnosti této smlouvy. Případné závazky </w:t>
      </w:r>
      <w:r w:rsidRPr="005F0560">
        <w:rPr>
          <w:rFonts w:ascii="Calibri" w:hAnsi="Calibri" w:cs="Calibri"/>
          <w:sz w:val="22"/>
          <w:szCs w:val="22"/>
        </w:rPr>
        <w:lastRenderedPageBreak/>
        <w:t>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3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3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4F448040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="00785C00">
              <w:rPr>
                <w:rFonts w:ascii="Calibri" w:hAnsi="Calibri" w:cs="Arial"/>
                <w:sz w:val="22"/>
                <w:szCs w:val="22"/>
              </w:rPr>
              <w:t>17. 10. 2022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2380325F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81924B5" w14:textId="77777777" w:rsidR="000F37FA" w:rsidRPr="00FA4861" w:rsidRDefault="000F37F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514FD03C" w:rsidR="007B02A8" w:rsidRDefault="00785C00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4F54B" wp14:editId="6452A34E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163195</wp:posOffset>
                      </wp:positionV>
                      <wp:extent cx="1104900" cy="182880"/>
                      <wp:effectExtent l="11430" t="6350" r="7620" b="107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1C5AC" id="Rectangle 4" o:spid="_x0000_s1026" style="position:absolute;margin-left:98.7pt;margin-top:12.85pt;width:87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" fillcolor="black [3213]"/>
                  </w:pict>
                </mc:Fallback>
              </mc:AlternateContent>
            </w: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6EA2A17E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C3386C">
              <w:rPr>
                <w:rFonts w:ascii="Calibri" w:hAnsi="Calibri" w:cs="Arial"/>
                <w:sz w:val="22"/>
                <w:szCs w:val="22"/>
              </w:rPr>
              <w:t>Karviné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="00785C00">
              <w:rPr>
                <w:rFonts w:ascii="Calibri" w:hAnsi="Calibri" w:cs="Arial"/>
                <w:sz w:val="22"/>
                <w:szCs w:val="22"/>
              </w:rPr>
              <w:t>11. 10. 2022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5AC06F71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0F37FA" w:rsidRPr="000F37FA">
              <w:rPr>
                <w:rFonts w:ascii="Calibri" w:hAnsi="Calibri"/>
                <w:sz w:val="22"/>
                <w:szCs w:val="22"/>
              </w:rPr>
              <w:t>Mateřsk</w:t>
            </w:r>
            <w:r w:rsidR="000F37FA">
              <w:rPr>
                <w:rFonts w:ascii="Calibri" w:hAnsi="Calibri"/>
                <w:sz w:val="22"/>
                <w:szCs w:val="22"/>
              </w:rPr>
              <w:t>ou</w:t>
            </w:r>
            <w:r w:rsidR="000F37FA" w:rsidRPr="000F37FA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0F37FA">
              <w:rPr>
                <w:rFonts w:ascii="Calibri" w:hAnsi="Calibri"/>
                <w:sz w:val="22"/>
                <w:szCs w:val="22"/>
              </w:rPr>
              <w:t>u</w:t>
            </w:r>
            <w:r w:rsidR="000F37FA" w:rsidRPr="000F37FA">
              <w:rPr>
                <w:rFonts w:ascii="Calibri" w:hAnsi="Calibri"/>
                <w:sz w:val="22"/>
                <w:szCs w:val="22"/>
              </w:rPr>
              <w:t xml:space="preserve"> Klíček, Karviná-Hranice, Einsteinova 2849, příspěvkov</w:t>
            </w:r>
            <w:r w:rsidR="000F37FA">
              <w:rPr>
                <w:rFonts w:ascii="Calibri" w:hAnsi="Calibri"/>
                <w:sz w:val="22"/>
                <w:szCs w:val="22"/>
              </w:rPr>
              <w:t>ou</w:t>
            </w:r>
            <w:r w:rsidR="000F37FA" w:rsidRPr="000F37FA">
              <w:rPr>
                <w:rFonts w:ascii="Calibri" w:hAnsi="Calibri"/>
                <w:sz w:val="22"/>
                <w:szCs w:val="22"/>
              </w:rPr>
              <w:t xml:space="preserve"> organizac</w:t>
            </w:r>
            <w:r w:rsidR="000F37FA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12EE66BC" w14:textId="77777777" w:rsidR="000F37FA" w:rsidRDefault="000F37F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0F37FA">
              <w:rPr>
                <w:rFonts w:ascii="Calibri" w:hAnsi="Calibri"/>
                <w:sz w:val="22"/>
                <w:szCs w:val="22"/>
              </w:rPr>
              <w:t>Mgr. Eva Janáková</w:t>
            </w:r>
          </w:p>
          <w:p w14:paraId="13B68A85" w14:textId="68795CEA" w:rsidR="007B02A8" w:rsidRPr="00FA4861" w:rsidRDefault="000F37F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</w:t>
            </w:r>
            <w:bookmarkStart w:id="14" w:name="_GoBack"/>
            <w:bookmarkEnd w:id="14"/>
            <w:r>
              <w:rPr>
                <w:rFonts w:ascii="Calibri" w:hAnsi="Calibri"/>
                <w:sz w:val="22"/>
                <w:szCs w:val="22"/>
              </w:rPr>
              <w:t>ditelka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02DA0B5C" w:rsidR="00EA02FF" w:rsidRPr="001615FC" w:rsidRDefault="00C3386C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3386C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7B2D944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CBD" w14:textId="3BBAAF26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0140A" w14:textId="03DE2517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Zdarma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6CE41B34" w:rsidR="00EA02FF" w:rsidRPr="0000727D" w:rsidRDefault="00C3386C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4B6A77AF" w:rsidR="00EA02FF" w:rsidRPr="0000727D" w:rsidRDefault="00C3386C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5F3F826B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*) Cena za poskytnutí modulů byla uhrazena na základě dříve uzavřené smlouvy uvedené v čl. 15 od</w:t>
      </w:r>
      <w:r w:rsidRPr="00C3386C">
        <w:rPr>
          <w:rFonts w:ascii="Calibri" w:hAnsi="Calibri"/>
          <w:sz w:val="22"/>
          <w:szCs w:val="22"/>
        </w:rPr>
        <w:t>st</w:t>
      </w:r>
      <w:r w:rsidRPr="00C3386C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6B285FD6" w14:textId="77777777" w:rsidR="00C3386C" w:rsidRDefault="00C3386C" w:rsidP="00CD22B3">
      <w:pPr>
        <w:rPr>
          <w:rFonts w:ascii="Calibri" w:hAnsi="Calibri"/>
          <w:sz w:val="22"/>
          <w:szCs w:val="22"/>
        </w:rPr>
      </w:pPr>
      <w:bookmarkStart w:id="15" w:name="_Hlk91791438"/>
      <w:bookmarkStart w:id="16" w:name="_Hlk501466096"/>
    </w:p>
    <w:p w14:paraId="02EFB50D" w14:textId="0081784A" w:rsidR="00592E50" w:rsidRDefault="00592E50" w:rsidP="00CD22B3">
      <w:pPr>
        <w:rPr>
          <w:rFonts w:ascii="Calibri" w:hAnsi="Calibri"/>
          <w:sz w:val="22"/>
          <w:szCs w:val="22"/>
        </w:rPr>
      </w:pPr>
    </w:p>
    <w:p w14:paraId="01F05CF8" w14:textId="77777777" w:rsidR="00592E50" w:rsidRPr="0000727D" w:rsidRDefault="00592E50" w:rsidP="00CD22B3">
      <w:pPr>
        <w:rPr>
          <w:rFonts w:ascii="Calibri" w:hAnsi="Calibri"/>
          <w:sz w:val="22"/>
          <w:szCs w:val="22"/>
        </w:rPr>
      </w:pPr>
    </w:p>
    <w:bookmarkEnd w:id="15"/>
    <w:p w14:paraId="494EB2A1" w14:textId="77777777" w:rsidR="00ED7FA5" w:rsidRPr="0000727D" w:rsidRDefault="00ED7FA5" w:rsidP="00CD22B3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50023B" w:rsidRPr="0000727D" w14:paraId="2ADF9473" w14:textId="77777777" w:rsidTr="00C6169E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27993C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7" w:name="_Hlk532819565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692E8F53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A3D5F29" w14:textId="77777777" w:rsidR="004A3568" w:rsidRPr="00460C55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5F7872F9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50023B" w:rsidRPr="0000727D" w14:paraId="29A3217E" w14:textId="77777777" w:rsidTr="00C6169E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B905" w14:textId="77777777" w:rsidR="0050023B" w:rsidRPr="001615FC" w:rsidRDefault="0050023B" w:rsidP="0050023B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C55" w14:textId="5A52C26A" w:rsidR="0050023B" w:rsidRPr="001615FC" w:rsidRDefault="00951319" w:rsidP="00196A94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14.6.2022</w:t>
            </w:r>
          </w:p>
        </w:tc>
      </w:tr>
      <w:tr w:rsidR="00CD22B3" w:rsidRPr="0000727D" w14:paraId="15CBC3FB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248A37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4952D" w14:textId="6AD99BC1" w:rsidR="00CD22B3" w:rsidRPr="006E57CE" w:rsidRDefault="00951319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1 050,00</w:t>
            </w:r>
          </w:p>
        </w:tc>
      </w:tr>
      <w:tr w:rsidR="00CD22B3" w:rsidRPr="0000727D" w14:paraId="295276BD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52A257D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F3D0" w14:textId="5BD75CC8" w:rsidR="00CD22B3" w:rsidRPr="006E57CE" w:rsidRDefault="00951319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1 270,50</w:t>
            </w:r>
          </w:p>
        </w:tc>
      </w:tr>
    </w:tbl>
    <w:p w14:paraId="5BA1F405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bookmarkEnd w:id="16"/>
    <w:bookmarkEnd w:id="17"/>
    <w:p w14:paraId="02A9479E" w14:textId="44900D07" w:rsidR="00CD22B3" w:rsidRPr="00951319" w:rsidRDefault="00CD22B3" w:rsidP="00CD22B3">
      <w:pPr>
        <w:rPr>
          <w:rFonts w:ascii="Calibri" w:hAnsi="Calibri"/>
          <w:sz w:val="22"/>
          <w:szCs w:val="22"/>
        </w:rPr>
      </w:pPr>
      <w:r w:rsidRPr="00951319">
        <w:rPr>
          <w:rFonts w:ascii="Calibri" w:hAnsi="Calibri"/>
          <w:sz w:val="22"/>
          <w:szCs w:val="22"/>
        </w:rPr>
        <w:t>Implementace byla zhotovitelem provedena na základě Pracovního listu potvrzené</w:t>
      </w:r>
      <w:r w:rsidR="00DB251A" w:rsidRPr="00951319">
        <w:rPr>
          <w:rFonts w:ascii="Calibri" w:hAnsi="Calibri"/>
          <w:sz w:val="22"/>
          <w:szCs w:val="22"/>
        </w:rPr>
        <w:t>ho</w:t>
      </w:r>
      <w:r w:rsidRPr="00951319">
        <w:rPr>
          <w:rFonts w:ascii="Calibri" w:hAnsi="Calibri"/>
          <w:sz w:val="22"/>
          <w:szCs w:val="22"/>
        </w:rPr>
        <w:t xml:space="preserve"> objednatelem.</w:t>
      </w:r>
    </w:p>
    <w:p w14:paraId="4E4545D9" w14:textId="77777777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  <w:highlight w:val="cyan"/>
        </w:rPr>
      </w:pPr>
    </w:p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951319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5A2B151A" w:rsidR="00951319" w:rsidRPr="00B66945" w:rsidRDefault="00951319" w:rsidP="0095131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951319" w:rsidRPr="004B6634" w:rsidRDefault="00951319" w:rsidP="00951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2E20F5C7" w:rsidR="00951319" w:rsidRPr="004B6634" w:rsidRDefault="00951319" w:rsidP="0095131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3 036</w:t>
            </w:r>
          </w:p>
        </w:tc>
      </w:tr>
      <w:tr w:rsidR="00951319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41D57FAE" w:rsidR="00951319" w:rsidRPr="00B66945" w:rsidRDefault="00951319" w:rsidP="0095131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951319" w:rsidRPr="004B6634" w:rsidRDefault="00951319" w:rsidP="00951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777AFAA8" w:rsidR="00951319" w:rsidRPr="004B6634" w:rsidRDefault="00951319" w:rsidP="0095131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951319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36900C01" w:rsidR="00951319" w:rsidRPr="0000727D" w:rsidRDefault="00951319" w:rsidP="0095131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3386C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951319" w:rsidRPr="004B6634" w:rsidRDefault="00951319" w:rsidP="00951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1511834B" w:rsidR="00951319" w:rsidRPr="004B6634" w:rsidRDefault="00951319" w:rsidP="0095131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951319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4F295B61" w:rsidR="00951319" w:rsidRPr="00B66945" w:rsidRDefault="00951319" w:rsidP="00951319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00A369FD" w:rsidR="00951319" w:rsidRPr="004B6634" w:rsidRDefault="00951319" w:rsidP="00951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6080FE63" w:rsidR="00951319" w:rsidRPr="004B6634" w:rsidRDefault="00951319" w:rsidP="00951319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2D2E3557" w:rsidR="00CD22B3" w:rsidRPr="0000727D" w:rsidRDefault="00951319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8" w:name="_Hlk91793992"/>
      <w:bookmarkStart w:id="19" w:name="_Hlk77951251"/>
      <w:bookmarkStart w:id="20" w:name="_Hlk78215522"/>
      <w:bookmarkStart w:id="21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1C064F4C" w14:textId="2A3F4411" w:rsidR="00905F48" w:rsidRPr="0000727D" w:rsidRDefault="00DB251A" w:rsidP="00905F4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End w:id="18"/>
      <w:r w:rsidR="00905F48" w:rsidRPr="00460C55">
        <w:rPr>
          <w:rFonts w:ascii="Calibri" w:hAnsi="Calibri"/>
          <w:b/>
          <w:sz w:val="22"/>
          <w:szCs w:val="22"/>
        </w:rPr>
        <w:lastRenderedPageBreak/>
        <w:t>Stanovení ceny za dodávku provozní podpory</w:t>
      </w:r>
    </w:p>
    <w:p w14:paraId="391CE8CE" w14:textId="23184FD5" w:rsidR="00905F48" w:rsidRPr="0000727D" w:rsidRDefault="00905F48" w:rsidP="00905F48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951319">
        <w:rPr>
          <w:rFonts w:ascii="Calibri" w:hAnsi="Calibri"/>
          <w:b/>
          <w:sz w:val="22"/>
          <w:szCs w:val="22"/>
        </w:rPr>
        <w:t>14.6.</w:t>
      </w:r>
      <w:r w:rsidRPr="0000727D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22</w:t>
      </w:r>
      <w:r w:rsidRPr="0000727D">
        <w:rPr>
          <w:rFonts w:ascii="Calibri" w:hAnsi="Calibri"/>
          <w:b/>
          <w:sz w:val="22"/>
          <w:szCs w:val="22"/>
        </w:rPr>
        <w:t>* do 31.12.20</w:t>
      </w:r>
      <w:r>
        <w:rPr>
          <w:rFonts w:ascii="Calibri" w:hAnsi="Calibri"/>
          <w:b/>
          <w:sz w:val="22"/>
          <w:szCs w:val="22"/>
        </w:rPr>
        <w:t>22</w:t>
      </w:r>
    </w:p>
    <w:p w14:paraId="251C0AA4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905F48" w:rsidRPr="0000727D" w14:paraId="517D11F2" w14:textId="77777777" w:rsidTr="00493FBF">
        <w:trPr>
          <w:cantSplit/>
          <w:trHeight w:val="600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D10D52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1F8D12A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905F48" w:rsidRPr="0000727D" w14:paraId="33C47DAF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5B03" w14:textId="1BD206E3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E63B9" w14:textId="0FC95BFC" w:rsidR="00905F48" w:rsidRPr="0000727D" w:rsidRDefault="00951319" w:rsidP="00493FBF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951319">
              <w:rPr>
                <w:rFonts w:ascii="Calibri" w:hAnsi="Calibri"/>
                <w:sz w:val="22"/>
                <w:szCs w:val="22"/>
              </w:rPr>
              <w:t>820,83</w:t>
            </w:r>
          </w:p>
        </w:tc>
      </w:tr>
      <w:tr w:rsidR="00905F48" w:rsidRPr="0000727D" w14:paraId="5E0A69EE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29069D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F728D" w14:textId="7071F458" w:rsidR="00905F48" w:rsidRPr="0000727D" w:rsidRDefault="00951319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51319">
              <w:rPr>
                <w:rFonts w:ascii="Calibri" w:hAnsi="Calibri"/>
                <w:b/>
                <w:sz w:val="22"/>
                <w:szCs w:val="22"/>
              </w:rPr>
              <w:t>820,83</w:t>
            </w:r>
          </w:p>
        </w:tc>
      </w:tr>
      <w:tr w:rsidR="00905F48" w:rsidRPr="0000727D" w14:paraId="2DE61218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8EC014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B9955" w14:textId="61FC1B29" w:rsidR="00905F48" w:rsidRPr="0000727D" w:rsidRDefault="00951319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993,20</w:t>
            </w:r>
          </w:p>
        </w:tc>
      </w:tr>
    </w:tbl>
    <w:p w14:paraId="6CF82F97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p w14:paraId="0846963D" w14:textId="77777777" w:rsidR="00905F48" w:rsidRPr="0000727D" w:rsidRDefault="00905F48" w:rsidP="00905F48">
      <w:p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*Datum od je datum ukončení implementace uvedené na Pracovním listu potvrzeném objednatelem.</w:t>
      </w:r>
    </w:p>
    <w:p w14:paraId="4D750B81" w14:textId="39023F0A" w:rsidR="0033736E" w:rsidRDefault="00905F48" w:rsidP="00905F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Bude fakturováno po uzavření této smlouvy</w:t>
      </w:r>
    </w:p>
    <w:p w14:paraId="26393116" w14:textId="0019CCE9" w:rsidR="00905F48" w:rsidRDefault="00905F48" w:rsidP="00905F48">
      <w:pPr>
        <w:rPr>
          <w:rFonts w:ascii="Calibri" w:hAnsi="Calibri"/>
          <w:sz w:val="22"/>
          <w:szCs w:val="22"/>
        </w:rPr>
      </w:pPr>
    </w:p>
    <w:p w14:paraId="78D6A536" w14:textId="5D8D0D04" w:rsidR="00592E50" w:rsidRDefault="00592E50" w:rsidP="00905F48">
      <w:pPr>
        <w:rPr>
          <w:rFonts w:ascii="Calibri" w:hAnsi="Calibri"/>
          <w:sz w:val="22"/>
          <w:szCs w:val="22"/>
        </w:rPr>
      </w:pPr>
    </w:p>
    <w:p w14:paraId="0739386F" w14:textId="77777777" w:rsidR="00592E50" w:rsidRDefault="00592E50" w:rsidP="00905F48">
      <w:pPr>
        <w:rPr>
          <w:rFonts w:ascii="Calibri" w:hAnsi="Calibri"/>
          <w:sz w:val="22"/>
          <w:szCs w:val="22"/>
        </w:rPr>
      </w:pPr>
    </w:p>
    <w:p w14:paraId="1E4727DC" w14:textId="77777777" w:rsidR="00E21847" w:rsidRPr="0000727D" w:rsidRDefault="00E21847" w:rsidP="0033736E">
      <w:pPr>
        <w:rPr>
          <w:rFonts w:ascii="Calibri" w:hAnsi="Calibri"/>
          <w:sz w:val="22"/>
          <w:szCs w:val="22"/>
        </w:rPr>
      </w:pPr>
    </w:p>
    <w:p w14:paraId="2AD0EE27" w14:textId="77777777" w:rsidR="00B6646E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bookmarkStart w:id="22" w:name="_Hlk91794191"/>
      <w:bookmarkStart w:id="23" w:name="_Hlk91791593"/>
      <w:bookmarkEnd w:id="19"/>
      <w:r w:rsidRPr="00460C55">
        <w:rPr>
          <w:rFonts w:ascii="Calibri" w:hAnsi="Calibri"/>
          <w:b/>
          <w:sz w:val="22"/>
          <w:szCs w:val="22"/>
        </w:rPr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22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4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7C7C7E8F" w:rsidR="00CD22B3" w:rsidRPr="0000727D" w:rsidRDefault="00951319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4 661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0FBA4138" w:rsidR="00CD22B3" w:rsidRPr="0000727D" w:rsidRDefault="00951319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1 500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7647BF11" w:rsidR="00CD22B3" w:rsidRPr="0000727D" w:rsidRDefault="00951319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3979EEA1" w:rsidR="00E21847" w:rsidRPr="0000727D" w:rsidRDefault="00951319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4B78F54C" w:rsidR="00CD22B3" w:rsidRPr="0000727D" w:rsidRDefault="00951319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10 511,00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59E28C70" w:rsidR="00CD22B3" w:rsidRPr="0000727D" w:rsidRDefault="00951319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12 718,31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5" w:name="_Hlk104103024"/>
      <w:bookmarkStart w:id="26" w:name="_Hlk33305635"/>
      <w:bookmarkEnd w:id="20"/>
      <w:bookmarkEnd w:id="23"/>
      <w:bookmarkEnd w:id="24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7AB6E805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odst.</w:t>
      </w:r>
      <w:r w:rsidRPr="00891CEA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951319">
        <w:rPr>
          <w:rFonts w:ascii="Calibri" w:hAnsi="Calibri"/>
          <w:color w:val="000000"/>
          <w:sz w:val="22"/>
          <w:szCs w:val="22"/>
        </w:rPr>
        <w:t>9</w:t>
      </w:r>
    </w:p>
    <w:bookmarkEnd w:id="21"/>
    <w:bookmarkEnd w:id="25"/>
    <w:p w14:paraId="7467D9E0" w14:textId="77777777" w:rsidR="00951319" w:rsidRDefault="00951319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7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951319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51319">
              <w:rPr>
                <w:rFonts w:ascii="Calibri" w:hAnsi="Calibri"/>
                <w:sz w:val="22"/>
                <w:szCs w:val="22"/>
              </w:rPr>
              <w:t>Inflační doložka – rok 20</w:t>
            </w:r>
            <w:r w:rsidR="00FB64C3" w:rsidRPr="00951319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06F19549" w:rsidR="008B2B13" w:rsidRPr="000B3F81" w:rsidRDefault="006C7B05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6C7B05">
              <w:rPr>
                <w:rFonts w:ascii="Calibri" w:hAnsi="Calibri"/>
                <w:sz w:val="22"/>
                <w:szCs w:val="22"/>
              </w:rPr>
              <w:t>196,66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951319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51319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951319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3F63ACFE" w:rsidR="008B2B13" w:rsidRPr="00236B8E" w:rsidRDefault="006C7B05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6C7B05">
              <w:rPr>
                <w:rFonts w:ascii="Calibri" w:hAnsi="Calibri"/>
                <w:sz w:val="22"/>
                <w:szCs w:val="22"/>
              </w:rPr>
              <w:t>513,92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5E8F87B4" w:rsidR="008B2B13" w:rsidRPr="00236B8E" w:rsidRDefault="006C7B05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710,58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086DB38D" w:rsidR="008B2B13" w:rsidRPr="00236B8E" w:rsidRDefault="006C7B05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859,80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6E3718B1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951319">
        <w:rPr>
          <w:rFonts w:ascii="Calibri" w:hAnsi="Calibri"/>
          <w:color w:val="000000"/>
          <w:sz w:val="22"/>
          <w:szCs w:val="22"/>
        </w:rPr>
        <w:t>9</w:t>
      </w:r>
      <w:r w:rsidR="00271D2B" w:rsidRPr="00951319">
        <w:rPr>
          <w:rFonts w:ascii="Calibri" w:hAnsi="Calibri"/>
          <w:sz w:val="22"/>
          <w:szCs w:val="22"/>
        </w:rPr>
        <w:t xml:space="preserve">. </w:t>
      </w:r>
      <w:r w:rsidRPr="00951319">
        <w:rPr>
          <w:rFonts w:ascii="Calibri" w:hAnsi="Calibri"/>
          <w:sz w:val="22"/>
          <w:szCs w:val="22"/>
        </w:rPr>
        <w:t xml:space="preserve">Tabulka shrnuje stav </w:t>
      </w:r>
      <w:r w:rsidR="00501903" w:rsidRPr="00951319">
        <w:rPr>
          <w:rFonts w:ascii="Calibri" w:hAnsi="Calibri"/>
          <w:sz w:val="22"/>
          <w:szCs w:val="22"/>
        </w:rPr>
        <w:t xml:space="preserve">jednotlivých položek </w:t>
      </w:r>
      <w:r w:rsidR="00271D2B" w:rsidRPr="00951319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951319">
        <w:rPr>
          <w:rFonts w:ascii="Calibri" w:hAnsi="Calibri"/>
          <w:sz w:val="22"/>
          <w:szCs w:val="22"/>
        </w:rPr>
        <w:t> </w:t>
      </w:r>
      <w:r w:rsidR="00271D2B" w:rsidRPr="00951319">
        <w:rPr>
          <w:rFonts w:ascii="Calibri" w:hAnsi="Calibri"/>
          <w:sz w:val="22"/>
          <w:szCs w:val="22"/>
        </w:rPr>
        <w:t>lednu</w:t>
      </w:r>
      <w:r w:rsidR="009A34D5" w:rsidRPr="00951319">
        <w:rPr>
          <w:rFonts w:ascii="Calibri" w:hAnsi="Calibri"/>
          <w:sz w:val="22"/>
          <w:szCs w:val="22"/>
        </w:rPr>
        <w:t> </w:t>
      </w:r>
      <w:r w:rsidR="00271D2B" w:rsidRPr="00951319">
        <w:rPr>
          <w:rFonts w:ascii="Calibri" w:hAnsi="Calibri"/>
          <w:sz w:val="22"/>
          <w:szCs w:val="22"/>
        </w:rPr>
        <w:t>2022. A bude sloužit jako výchozí údaj pro další roky.</w:t>
      </w:r>
    </w:p>
    <w:bookmarkEnd w:id="26"/>
    <w:bookmarkEnd w:id="27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8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9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30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30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31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8"/>
      <w:bookmarkEnd w:id="29"/>
      <w:bookmarkEnd w:id="31"/>
    </w:p>
    <w:sectPr w:rsidR="00BF3A74" w:rsidSect="00FC471E">
      <w:headerReference w:type="default" r:id="rId16"/>
      <w:footerReference w:type="default" r:id="rId17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E7E3" w14:textId="77777777" w:rsidR="00DA56E5" w:rsidRDefault="00DA56E5" w:rsidP="00277F02">
      <w:r>
        <w:separator/>
      </w:r>
    </w:p>
  </w:endnote>
  <w:endnote w:type="continuationSeparator" w:id="0">
    <w:p w14:paraId="2CC0EF90" w14:textId="77777777" w:rsidR="00DA56E5" w:rsidRDefault="00DA56E5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90B0" w14:textId="6A4380E7" w:rsidR="00A67FA2" w:rsidRPr="00A67FA2" w:rsidRDefault="00785C00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60990AE3">
          <wp:extent cx="906780" cy="36576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EF1AD" w14:textId="77777777" w:rsidR="00DA56E5" w:rsidRDefault="00DA56E5" w:rsidP="00277F02">
      <w:r>
        <w:separator/>
      </w:r>
    </w:p>
  </w:footnote>
  <w:footnote w:type="continuationSeparator" w:id="0">
    <w:p w14:paraId="70B97DF7" w14:textId="77777777" w:rsidR="00DA56E5" w:rsidRDefault="00DA56E5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6DC49" w14:textId="2F07BCE1" w:rsidR="00BD5F26" w:rsidRPr="00B84D10" w:rsidRDefault="00785C00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5FFAAE90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0" t="3175" r="635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 Solutions, a.s.</w:t>
                          </w:r>
                        </w:p>
                        <w:p w14:paraId="05F3275F" w14:textId="1EB683E8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C3386C" w:rsidRPr="00C3386C">
                            <w:rPr>
                              <w:rFonts w:ascii="Calibri" w:hAnsi="Calibri"/>
                              <w:i/>
                              <w:sz w:val="20"/>
                            </w:rPr>
                            <w:t>F-22-00705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8BfA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 Solutions, a.s.</w:t>
                    </w:r>
                  </w:p>
                  <w:p w14:paraId="05F3275F" w14:textId="1EB683E8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C3386C" w:rsidRPr="00C3386C">
                      <w:rPr>
                        <w:rFonts w:ascii="Calibri" w:hAnsi="Calibri"/>
                        <w:i/>
                        <w:sz w:val="20"/>
                      </w:rPr>
                      <w:t>F-22-00705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3FD62B54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53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37FA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E7095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3473C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C7B05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5C00"/>
    <w:rsid w:val="0078624E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1319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386C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A56E5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51A9E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3">
      <o:colormenu v:ext="edit" fillcolor="none [3213]"/>
    </o:shapedefaults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.helios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.helio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.helio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.helios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.helios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51022D38B5C4C95340A2DCAABC1B0" ma:contentTypeVersion="9" ma:contentTypeDescription="Vytvoří nový dokument" ma:contentTypeScope="" ma:versionID="cd2fd688266ba5b5b87a356391d76ce3">
  <xsd:schema xmlns:xsd="http://www.w3.org/2001/XMLSchema" xmlns:xs="http://www.w3.org/2001/XMLSchema" xmlns:p="http://schemas.microsoft.com/office/2006/metadata/properties" xmlns:ns3="68a0b170-d168-4a83-a345-a05055aa599a" targetNamespace="http://schemas.microsoft.com/office/2006/metadata/properties" ma:root="true" ma:fieldsID="8ccd9d17de7eb63ca0653e533c8d03c8" ns3:_="">
    <xsd:import namespace="68a0b170-d168-4a83-a345-a05055aa5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b170-d168-4a83-a345-a05055aa5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92E0-B9F3-4C8B-92FD-FC322F5FD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0b170-d168-4a83-a345-a05055aa5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156C2-B14E-47C7-BA5D-B40D5C3A3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AA874-32E4-45F9-AA1B-C1BD402B42AB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68a0b170-d168-4a83-a345-a05055aa599a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C7D718-C7DF-4A8A-94F9-6F09A2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0</TotalTime>
  <Pages>14</Pages>
  <Words>4113</Words>
  <Characters>24268</Characters>
  <Application>Microsoft Office Word</Application>
  <DocSecurity>4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28325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Eva Janáková</cp:lastModifiedBy>
  <cp:revision>2</cp:revision>
  <cp:lastPrinted>2011-12-19T15:36:00Z</cp:lastPrinted>
  <dcterms:created xsi:type="dcterms:W3CDTF">2022-10-31T09:15:00Z</dcterms:created>
  <dcterms:modified xsi:type="dcterms:W3CDTF">2022-10-31T09:15:00Z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0x0101006FB51022D38B5C4C95340A2DCAABC1B0</vt:lpwstr>
  </property>
</Properties>
</file>