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7211200016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Greenbuddies</w:t>
      </w:r>
      <w:r>
        <w:rPr>
          <w:spacing w:val="-3"/>
        </w:rPr>
        <w:t> </w:t>
      </w:r>
      <w:r>
        <w:rPr/>
        <w:t>Project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s.r.o.</w:t>
      </w:r>
    </w:p>
    <w:p>
      <w:pPr>
        <w:pStyle w:val="BodyText"/>
        <w:ind w:left="102" w:right="115"/>
      </w:pPr>
      <w:r>
        <w:rPr/>
        <w:t>obchodní</w:t>
      </w:r>
      <w:r>
        <w:rPr>
          <w:spacing w:val="24"/>
        </w:rPr>
        <w:t> </w:t>
      </w:r>
      <w:r>
        <w:rPr/>
        <w:t>společnost</w:t>
      </w:r>
      <w:r>
        <w:rPr>
          <w:spacing w:val="24"/>
        </w:rPr>
        <w:t> </w:t>
      </w:r>
      <w:r>
        <w:rPr/>
        <w:t>zapsaná</w:t>
      </w:r>
      <w:r>
        <w:rPr>
          <w:spacing w:val="23"/>
        </w:rPr>
        <w:t> </w:t>
      </w:r>
      <w:r>
        <w:rPr/>
        <w:t>v</w:t>
      </w:r>
      <w:r>
        <w:rPr>
          <w:spacing w:val="24"/>
        </w:rPr>
        <w:t> </w:t>
      </w:r>
      <w:r>
        <w:rPr/>
        <w:t>obchodním</w:t>
      </w:r>
      <w:r>
        <w:rPr>
          <w:spacing w:val="23"/>
        </w:rPr>
        <w:t> </w:t>
      </w:r>
      <w:r>
        <w:rPr/>
        <w:t>rejstříku</w:t>
      </w:r>
      <w:r>
        <w:rPr>
          <w:spacing w:val="25"/>
        </w:rPr>
        <w:t> </w:t>
      </w:r>
      <w:r>
        <w:rPr/>
        <w:t>vedeném</w:t>
      </w:r>
      <w:r>
        <w:rPr>
          <w:spacing w:val="23"/>
        </w:rPr>
        <w:t> </w:t>
      </w:r>
      <w:r>
        <w:rPr/>
        <w:t>Krajským</w:t>
      </w:r>
      <w:r>
        <w:rPr>
          <w:spacing w:val="23"/>
        </w:rPr>
        <w:t> </w:t>
      </w:r>
      <w:r>
        <w:rPr/>
        <w:t>soudem</w:t>
      </w:r>
      <w:r>
        <w:rPr>
          <w:spacing w:val="23"/>
        </w:rPr>
        <w:t> </w:t>
      </w:r>
      <w:r>
        <w:rPr/>
        <w:t>v</w:t>
      </w:r>
      <w:r>
        <w:rPr>
          <w:spacing w:val="86"/>
        </w:rPr>
        <w:t> </w:t>
      </w:r>
      <w:r>
        <w:rPr/>
        <w:t>Brně,</w:t>
      </w:r>
      <w:r>
        <w:rPr>
          <w:spacing w:val="79"/>
        </w:rPr>
        <w:t> </w:t>
      </w:r>
      <w:r>
        <w:rPr/>
        <w:t>oddíl</w:t>
      </w:r>
      <w:r>
        <w:rPr>
          <w:spacing w:val="78"/>
        </w:rPr>
        <w:t> </w:t>
      </w:r>
      <w:r>
        <w:rPr/>
        <w:t>C,</w:t>
      </w:r>
      <w:r>
        <w:rPr>
          <w:spacing w:val="-52"/>
        </w:rPr>
        <w:t> </w:t>
      </w:r>
      <w:r>
        <w:rPr/>
        <w:t>vložka</w:t>
      </w:r>
      <w:r>
        <w:rPr>
          <w:spacing w:val="-1"/>
        </w:rPr>
        <w:t> </w:t>
      </w:r>
      <w:r>
        <w:rPr/>
        <w:t>126022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Mendíků</w:t>
      </w:r>
      <w:r>
        <w:rPr>
          <w:spacing w:val="-3"/>
        </w:rPr>
        <w:t> </w:t>
      </w:r>
      <w:r>
        <w:rPr/>
        <w:t>1396/9,</w:t>
      </w:r>
      <w:r>
        <w:rPr>
          <w:spacing w:val="-3"/>
        </w:rPr>
        <w:t> </w:t>
      </w:r>
      <w:r>
        <w:rPr/>
        <w:t>Michle,</w:t>
      </w:r>
      <w:r>
        <w:rPr>
          <w:spacing w:val="-3"/>
        </w:rPr>
        <w:t> </w:t>
      </w:r>
      <w:r>
        <w:rPr/>
        <w:t>14000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09291130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Vítězslavem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 a</w:t>
      </w:r>
      <w:r>
        <w:rPr>
          <w:spacing w:val="-3"/>
        </w:rPr>
        <w:t> </w:t>
      </w:r>
      <w:r>
        <w:rPr/>
        <w:t>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 w:right="2415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UniCredit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Czech</w:t>
      </w:r>
      <w:r>
        <w:rPr>
          <w:spacing w:val="-2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Slovakia,</w:t>
      </w:r>
      <w:r>
        <w:rPr>
          <w:spacing w:val="-3"/>
        </w:rPr>
        <w:t> </w:t>
      </w:r>
      <w:r>
        <w:rPr/>
        <w:t>a.s.</w:t>
      </w:r>
      <w:r>
        <w:rPr>
          <w:spacing w:val="-52"/>
        </w:rPr>
        <w:t> </w:t>
      </w:r>
      <w:r>
        <w:rPr/>
        <w:t>číslo</w:t>
      </w:r>
      <w:r>
        <w:rPr>
          <w:spacing w:val="-2"/>
        </w:rPr>
        <w:t> </w:t>
      </w:r>
      <w:r>
        <w:rPr/>
        <w:t>účtu:</w:t>
        <w:tab/>
        <w:t>1387974348/2700</w:t>
      </w:r>
    </w:p>
    <w:p>
      <w:pPr>
        <w:pStyle w:val="BodyText"/>
        <w:spacing w:before="1"/>
      </w:pPr>
    </w:p>
    <w:p>
      <w:pPr>
        <w:pStyle w:val="BodyText"/>
        <w:spacing w:line="477" w:lineRule="auto" w:before="1"/>
        <w:ind w:left="102" w:right="6943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3"/>
        </w:rPr>
        <w:t> </w:t>
      </w:r>
      <w:r>
        <w:rPr/>
        <w:t>„příjemce</w:t>
      </w:r>
      <w:r>
        <w:rPr>
          <w:spacing w:val="-4"/>
        </w:rPr>
        <w:t> </w:t>
      </w:r>
      <w:r>
        <w:rPr/>
        <w:t>podpory“)</w:t>
      </w:r>
      <w:r>
        <w:rPr>
          <w:spacing w:val="-51"/>
        </w:rPr>
        <w:t> </w:t>
      </w:r>
      <w:r>
        <w:rPr/>
        <w:t>se</w:t>
      </w:r>
      <w:r>
        <w:rPr>
          <w:spacing w:val="-3"/>
        </w:rPr>
        <w:t> </w:t>
      </w:r>
      <w:r>
        <w:rPr/>
        <w:t>dohodly</w:t>
      </w:r>
      <w:r>
        <w:rPr>
          <w:spacing w:val="-1"/>
        </w:rPr>
        <w:t> </w:t>
      </w:r>
      <w:r>
        <w:rPr/>
        <w:t>takto:</w:t>
      </w:r>
    </w:p>
    <w:p>
      <w:pPr>
        <w:pStyle w:val="Heading1"/>
        <w:spacing w:before="4"/>
        <w:ind w:left="2277" w:right="2306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31"/>
        <w:jc w:val="both"/>
      </w:pPr>
      <w:r>
        <w:rPr/>
        <w:t>„Smlouva“) se uzavírá na základě Rozhodnutí ministra životního prostředí č. 7211200016 o poskytnutí</w:t>
      </w:r>
      <w:r>
        <w:rPr>
          <w:spacing w:val="1"/>
        </w:rPr>
        <w:t> </w:t>
      </w:r>
      <w:r>
        <w:rPr/>
        <w:t>finančních prostředků ze Státního fondu životního prostředí ČR ze dne 15. 3.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64"/>
          <w:sz w:val="20"/>
        </w:rPr>
        <w:t> </w:t>
      </w:r>
      <w:r>
        <w:rPr>
          <w:sz w:val="20"/>
        </w:rPr>
        <w:t>potvrzuje,</w:t>
      </w:r>
      <w:r>
        <w:rPr>
          <w:spacing w:val="64"/>
          <w:sz w:val="20"/>
        </w:rPr>
        <w:t> </w:t>
      </w:r>
      <w:r>
        <w:rPr>
          <w:sz w:val="20"/>
        </w:rPr>
        <w:t>že</w:t>
      </w:r>
      <w:r>
        <w:rPr>
          <w:spacing w:val="63"/>
          <w:sz w:val="20"/>
        </w:rPr>
        <w:t> </w:t>
      </w:r>
      <w:r>
        <w:rPr>
          <w:sz w:val="20"/>
        </w:rPr>
        <w:t>se</w:t>
      </w:r>
      <w:r>
        <w:rPr>
          <w:spacing w:val="63"/>
          <w:sz w:val="20"/>
        </w:rPr>
        <w:t> </w:t>
      </w:r>
      <w:r>
        <w:rPr>
          <w:sz w:val="20"/>
        </w:rPr>
        <w:t>seznámil</w:t>
      </w:r>
      <w:r>
        <w:rPr>
          <w:spacing w:val="64"/>
          <w:sz w:val="20"/>
        </w:rPr>
        <w:t> </w:t>
      </w:r>
      <w:r>
        <w:rPr>
          <w:sz w:val="20"/>
        </w:rPr>
        <w:t>s</w:t>
      </w:r>
      <w:r>
        <w:rPr>
          <w:spacing w:val="64"/>
          <w:sz w:val="20"/>
        </w:rPr>
        <w:t> </w:t>
      </w:r>
      <w:r>
        <w:rPr>
          <w:sz w:val="20"/>
        </w:rPr>
        <w:t>Výzvou</w:t>
      </w:r>
      <w:r>
        <w:rPr>
          <w:spacing w:val="70"/>
          <w:sz w:val="20"/>
        </w:rPr>
        <w:t> </w:t>
      </w:r>
      <w:r>
        <w:rPr>
          <w:sz w:val="20"/>
        </w:rPr>
        <w:t>ModF</w:t>
      </w:r>
      <w:r>
        <w:rPr>
          <w:spacing w:val="65"/>
          <w:sz w:val="20"/>
        </w:rPr>
        <w:t> </w:t>
      </w:r>
      <w:r>
        <w:rPr>
          <w:sz w:val="20"/>
        </w:rPr>
        <w:t>-</w:t>
      </w:r>
      <w:r>
        <w:rPr>
          <w:spacing w:val="64"/>
          <w:sz w:val="20"/>
        </w:rPr>
        <w:t> </w:t>
      </w:r>
      <w:r>
        <w:rPr>
          <w:sz w:val="20"/>
        </w:rPr>
        <w:t>RES+</w:t>
      </w:r>
      <w:r>
        <w:rPr>
          <w:spacing w:val="65"/>
          <w:sz w:val="20"/>
        </w:rPr>
        <w:t> </w:t>
      </w:r>
      <w:r>
        <w:rPr>
          <w:sz w:val="20"/>
        </w:rPr>
        <w:t>č.2/2021</w:t>
      </w:r>
      <w:r>
        <w:rPr>
          <w:spacing w:val="67"/>
          <w:sz w:val="20"/>
        </w:rPr>
        <w:t> </w:t>
      </w:r>
      <w:r>
        <w:rPr>
          <w:sz w:val="20"/>
        </w:rPr>
        <w:t>-</w:t>
      </w:r>
      <w:r>
        <w:rPr>
          <w:spacing w:val="64"/>
          <w:sz w:val="20"/>
        </w:rPr>
        <w:t> </w:t>
      </w:r>
      <w:r>
        <w:rPr>
          <w:sz w:val="20"/>
        </w:rPr>
        <w:t>ModF-RES-FV_2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spacing w:line="240" w:lineRule="auto" w:before="7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jc w:val="left"/>
      </w:pPr>
      <w:r>
        <w:rPr/>
        <w:t>„Ovčáry“</w:t>
      </w:r>
    </w:p>
    <w:p>
      <w:pPr>
        <w:spacing w:after="0"/>
        <w:jc w:val="left"/>
        <w:sectPr>
          <w:type w:val="continuous"/>
          <w:pgSz w:w="12240" w:h="15840"/>
          <w:pgMar w:header="708" w:footer="771" w:top="2040" w:bottom="960" w:left="1600" w:right="1000"/>
          <w:cols w:num="2" w:equalWidth="0">
            <w:col w:w="3609" w:space="671"/>
            <w:col w:w="5360"/>
          </w:cols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6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3143" w:right="2819"/>
      </w:pPr>
      <w:r>
        <w:rPr/>
        <w:t>II.</w:t>
      </w:r>
    </w:p>
    <w:p>
      <w:pPr>
        <w:pStyle w:val="Heading2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46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188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sz w:val="20"/>
        </w:rPr>
        <w:t>(slovy:</w:t>
      </w:r>
      <w:r>
        <w:rPr>
          <w:spacing w:val="-53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1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sto osmdesát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3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182</w:t>
      </w:r>
      <w:r>
        <w:rPr>
          <w:spacing w:val="1"/>
          <w:sz w:val="20"/>
        </w:rPr>
        <w:t> </w:t>
      </w:r>
      <w:r>
        <w:rPr>
          <w:sz w:val="20"/>
        </w:rPr>
        <w:t>414</w:t>
      </w:r>
      <w:r>
        <w:rPr>
          <w:spacing w:val="1"/>
          <w:sz w:val="20"/>
        </w:rPr>
        <w:t> </w:t>
      </w:r>
      <w:r>
        <w:rPr>
          <w:sz w:val="20"/>
        </w:rPr>
        <w:t>729,00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25,32 %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6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60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4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8"/>
      </w:pPr>
      <w:r>
        <w:rPr/>
        <w:t>III.</w:t>
      </w:r>
    </w:p>
    <w:p>
      <w:pPr>
        <w:pStyle w:val="Heading2"/>
        <w:spacing w:line="265" w:lineRule="exact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385" w:right="13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2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3"/>
          <w:sz w:val="20"/>
        </w:rPr>
        <w:t> </w:t>
      </w:r>
      <w:r>
        <w:rPr>
          <w:sz w:val="20"/>
        </w:rPr>
        <w:t>podpory,</w:t>
      </w:r>
      <w:r>
        <w:rPr>
          <w:spacing w:val="11"/>
          <w:sz w:val="20"/>
        </w:rPr>
        <w:t> </w:t>
      </w:r>
      <w:r>
        <w:rPr>
          <w:sz w:val="20"/>
        </w:rPr>
        <w:t>uvedený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Smlouvě,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1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platbu,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99" w:after="0"/>
        <w:ind w:left="385" w:right="13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10"/>
          <w:sz w:val="20"/>
        </w:rPr>
        <w:t> </w:t>
      </w:r>
      <w:r>
        <w:rPr>
          <w:sz w:val="20"/>
        </w:rPr>
        <w:t>Žádost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10"/>
          <w:sz w:val="20"/>
        </w:rPr>
        <w:t> </w:t>
      </w:r>
      <w:r>
        <w:rPr>
          <w:sz w:val="20"/>
        </w:rPr>
        <w:t>musí</w:t>
      </w:r>
      <w:r>
        <w:rPr>
          <w:spacing w:val="9"/>
          <w:sz w:val="20"/>
        </w:rPr>
        <w:t> </w:t>
      </w:r>
      <w:r>
        <w:rPr>
          <w:sz w:val="20"/>
        </w:rPr>
        <w:t>obsahovat</w:t>
      </w:r>
      <w:r>
        <w:rPr>
          <w:spacing w:val="8"/>
          <w:sz w:val="20"/>
        </w:rPr>
        <w:t> </w:t>
      </w:r>
      <w:r>
        <w:rPr>
          <w:sz w:val="20"/>
        </w:rPr>
        <w:t>náležitosti</w:t>
      </w:r>
      <w:r>
        <w:rPr>
          <w:spacing w:val="10"/>
          <w:sz w:val="20"/>
        </w:rPr>
        <w:t> </w:t>
      </w:r>
      <w:r>
        <w:rPr>
          <w:sz w:val="20"/>
        </w:rPr>
        <w:t>stanovené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Rozhodnutím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dále</w:t>
      </w:r>
      <w:r>
        <w:rPr>
          <w:spacing w:val="9"/>
          <w:sz w:val="20"/>
        </w:rPr>
        <w:t> </w:t>
      </w:r>
      <w:r>
        <w:rPr>
          <w:sz w:val="20"/>
        </w:rPr>
        <w:t>výpis</w:t>
      </w:r>
      <w:r>
        <w:rPr>
          <w:spacing w:val="-52"/>
          <w:sz w:val="20"/>
        </w:rPr>
        <w:t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> </w:t>
      </w:r>
      <w:r>
        <w:rPr>
          <w:sz w:val="20"/>
        </w:rPr>
        <w:t>zákoníku,</w:t>
      </w:r>
      <w:r>
        <w:rPr>
          <w:spacing w:val="-11"/>
          <w:sz w:val="20"/>
        </w:rPr>
        <w:t> </w:t>
      </w:r>
      <w:r>
        <w:rPr>
          <w:sz w:val="20"/>
        </w:rPr>
        <w:t>tj.,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součástí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2"/>
          <w:sz w:val="20"/>
        </w:rPr>
        <w:t> </w:t>
      </w:r>
      <w:r>
        <w:rPr>
          <w:sz w:val="20"/>
        </w:rPr>
        <w:t>věci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10"/>
          <w:sz w:val="20"/>
        </w:rPr>
        <w:t> </w:t>
      </w:r>
      <w:r>
        <w:rPr>
          <w:sz w:val="20"/>
        </w:rPr>
        <w:t>případě,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umístěn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v nemovité</w:t>
      </w:r>
      <w:r>
        <w:rPr>
          <w:spacing w:val="-2"/>
          <w:sz w:val="20"/>
        </w:rPr>
        <w:t> </w:t>
      </w:r>
      <w:r>
        <w:rPr>
          <w:sz w:val="20"/>
        </w:rPr>
        <w:t>věci,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vlastnictví příjemce</w:t>
      </w:r>
      <w:r>
        <w:rPr>
          <w:spacing w:val="-2"/>
          <w:sz w:val="20"/>
        </w:rPr>
        <w:t> </w:t>
      </w:r>
      <w:r>
        <w:rPr>
          <w:sz w:val="20"/>
        </w:rPr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6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0"/>
          <w:sz w:val="20"/>
        </w:rPr>
        <w:t> </w:t>
      </w:r>
      <w:r>
        <w:rPr>
          <w:sz w:val="20"/>
        </w:rPr>
        <w:t>oboustranná</w:t>
      </w:r>
      <w:r>
        <w:rPr>
          <w:spacing w:val="22"/>
          <w:sz w:val="20"/>
        </w:rPr>
        <w:t> </w:t>
      </w:r>
      <w:r>
        <w:rPr>
          <w:sz w:val="20"/>
        </w:rPr>
        <w:t>vzájemná</w:t>
      </w:r>
      <w:r>
        <w:rPr>
          <w:spacing w:val="19"/>
          <w:sz w:val="20"/>
        </w:rPr>
        <w:t> </w:t>
      </w:r>
      <w:r>
        <w:rPr>
          <w:sz w:val="20"/>
        </w:rPr>
        <w:t>dohoda</w:t>
      </w:r>
      <w:r>
        <w:rPr>
          <w:spacing w:val="23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1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„Ovčáry“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jejími</w:t>
      </w:r>
      <w:r>
        <w:rPr>
          <w:spacing w:val="-51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8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> </w:t>
      </w:r>
      <w:r>
        <w:rPr>
          <w:sz w:val="20"/>
        </w:rPr>
        <w:t>projektu</w:t>
      </w:r>
      <w:r>
        <w:rPr>
          <w:spacing w:val="2"/>
          <w:sz w:val="20"/>
        </w:rPr>
        <w:t> </w:t>
      </w:r>
      <w:r>
        <w:rPr>
          <w:sz w:val="20"/>
        </w:rPr>
        <w:t>dojde</w:t>
      </w:r>
      <w:r>
        <w:rPr>
          <w:spacing w:val="3"/>
          <w:sz w:val="20"/>
        </w:rPr>
        <w:t> </w:t>
      </w:r>
      <w:r>
        <w:rPr>
          <w:sz w:val="20"/>
        </w:rPr>
        <w:t>k</w:t>
      </w:r>
      <w:r>
        <w:rPr>
          <w:spacing w:val="5"/>
          <w:sz w:val="20"/>
        </w:rPr>
        <w:t> </w:t>
      </w:r>
      <w:r>
        <w:rPr>
          <w:sz w:val="20"/>
        </w:rPr>
        <w:t>výstavbě</w:t>
      </w:r>
      <w:r>
        <w:rPr>
          <w:spacing w:val="2"/>
          <w:sz w:val="20"/>
        </w:rPr>
        <w:t> </w:t>
      </w:r>
      <w:r>
        <w:rPr>
          <w:sz w:val="20"/>
        </w:rPr>
        <w:t>nové</w:t>
      </w:r>
      <w:r>
        <w:rPr>
          <w:spacing w:val="2"/>
          <w:sz w:val="20"/>
        </w:rPr>
        <w:t> </w:t>
      </w:r>
      <w:r>
        <w:rPr>
          <w:sz w:val="20"/>
        </w:rPr>
        <w:t>fotovoltaické</w:t>
      </w:r>
      <w:r>
        <w:rPr>
          <w:spacing w:val="1"/>
          <w:sz w:val="20"/>
        </w:rPr>
        <w:t> </w:t>
      </w:r>
      <w:r>
        <w:rPr>
          <w:sz w:val="20"/>
        </w:rPr>
        <w:t>elektrárny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pozemní</w:t>
      </w:r>
      <w:r>
        <w:rPr>
          <w:spacing w:val="2"/>
          <w:sz w:val="20"/>
        </w:rPr>
        <w:t> </w:t>
      </w:r>
      <w:r>
        <w:rPr>
          <w:sz w:val="20"/>
        </w:rPr>
        <w:t>instalací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52"/>
          <w:sz w:val="20"/>
        </w:rPr>
        <w:t> </w:t>
      </w:r>
      <w:r>
        <w:rPr>
          <w:sz w:val="20"/>
        </w:rPr>
        <w:t>předpokládaným</w:t>
      </w:r>
      <w:r>
        <w:rPr>
          <w:spacing w:val="-3"/>
          <w:sz w:val="20"/>
        </w:rPr>
        <w:t> </w:t>
      </w:r>
      <w:r>
        <w:rPr>
          <w:sz w:val="20"/>
        </w:rPr>
        <w:t>výkonem 7698 kWp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instalací</w:t>
      </w:r>
      <w:r>
        <w:rPr>
          <w:spacing w:val="2"/>
          <w:sz w:val="20"/>
        </w:rPr>
        <w:t> </w:t>
      </w:r>
      <w:r>
        <w:rPr>
          <w:sz w:val="20"/>
        </w:rPr>
        <w:t>akumulace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kapacitě</w:t>
      </w:r>
      <w:r>
        <w:rPr>
          <w:spacing w:val="-1"/>
          <w:sz w:val="20"/>
        </w:rPr>
        <w:t> </w:t>
      </w:r>
      <w:r>
        <w:rPr>
          <w:sz w:val="20"/>
        </w:rPr>
        <w:t>1900</w:t>
      </w:r>
      <w:r>
        <w:rPr>
          <w:spacing w:val="-1"/>
          <w:sz w:val="20"/>
        </w:rPr>
        <w:t> </w:t>
      </w:r>
      <w:r>
        <w:rPr>
          <w:sz w:val="20"/>
        </w:rPr>
        <w:t>kWh,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písmene</w:t>
      </w:r>
      <w:r>
        <w:rPr>
          <w:spacing w:val="-12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726"/>
        <w:gridCol w:w="1798"/>
        <w:gridCol w:w="1859"/>
      </w:tblGrid>
      <w:tr>
        <w:trPr>
          <w:trHeight w:val="505" w:hRule="atLeast"/>
        </w:trPr>
        <w:tc>
          <w:tcPr>
            <w:tcW w:w="344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447" w:type="dxa"/>
          </w:tcPr>
          <w:p>
            <w:pPr>
              <w:pStyle w:val="TableParagraph"/>
              <w:spacing w:line="266" w:lineRule="exact" w:before="0"/>
              <w:ind w:left="388" w:right="795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akumulace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MWh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</w:tr>
      <w:tr>
        <w:trPr>
          <w:trHeight w:val="530" w:hRule="atLeast"/>
        </w:trPr>
        <w:tc>
          <w:tcPr>
            <w:tcW w:w="3447" w:type="dxa"/>
          </w:tcPr>
          <w:p>
            <w:pPr>
              <w:pStyle w:val="TableParagraph"/>
              <w:spacing w:line="264" w:lineRule="exact" w:before="0"/>
              <w:ind w:left="388" w:right="643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7.69</w:t>
            </w:r>
          </w:p>
        </w:tc>
      </w:tr>
      <w:tr>
        <w:trPr>
          <w:trHeight w:val="506" w:hRule="atLeast"/>
        </w:trPr>
        <w:tc>
          <w:tcPr>
            <w:tcW w:w="344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2"/>
              <w:ind w:left="0" w:right="45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6455</w:t>
            </w:r>
          </w:p>
        </w:tc>
      </w:tr>
      <w:tr>
        <w:trPr>
          <w:trHeight w:val="532" w:hRule="atLeast"/>
        </w:trPr>
        <w:tc>
          <w:tcPr>
            <w:tcW w:w="3447" w:type="dxa"/>
          </w:tcPr>
          <w:p>
            <w:pPr>
              <w:pStyle w:val="TableParagraph"/>
              <w:spacing w:line="266" w:lineRule="exact" w:before="0"/>
              <w:ind w:left="388" w:right="265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59726.16</w:t>
            </w:r>
          </w:p>
        </w:tc>
      </w:tr>
      <w:tr>
        <w:trPr>
          <w:trHeight w:val="506" w:hRule="atLeast"/>
        </w:trPr>
        <w:tc>
          <w:tcPr>
            <w:tcW w:w="344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0" w:right="48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6381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9" w:after="0"/>
        <w:ind w:left="745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4"/>
          <w:sz w:val="20"/>
        </w:rPr>
        <w:t> </w:t>
      </w:r>
      <w:r>
        <w:rPr>
          <w:sz w:val="20"/>
        </w:rPr>
        <w:t>realizace</w:t>
      </w:r>
      <w:r>
        <w:rPr>
          <w:spacing w:val="43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2" w:after="0"/>
        <w:ind w:left="745" w:right="132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60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</w:t>
      </w:r>
      <w:r>
        <w:rPr>
          <w:spacing w:val="12"/>
          <w:sz w:val="20"/>
        </w:rPr>
        <w:t> </w:t>
      </w:r>
      <w:r>
        <w:rPr>
          <w:sz w:val="20"/>
        </w:rPr>
        <w:t>nevyžaduje</w:t>
      </w:r>
      <w:r>
        <w:rPr>
          <w:spacing w:val="9"/>
          <w:sz w:val="20"/>
        </w:rPr>
        <w:t> </w:t>
      </w:r>
      <w:r>
        <w:rPr>
          <w:sz w:val="20"/>
        </w:rPr>
        <w:t>stavební</w:t>
      </w:r>
      <w:r>
        <w:rPr>
          <w:spacing w:val="10"/>
          <w:sz w:val="20"/>
        </w:rPr>
        <w:t> </w:t>
      </w:r>
      <w:r>
        <w:rPr>
          <w:sz w:val="20"/>
        </w:rPr>
        <w:t>povolení).</w:t>
      </w:r>
      <w:r>
        <w:rPr>
          <w:spacing w:val="12"/>
          <w:sz w:val="20"/>
        </w:rPr>
        <w:t> </w:t>
      </w:r>
      <w:r>
        <w:rPr>
          <w:sz w:val="20"/>
        </w:rPr>
        <w:t>Bude-li</w:t>
      </w:r>
      <w:r>
        <w:rPr>
          <w:spacing w:val="10"/>
          <w:sz w:val="20"/>
        </w:rPr>
        <w:t> </w:t>
      </w:r>
      <w:r>
        <w:rPr>
          <w:sz w:val="20"/>
        </w:rPr>
        <w:t>vydán</w:t>
      </w:r>
      <w:r>
        <w:rPr>
          <w:spacing w:val="10"/>
          <w:sz w:val="20"/>
        </w:rPr>
        <w:t> </w:t>
      </w:r>
      <w:r>
        <w:rPr>
          <w:sz w:val="20"/>
        </w:rPr>
        <w:t>jak</w:t>
      </w:r>
      <w:r>
        <w:rPr>
          <w:spacing w:val="9"/>
          <w:sz w:val="20"/>
        </w:rPr>
        <w:t> </w:t>
      </w:r>
      <w:r>
        <w:rPr>
          <w:sz w:val="20"/>
        </w:rPr>
        <w:t>Kolaudační</w:t>
      </w:r>
      <w:r>
        <w:rPr>
          <w:spacing w:val="12"/>
          <w:sz w:val="20"/>
        </w:rPr>
        <w:t> </w:t>
      </w:r>
      <w:r>
        <w:rPr>
          <w:sz w:val="20"/>
        </w:rPr>
        <w:t>souhlas,</w:t>
      </w:r>
      <w:r>
        <w:rPr>
          <w:spacing w:val="10"/>
          <w:sz w:val="20"/>
        </w:rPr>
        <w:t> </w:t>
      </w:r>
      <w:r>
        <w:rPr>
          <w:sz w:val="20"/>
        </w:rPr>
        <w:t>tak</w:t>
      </w:r>
      <w:r>
        <w:rPr>
          <w:spacing w:val="9"/>
          <w:sz w:val="20"/>
        </w:rPr>
        <w:t> </w:t>
      </w:r>
      <w:r>
        <w:rPr>
          <w:sz w:val="20"/>
        </w:rPr>
        <w:t>oznámení</w:t>
      </w:r>
    </w:p>
    <w:p>
      <w:pPr>
        <w:pStyle w:val="BodyText"/>
        <w:spacing w:before="1"/>
        <w:ind w:left="745"/>
        <w:jc w:val="both"/>
      </w:pPr>
      <w:r>
        <w:rPr/>
        <w:t>o</w:t>
      </w:r>
      <w:r>
        <w:rPr>
          <w:spacing w:val="-1"/>
        </w:rPr>
        <w:t> </w:t>
      </w:r>
      <w:r>
        <w:rPr/>
        <w:t>užívání,</w:t>
      </w:r>
      <w:r>
        <w:rPr>
          <w:spacing w:val="-3"/>
        </w:rPr>
        <w:t> </w:t>
      </w:r>
      <w:r>
        <w:rPr/>
        <w:t>považuje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termín</w:t>
      </w:r>
      <w:r>
        <w:rPr>
          <w:spacing w:val="-3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datum</w:t>
      </w:r>
      <w:r>
        <w:rPr>
          <w:spacing w:val="-1"/>
        </w:rPr>
        <w:t> </w:t>
      </w:r>
      <w:r>
        <w:rPr/>
        <w:t>dokumentu</w:t>
      </w:r>
      <w:r>
        <w:rPr>
          <w:spacing w:val="-3"/>
        </w:rPr>
        <w:t> </w:t>
      </w:r>
      <w:r>
        <w:rPr/>
        <w:t>vydaného</w:t>
      </w:r>
      <w:r>
        <w:rPr>
          <w:spacing w:val="-1"/>
        </w:rPr>
        <w:t> </w:t>
      </w:r>
      <w:r>
        <w:rPr/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1" w:after="0"/>
        <w:ind w:left="745" w:right="130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stanoveném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> </w:t>
      </w:r>
      <w:r>
        <w:rPr>
          <w:sz w:val="20"/>
        </w:rPr>
        <w:t>může</w:t>
      </w:r>
      <w:r>
        <w:rPr>
          <w:spacing w:val="54"/>
          <w:sz w:val="20"/>
        </w:rPr>
        <w:t> </w:t>
      </w:r>
      <w:r>
        <w:rPr>
          <w:sz w:val="20"/>
        </w:rPr>
        <w:t>Fond</w:t>
      </w:r>
      <w:r>
        <w:rPr>
          <w:spacing w:val="56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písemnou   žádost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posoudit</w:t>
      </w:r>
      <w:r>
        <w:rPr>
          <w:spacing w:val="55"/>
          <w:sz w:val="20"/>
        </w:rPr>
        <w:t> </w:t>
      </w:r>
      <w:r>
        <w:rPr>
          <w:sz w:val="20"/>
        </w:rPr>
        <w:t>tuto   situaci</w:t>
      </w:r>
      <w:r>
        <w:rPr>
          <w:spacing w:val="55"/>
          <w:sz w:val="20"/>
        </w:rPr>
        <w:t> </w:t>
      </w:r>
      <w:r>
        <w:rPr>
          <w:sz w:val="20"/>
        </w:rPr>
        <w:t>a   rozhodnout</w:t>
      </w:r>
      <w:r>
        <w:rPr>
          <w:spacing w:val="55"/>
          <w:sz w:val="20"/>
        </w:rPr>
        <w:t> </w:t>
      </w:r>
      <w:r>
        <w:rPr>
          <w:sz w:val="20"/>
        </w:rPr>
        <w:t>tak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stavění</w:t>
      </w:r>
      <w:r>
        <w:rPr>
          <w:spacing w:val="23"/>
          <w:sz w:val="20"/>
        </w:rPr>
        <w:t> </w:t>
      </w:r>
      <w:r>
        <w:rPr>
          <w:sz w:val="20"/>
        </w:rPr>
        <w:t>uvedené</w:t>
      </w:r>
      <w:r>
        <w:rPr>
          <w:spacing w:val="23"/>
          <w:sz w:val="20"/>
        </w:rPr>
        <w:t> </w:t>
      </w:r>
      <w:r>
        <w:rPr>
          <w:sz w:val="20"/>
        </w:rPr>
        <w:t>lhůty.</w:t>
      </w:r>
      <w:r>
        <w:rPr>
          <w:spacing w:val="23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takovém</w:t>
      </w:r>
      <w:r>
        <w:rPr>
          <w:spacing w:val="23"/>
          <w:sz w:val="20"/>
        </w:rPr>
        <w:t> </w:t>
      </w:r>
      <w:r>
        <w:rPr>
          <w:sz w:val="20"/>
        </w:rPr>
        <w:t>případě</w:t>
      </w:r>
      <w:r>
        <w:rPr>
          <w:spacing w:val="21"/>
          <w:sz w:val="20"/>
        </w:rPr>
        <w:t> </w:t>
      </w:r>
      <w:r>
        <w:rPr>
          <w:sz w:val="20"/>
        </w:rPr>
        <w:t>povinen</w:t>
      </w:r>
      <w:r>
        <w:rPr>
          <w:spacing w:val="20"/>
          <w:sz w:val="20"/>
        </w:rPr>
        <w:t> </w:t>
      </w:r>
      <w:r>
        <w:rPr>
          <w:sz w:val="20"/>
        </w:rPr>
        <w:t>zajistit,</w:t>
      </w:r>
      <w:r>
        <w:rPr>
          <w:spacing w:val="21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-1"/>
          <w:sz w:val="20"/>
        </w:rPr>
        <w:t> </w:t>
      </w:r>
      <w:r>
        <w:rPr>
          <w:sz w:val="20"/>
        </w:rPr>
        <w:t>běhu 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1"/>
          <w:sz w:val="20"/>
        </w:rPr>
        <w:t> </w:t>
      </w:r>
      <w:r>
        <w:rPr>
          <w:sz w:val="20"/>
        </w:rPr>
        <w:t>nápravě</w:t>
      </w:r>
      <w:r>
        <w:rPr>
          <w:spacing w:val="-1"/>
          <w:sz w:val="20"/>
        </w:rPr>
        <w:t> </w:t>
      </w:r>
      <w:r>
        <w:rPr>
          <w:sz w:val="20"/>
        </w:rPr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80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w w:val="95"/>
          <w:sz w:val="20"/>
        </w:rPr>
        <w:t>podpory se zavazuje všechny transakce související s akcí odděleně identifikovat od ostatních účetních</w:t>
      </w:r>
      <w:r>
        <w:rPr>
          <w:spacing w:val="1"/>
          <w:w w:val="95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6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4"/>
          <w:sz w:val="20"/>
        </w:rPr>
        <w:t> </w:t>
      </w:r>
      <w:r>
        <w:rPr>
          <w:sz w:val="20"/>
        </w:rPr>
        <w:t>Fondem</w:t>
      </w:r>
      <w:r>
        <w:rPr>
          <w:spacing w:val="100"/>
          <w:sz w:val="20"/>
        </w:rPr>
        <w:t> </w:t>
      </w:r>
      <w:r>
        <w:rPr>
          <w:sz w:val="20"/>
        </w:rPr>
        <w:t>případně</w:t>
      </w:r>
      <w:r>
        <w:rPr>
          <w:spacing w:val="102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3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5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5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6"/>
          <w:sz w:val="20"/>
        </w:rPr>
        <w:t> </w:t>
      </w:r>
      <w:r>
        <w:rPr>
          <w:sz w:val="20"/>
        </w:rPr>
        <w:t>nezkreslené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úplné.</w:t>
      </w:r>
      <w:r>
        <w:rPr>
          <w:spacing w:val="16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přitom</w:t>
      </w:r>
      <w:r>
        <w:rPr>
          <w:spacing w:val="15"/>
          <w:sz w:val="20"/>
        </w:rPr>
        <w:t> </w:t>
      </w:r>
      <w:r>
        <w:rPr>
          <w:sz w:val="20"/>
        </w:rPr>
        <w:t>bere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6"/>
          <w:sz w:val="20"/>
        </w:rPr>
        <w:t> </w:t>
      </w:r>
      <w:r>
        <w:rPr>
          <w:sz w:val="20"/>
        </w:rPr>
        <w:t>jeho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1"/>
        <w:jc w:val="both"/>
      </w:pP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2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2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2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2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Heading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4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</w:t>
      </w:r>
      <w:r>
        <w:rPr>
          <w:spacing w:val="1"/>
          <w:sz w:val="20"/>
        </w:rPr>
        <w:t> </w:t>
      </w:r>
      <w:r>
        <w:rPr>
          <w:sz w:val="20"/>
        </w:rPr>
        <w:t>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18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3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0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37" w:lineRule="auto" w:before="123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spacing w:line="265" w:lineRule="exact"/>
        <w:ind w:left="3140"/>
      </w:pPr>
      <w:r>
        <w:rPr/>
        <w:t>VI.</w:t>
      </w:r>
    </w:p>
    <w:p>
      <w:pPr>
        <w:pStyle w:val="Heading2"/>
        <w:spacing w:line="265" w:lineRule="exact"/>
        <w:ind w:left="3138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  článku   III,   a   to    zejména    tehdy,   kdy   bude   docíleno    nižších    přínosů   (nebo    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6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1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102"/>
      </w:pPr>
      <w:r>
        <w:rPr/>
        <w:t>V: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6582" w:val="left" w:leader="none"/>
        </w:tabs>
        <w:spacing w:line="265" w:lineRule="exact" w:before="1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29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54"/>
          <w:sz w:val="20"/>
        </w:rPr>
        <w:t> </w:t>
      </w:r>
      <w:r>
        <w:rPr>
          <w:sz w:val="20"/>
        </w:rPr>
        <w:t>u</w:t>
      </w:r>
      <w:r>
        <w:rPr>
          <w:spacing w:val="55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identifikováno</w:t>
      </w:r>
      <w:r>
        <w:rPr>
          <w:spacing w:val="55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4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5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3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1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 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276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2022-10-27T14:01:27Z</dcterms:created>
  <dcterms:modified xsi:type="dcterms:W3CDTF">2022-10-27T14:01:27Z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