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2" w:name="bookmark2"/>
      <w:r>
        <w:rPr>
          <w:rStyle w:val="CharStyle20"/>
        </w:rPr>
        <w:t>■lllllllilllllll</w:t>
      </w:r>
      <w:bookmarkEnd w:id="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200" w:firstLine="0"/>
        <w:jc w:val="righ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63500</wp:posOffset>
                </wp:positionV>
                <wp:extent cx="2042160" cy="2044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216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RÁMCOVÁ 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59999999999999pt;margin-top:5.pt;width:160.80000000000001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2"/>
                          <w:szCs w:val="22"/>
                        </w:rPr>
                        <w:t>RÁMCOVÁ KUPNÍ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6"/>
          <w:sz w:val="16"/>
          <w:szCs w:val="16"/>
        </w:rPr>
        <w:t>2022007612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7" w:lineRule="auto"/>
        <w:ind w:left="2000" w:right="0" w:hanging="126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left"/>
        <w:tblLayout w:type="fixed"/>
      </w:tblPr>
      <w:tblGrid>
        <w:gridCol w:w="2971"/>
        <w:gridCol w:w="5774"/>
      </w:tblGrid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  <w:b/>
                <w:bCs/>
              </w:rPr>
              <w:t>příspěvková organizace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</w:rPr>
              <w:t>Kamenice 798/1 d, 625 00 Brno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  <w:spacing w:val="4"/>
                <w:shd w:val="clear" w:color="auto" w:fill="000000"/>
              </w:rPr>
              <w:t>........</w:t>
            </w:r>
            <w:r>
              <w:rPr>
                <w:rStyle w:val="CharStyle29"/>
                <w:spacing w:val="5"/>
                <w:shd w:val="clear" w:color="auto" w:fill="000000"/>
              </w:rPr>
              <w:t>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8"/>
                <w:shd w:val="clear" w:color="auto" w:fill="000000"/>
              </w:rPr>
              <w:t>...</w:t>
            </w:r>
            <w:r>
              <w:rPr>
                <w:rStyle w:val="CharStyle29"/>
                <w:spacing w:val="9"/>
                <w:shd w:val="clear" w:color="auto" w:fill="000000"/>
              </w:rPr>
              <w:t>..</w:t>
            </w:r>
            <w:r>
              <w:rPr>
                <w:rStyle w:val="CharStyle29"/>
                <w:shd w:val="clear" w:color="auto" w:fill="000000"/>
              </w:rPr>
              <w:t>​.......​</w:t>
            </w:r>
            <w:r>
              <w:rPr>
                <w:rStyle w:val="CharStyle29"/>
                <w:spacing w:val="6"/>
                <w:shd w:val="clear" w:color="auto" w:fill="000000"/>
              </w:rPr>
              <w:t>...</w:t>
            </w:r>
            <w:r>
              <w:rPr>
                <w:rStyle w:val="CharStyle29"/>
                <w:spacing w:val="7"/>
                <w:shd w:val="clear" w:color="auto" w:fill="000000"/>
              </w:rPr>
              <w:t>...</w:t>
            </w:r>
            <w:r>
              <w:rPr>
                <w:rStyle w:val="CharStyle29"/>
                <w:shd w:val="clear" w:color="auto" w:fill="000000"/>
              </w:rPr>
              <w:t>​........​</w:t>
            </w:r>
            <w:r>
              <w:rPr>
                <w:rStyle w:val="CharStyle29"/>
                <w:spacing w:val="6"/>
                <w:shd w:val="clear" w:color="auto" w:fill="000000"/>
              </w:rPr>
              <w:t>....</w:t>
            </w:r>
            <w:r>
              <w:rPr>
                <w:rStyle w:val="CharStyle29"/>
                <w:spacing w:val="7"/>
                <w:shd w:val="clear" w:color="auto" w:fill="000000"/>
              </w:rPr>
              <w:t>....</w:t>
            </w:r>
            <w:r>
              <w:rPr>
                <w:rStyle w:val="CharStyle29"/>
                <w:shd w:val="clear" w:color="auto" w:fill="000000"/>
              </w:rPr>
              <w:t>​.......​.......​......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</w:rPr>
              <w:t>00346292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9"/>
              </w:rPr>
              <w:t>MONETA Money Bank, a.s., č. ú. 117203514/0600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7"/>
        </w:rPr>
        <w:t>(dále jen „kupující“)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71"/>
        <w:gridCol w:w="5770"/>
      </w:tblGrid>
      <w:tr>
        <w:trPr>
          <w:trHeight w:val="58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9"/>
                <w:b/>
                <w:bCs/>
              </w:rPr>
              <w:t>Zarys International Group s.r.o.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9"/>
              </w:rPr>
              <w:t>Starobělská 1937/4, 700 30 Ostrava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9"/>
              </w:rPr>
              <w:t>Wojciech Boryczko, prokura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420" w:right="0" w:firstLine="0"/>
              <w:jc w:val="left"/>
            </w:pPr>
            <w:r>
              <w:rPr>
                <w:rStyle w:val="CharStyle29"/>
                <w:spacing w:val="2"/>
                <w:shd w:val="clear" w:color="auto" w:fill="000000"/>
              </w:rPr>
              <w:t>.......</w:t>
            </w:r>
            <w:r>
              <w:rPr>
                <w:rStyle w:val="CharStyle29"/>
                <w:spacing w:val="3"/>
                <w:shd w:val="clear" w:color="auto" w:fill="000000"/>
              </w:rPr>
              <w:t>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2"/>
                <w:shd w:val="clear" w:color="auto" w:fill="000000"/>
              </w:rPr>
              <w:t>.............</w:t>
            </w:r>
            <w:r>
              <w:rPr>
                <w:rStyle w:val="CharStyle29"/>
                <w:spacing w:val="3"/>
                <w:shd w:val="clear" w:color="auto" w:fill="000000"/>
              </w:rPr>
              <w:t>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2"/>
                <w:shd w:val="clear" w:color="auto" w:fill="000000"/>
              </w:rPr>
              <w:t>..........</w:t>
            </w:r>
            <w:r>
              <w:rPr>
                <w:rStyle w:val="CharStyle29"/>
                <w:shd w:val="clear" w:color="auto" w:fill="000000"/>
              </w:rPr>
              <w:t>​.............</w:t>
            </w:r>
            <w:r>
              <w:rPr>
                <w:rStyle w:val="CharStyle29"/>
                <w:spacing w:val="1"/>
                <w:shd w:val="clear" w:color="auto" w:fill="000000"/>
              </w:rPr>
              <w:t>........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4"/>
                <w:shd w:val="clear" w:color="auto" w:fill="000000"/>
              </w:rPr>
              <w:t>........</w:t>
            </w:r>
            <w:r>
              <w:rPr>
                <w:rStyle w:val="CharStyle29"/>
                <w:spacing w:val="5"/>
                <w:shd w:val="clear" w:color="auto" w:fill="000000"/>
              </w:rPr>
              <w:t>....</w:t>
            </w:r>
            <w:r>
              <w:rPr>
                <w:rStyle w:val="CharStyle29"/>
                <w:spacing w:val="10"/>
                <w:shd w:val="clear" w:color="auto" w:fill="000000"/>
              </w:rPr>
              <w:t>.</w:t>
            </w:r>
            <w:r>
              <w:rPr>
                <w:rStyle w:val="CharStyle29"/>
              </w:rPr>
              <w:t xml:space="preserve"> 09637737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9"/>
              </w:rPr>
              <w:t>CZ09637737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9"/>
              </w:rPr>
              <w:t>u KS v Ostravě, oddíl C, vložka 83680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9"/>
              </w:rPr>
              <w:t>ČSOB, a.s., č. ú. 295540732/0300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7"/>
        </w:rPr>
        <w:t>(dále jen „prodávající“)</w:t>
      </w:r>
    </w:p>
    <w:p>
      <w:pPr>
        <w:widowControl w:val="0"/>
        <w:spacing w:after="9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se zbožím ve formě náplastí z umělého hedvábí, jejichž specifikace, včetně jejich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30" w:lineRule="auto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Kupující se zavazuje zaplatit prodávajícímu za předmět koupě a prodeje podle čl. 1 této smlouvy kupní cenu ve výši součinu počtu dodaných balení podle čl. 1 této smlouvy a jednotkových cen tohoto zboží ve výši </w:t>
      </w:r>
      <w:r>
        <w:rPr>
          <w:rStyle w:val="CharStyle3"/>
          <w:b/>
          <w:bCs/>
        </w:rPr>
        <w:t xml:space="preserve">91.200,00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110.352,00 </w:t>
      </w:r>
      <w:r>
        <w:rPr>
          <w:rStyle w:val="CharStyle3"/>
        </w:rPr>
        <w:t>Kč včetně DPH.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A77B4"/>
          <w:lang w:val="en-US" w:eastAsia="en-US" w:bidi="en-US"/>
        </w:rPr>
        <w:t xml:space="preserve"> </w:t>
      </w:r>
      <w:r>
        <w:rPr>
          <w:rStyle w:val="CharStyle3"/>
        </w:rPr>
        <w:t xml:space="preserve">a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P22V00003640.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minimálně 12 měsíců ode dne dodání příslušného zboží. V rámci této záruky se prodávající zavazuje, že zboží podle čl. 1 této smlouvy bude dodáno vždy nové, v neporušeném balení s řádným označením dle platných právních předpisů, a s minimální skladovací životností po celou dobu uvedené záruční lhůty a bude mít po tuto dobu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48 hodin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3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220" w:line="240" w:lineRule="auto"/>
        <w:ind w:left="82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220" w:line="240" w:lineRule="auto"/>
        <w:ind w:left="82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220" w:line="240" w:lineRule="auto"/>
        <w:ind w:left="820" w:right="0" w:hanging="38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220" w:line="240" w:lineRule="auto"/>
        <w:ind w:left="820" w:right="0" w:hanging="38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1.1.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220" w:line="240" w:lineRule="auto"/>
        <w:ind w:left="0" w:right="0" w:firstLine="440"/>
        <w:jc w:val="left"/>
      </w:pPr>
      <w:r>
        <w:rPr>
          <w:rStyle w:val="CharStyle3"/>
        </w:rPr>
        <w:t>Tato smlouva se uzavírá na dobu určitou, a to do 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3" w:val="left"/>
        </w:tabs>
        <w:bidi w:val="0"/>
        <w:spacing w:before="0" w:after="220" w:line="252" w:lineRule="auto"/>
        <w:ind w:left="82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728" w:right="939" w:bottom="1800" w:left="138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278130" distB="1616075" distL="0" distR="0" simplePos="0" relativeHeight="125829380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278130</wp:posOffset>
                </wp:positionV>
                <wp:extent cx="1268095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9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V Ostravě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7.40000000000003pt;margin-top:21.900000000000002pt;width:99.850000000000009pt;height:11.75pt;z-index:-125829373;mso-wrap-distance-left:0;mso-wrap-distance-top:21.900000000000002pt;mso-wrap-distance-right:0;mso-wrap-distance-bottom:12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V Ostravě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80390" distB="771525" distL="21590" distR="381000" simplePos="0" relativeHeight="125829382" behindDoc="0" locked="0" layoutInCell="1" allowOverlap="1">
            <wp:simplePos x="0" y="0"/>
            <wp:positionH relativeFrom="page">
              <wp:posOffset>1184275</wp:posOffset>
            </wp:positionH>
            <wp:positionV relativeFrom="paragraph">
              <wp:posOffset>580390</wp:posOffset>
            </wp:positionV>
            <wp:extent cx="2091055" cy="69469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91055" cy="6946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254000</wp:posOffset>
                </wp:positionV>
                <wp:extent cx="661670" cy="17970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1.549999999999997pt;margin-top:20.pt;width:52.100000000000001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1266190</wp:posOffset>
                </wp:positionV>
                <wp:extent cx="2493010" cy="11303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301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1.549999999999997pt;margin-top:99.700000000000003pt;width:196.30000000000001pt;height:8.90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65150" distB="935990" distL="0" distR="0" simplePos="0" relativeHeight="125829383" behindDoc="0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565150</wp:posOffset>
                </wp:positionV>
                <wp:extent cx="865505" cy="5422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rStyle w:val="CharStyle8"/>
                              </w:rPr>
                              <w:t>Wojciech</w:t>
                              <w:br/>
                              <w:t>Boryczko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0.75pt;margin-top:44.5pt;width:68.150000000000006pt;height:42.700000000000003pt;z-index:-125829370;mso-wrap-distance-left:0;mso-wrap-distance-top:44.5pt;mso-wrap-distance-right:0;mso-wrap-distance-bottom:73.70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rStyle w:val="CharStyle8"/>
                        </w:rPr>
                        <w:t>Wojciech</w:t>
                        <w:br/>
                        <w:t>Boryczko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2450" distB="893445" distL="0" distR="0" simplePos="0" relativeHeight="125829385" behindDoc="0" locked="0" layoutInCell="1" allowOverlap="1">
                <wp:simplePos x="0" y="0"/>
                <wp:positionH relativeFrom="page">
                  <wp:posOffset>5323205</wp:posOffset>
                </wp:positionH>
                <wp:positionV relativeFrom="paragraph">
                  <wp:posOffset>552450</wp:posOffset>
                </wp:positionV>
                <wp:extent cx="792480" cy="59753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597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Elektronicznie podpisany przez Wojciech Boryczko Data: 2022.10.12 11:41:59 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9.15000000000003pt;margin-top:43.5pt;width:62.399999999999999pt;height:47.050000000000004pt;z-index:-125829368;mso-wrap-distance-left:0;mso-wrap-distance-top:43.5pt;mso-wrap-distance-right:0;mso-wrap-distance-bottom:70.35000000000000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Elektronicznie podpisany przez Wojciech Boryczko Data: 2022.10.12 11:41:59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7480" distB="0" distL="0" distR="0" simplePos="0" relativeHeight="125829387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1427480</wp:posOffset>
                </wp:positionV>
                <wp:extent cx="2493010" cy="6159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301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0" w:lineRule="atLeas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Kupující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1300" w:right="200" w:firstLine="0"/>
                              <w:jc w:val="right"/>
                            </w:pPr>
                            <w:r>
                              <w:rPr>
                                <w:rStyle w:val="CharStyle3"/>
                                <w:color w:val="7CD8EB"/>
                              </w:rPr>
                              <w:t xml:space="preserve">Kamenice 798/1 </w:t>
                            </w:r>
                            <w:r>
                              <w:rPr>
                                <w:rStyle w:val="CharStyle3"/>
                                <w:smallCaps/>
                                <w:color w:val="7CD8EB"/>
                              </w:rPr>
                              <w:t xml:space="preserve">h 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mallCaps/>
                                <w:color w:val="7CD8EB"/>
                                <w:sz w:val="12"/>
                                <w:szCs w:val="12"/>
                              </w:rPr>
                              <w:t xml:space="preserve">mcmb ’ </w:t>
                            </w:r>
                            <w:r>
                              <w:rPr>
                                <w:rStyle w:val="CharStyle3"/>
                                <w:color w:val="7CD8EB"/>
                              </w:rPr>
                              <w:t>। a, t&gt;^5 oo Brno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0" w:lineRule="atLeast"/>
                              <w:ind w:left="248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  <w:color w:val="7CD8EB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1.549999999999997pt;margin-top:112.40000000000001pt;width:196.30000000000001pt;height:48.5pt;z-index:-125829366;mso-wrap-distance-left:0;mso-wrap-distance-top:112.4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0" w:lineRule="atLeas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1300" w:right="200" w:firstLine="0"/>
                        <w:jc w:val="right"/>
                      </w:pPr>
                      <w:r>
                        <w:rPr>
                          <w:rStyle w:val="CharStyle3"/>
                          <w:color w:val="7CD8EB"/>
                        </w:rPr>
                        <w:t xml:space="preserve">Kamenice 798/1 </w:t>
                      </w:r>
                      <w:r>
                        <w:rPr>
                          <w:rStyle w:val="CharStyle3"/>
                          <w:smallCaps/>
                          <w:color w:val="7CD8EB"/>
                        </w:rPr>
                        <w:t xml:space="preserve">h </w:t>
                      </w:r>
                      <w:r>
                        <w:rPr>
                          <w:rStyle w:val="CharStyle3"/>
                          <w:i/>
                          <w:iCs/>
                          <w:smallCaps/>
                          <w:color w:val="7CD8EB"/>
                          <w:sz w:val="12"/>
                          <w:szCs w:val="12"/>
                        </w:rPr>
                        <w:t xml:space="preserve">mcmb ’ </w:t>
                      </w:r>
                      <w:r>
                        <w:rPr>
                          <w:rStyle w:val="CharStyle3"/>
                          <w:color w:val="7CD8EB"/>
                        </w:rPr>
                        <w:t>। a, t&gt;^5 oo Brno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0" w:lineRule="atLeast"/>
                        <w:ind w:left="2480" w:right="0" w:firstLine="0"/>
                        <w:jc w:val="left"/>
                      </w:pPr>
                      <w:r>
                        <w:rPr>
                          <w:rStyle w:val="CharStyle16"/>
                          <w:color w:val="7CD8EB"/>
                          <w:sz w:val="17"/>
                          <w:szCs w:val="17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3490" distB="332740" distL="0" distR="0" simplePos="0" relativeHeight="125829389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1253490</wp:posOffset>
                </wp:positionV>
                <wp:extent cx="960120" cy="45720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16"/>
                              </w:rPr>
                              <w:t xml:space="preserve">Wojciech Boryczko prokura </w:t>
                            </w:r>
                            <w:r>
                              <w:rPr>
                                <w:rStyle w:val="CharStyle16"/>
                                <w:b/>
                                <w:b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7.40000000000003pt;margin-top:98.700000000000003pt;width:75.600000000000009pt;height:36.pt;z-index:-125829364;mso-wrap-distance-left:0;mso-wrap-distance-top:98.700000000000003pt;mso-wrap-distance-right:0;mso-wrap-distance-bottom:26.1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16"/>
                        </w:rPr>
                        <w:t xml:space="preserve">Wojciech Boryczko prokura </w:t>
                      </w:r>
                      <w:r>
                        <w:rPr>
                          <w:rStyle w:val="CharStyle16"/>
                          <w:b/>
                          <w:b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Specifikace, ceník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  <w:b/>
          <w:bCs/>
        </w:rPr>
        <w:t>Náplast z umělého hedvábí</w:t>
      </w:r>
    </w:p>
    <w:tbl>
      <w:tblPr>
        <w:tblOverlap w:val="never"/>
        <w:jc w:val="center"/>
        <w:tblLayout w:type="fixed"/>
      </w:tblPr>
      <w:tblGrid>
        <w:gridCol w:w="4546"/>
        <w:gridCol w:w="4291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9"/>
                <w:b/>
                <w:bCs/>
              </w:rPr>
              <w:t xml:space="preserve">SS25009W - </w:t>
            </w:r>
            <w:r>
              <w:rPr>
                <w:rStyle w:val="CharStyle29"/>
                <w:b/>
                <w:bCs/>
                <w:i/>
                <w:iCs/>
              </w:rPr>
              <w:t>Adhezivní páska hedvábná 2,5cm x 9,14m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Model - typové/výrobní označení: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9"/>
                <w:b/>
                <w:bCs/>
                <w:i/>
                <w:iCs/>
              </w:rPr>
              <w:t>SILKplast (12 ks/bal)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9"/>
                <w:b/>
                <w:bCs/>
                <w:i/>
                <w:iCs/>
                <w:color w:val="DC6674"/>
              </w:rPr>
              <w:t>ZARYS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9"/>
                <w:b/>
                <w:bCs/>
                <w:i/>
                <w:iCs/>
              </w:rPr>
              <w:t>24101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Cena za ks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9"/>
                <w:b/>
                <w:bCs/>
                <w:i/>
                <w:iCs/>
                <w:color w:val="DC6674"/>
              </w:rPr>
              <w:t>15,20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Cena za ks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9"/>
                <w:b/>
                <w:bCs/>
                <w:i/>
                <w:iCs/>
                <w:color w:val="DC6674"/>
              </w:rPr>
              <w:t>18,39</w:t>
            </w:r>
          </w:p>
        </w:tc>
      </w:tr>
    </w:tbl>
    <w:p>
      <w:pPr>
        <w:widowControl w:val="0"/>
        <w:spacing w:after="639" w:line="1" w:lineRule="exact"/>
      </w:pPr>
    </w:p>
    <w:tbl>
      <w:tblPr>
        <w:tblOverlap w:val="never"/>
        <w:jc w:val="center"/>
        <w:tblLayout w:type="fixed"/>
      </w:tblPr>
      <w:tblGrid>
        <w:gridCol w:w="830"/>
        <w:gridCol w:w="5136"/>
        <w:gridCol w:w="2702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DFEB1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9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B1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B1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Účastníkem nabízená hodnota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Pevná fixační náplast z umělého hedvábí s kaučukovým lepidlem v bílé barvě.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DC6674"/>
              </w:rPr>
              <w:t>Umělé hedvábí, akrylátové lepidlo, barva bílá, pilovitý okraj pro snadné dělení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Silná přilnavost k pokožce, po odstranění nesmí zanechávat zbytky adheziva.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DC6674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Náplast musí být možnost podélně i napříč snadné roztrhnout, snadná manipulace i při práci v rukavicích.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DC6674"/>
              </w:rPr>
              <w:t>ano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Náplast musí být navinuta na papírovém kotouči, nikoliv na přesahující PVC špulce.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DC6674"/>
              </w:rPr>
              <w:t>Páska navinutá na plastové rolce, která nepřesahuje navenek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Šířka cca 2-3 cm, délky 5 -10 m, typ SILKPORE.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DC6674"/>
              </w:rPr>
              <w:t>2,5 cm x 9,14 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9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Balení: jednotlivé kusy, více kusů v krabici.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DC6674"/>
              </w:rPr>
              <w:t>12 ks v papírové krabičce</w:t>
            </w:r>
          </w:p>
        </w:tc>
      </w:tr>
    </w:tbl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1628" w:right="1140" w:bottom="1268" w:left="1788" w:header="120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9895840</wp:posOffset>
              </wp:positionV>
              <wp:extent cx="217297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729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36-22: Náplasti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.900000000000006pt;margin-top:779.20000000000005pt;width:171.0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36-22: Náplasti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9904730</wp:posOffset>
              </wp:positionV>
              <wp:extent cx="2176145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761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36-22: Náplasti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0.950000000000003pt;margin-top:779.89999999999998pt;width:171.34999999999999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36-22: Náplasti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9904730</wp:posOffset>
              </wp:positionV>
              <wp:extent cx="2176145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761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36-22: Náplasti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0.950000000000003pt;margin-top:779.89999999999998pt;width:171.34999999999999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36-22: Náplasti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Nadpis #2_"/>
    <w:basedOn w:val="DefaultParagraphFont"/>
    <w:link w:val="Style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Nadpis #1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22">
    <w:name w:val="Záhlaví nebo zápatí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  <w:spacing w:line="18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auto"/>
      <w:spacing w:line="233" w:lineRule="auto"/>
      <w:jc w:val="center"/>
      <w:outlineLvl w:val="1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auto"/>
      <w:spacing w:after="3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auto"/>
      <w:spacing w:after="80"/>
      <w:ind w:right="12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21">
    <w:name w:val="Záhlaví nebo zápatí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/Relationships>
</file>