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206" w:h="317" w:wrap="none" w:hAnchor="page" w:x="457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3"/>
          <w:b/>
          <w:bCs/>
        </w:rPr>
        <w:t>RÁMCOVÁ KUPNÍ SMLOUVA</w:t>
      </w:r>
      <w:bookmarkEnd w:id="0"/>
    </w:p>
    <w:p>
      <w:pPr>
        <w:pStyle w:val="Style4"/>
        <w:keepNext w:val="0"/>
        <w:keepLines w:val="0"/>
        <w:framePr w:w="941" w:h="235" w:wrap="none" w:hAnchor="page" w:x="9140" w:y="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5"/>
          <w:sz w:val="16"/>
          <w:szCs w:val="16"/>
        </w:rPr>
        <w:t>2022007603</w:t>
      </w:r>
    </w:p>
    <w:p>
      <w:pPr>
        <w:pStyle w:val="Style7"/>
        <w:keepNext w:val="0"/>
        <w:keepLines w:val="0"/>
        <w:framePr w:w="7862" w:h="509" w:wrap="none" w:hAnchor="page" w:x="2243" w:y="1379"/>
        <w:widowControl w:val="0"/>
        <w:shd w:val="clear" w:color="auto" w:fill="auto"/>
        <w:bidi w:val="0"/>
        <w:spacing w:before="0" w:after="0" w:line="257" w:lineRule="auto"/>
        <w:ind w:left="1280" w:right="0" w:hanging="1280"/>
        <w:jc w:val="left"/>
        <w:rPr>
          <w:sz w:val="20"/>
          <w:szCs w:val="20"/>
        </w:rPr>
      </w:pPr>
      <w:r>
        <w:rPr>
          <w:rStyle w:val="CharStyle8"/>
          <w:sz w:val="20"/>
          <w:szCs w:val="20"/>
        </w:rPr>
        <w:t>uzavřená v souladu s ustanovením § 2079 a násl. zákona č. 89/2012 Sb., občanský zákoník, mezi níže uvedenými smluvními stranami</w:t>
      </w:r>
    </w:p>
    <w:p>
      <w:pPr>
        <w:pStyle w:val="Style7"/>
        <w:keepNext w:val="0"/>
        <w:keepLines w:val="0"/>
        <w:framePr w:w="1454" w:h="1114" w:wrap="none" w:hAnchor="page" w:x="1537" w:y="234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8"/>
        </w:rPr>
        <w:t>Jméno:</w:t>
      </w:r>
    </w:p>
    <w:p>
      <w:pPr>
        <w:pStyle w:val="Style7"/>
        <w:keepNext w:val="0"/>
        <w:keepLines w:val="0"/>
        <w:framePr w:w="1454" w:h="1114" w:wrap="none" w:hAnchor="page" w:x="1537" w:y="2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Sídlo:</w:t>
      </w:r>
    </w:p>
    <w:p>
      <w:pPr>
        <w:pStyle w:val="Style7"/>
        <w:keepNext w:val="0"/>
        <w:keepLines w:val="0"/>
        <w:framePr w:w="1454" w:h="1114" w:wrap="none" w:hAnchor="page" w:x="1537" w:y="2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Jednající:</w:t>
      </w:r>
    </w:p>
    <w:p>
      <w:pPr>
        <w:pStyle w:val="Style7"/>
        <w:keepNext w:val="0"/>
        <w:keepLines w:val="0"/>
        <w:framePr w:w="1454" w:h="1114" w:wrap="none" w:hAnchor="page" w:x="1537" w:y="23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8"/>
        </w:rPr>
        <w:t>Kontaktní osoba:</w:t>
      </w:r>
    </w:p>
    <w:p>
      <w:pPr>
        <w:pStyle w:val="Style7"/>
        <w:keepNext w:val="0"/>
        <w:keepLines w:val="0"/>
        <w:framePr w:w="5342" w:h="893" w:wrap="none" w:hAnchor="page" w:x="4917" w:y="2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Zdravotnická záchranná služba Jihomoravského kraje, příspěvková organizace</w:t>
      </w:r>
    </w:p>
    <w:p>
      <w:pPr>
        <w:pStyle w:val="Style7"/>
        <w:keepNext w:val="0"/>
        <w:keepLines w:val="0"/>
        <w:framePr w:w="5342" w:h="893" w:wrap="none" w:hAnchor="page" w:x="4917" w:y="2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Kamenice 798/1 d, 625 00 Brno</w:t>
      </w:r>
    </w:p>
    <w:p>
      <w:pPr>
        <w:pStyle w:val="Style7"/>
        <w:keepNext w:val="0"/>
        <w:keepLines w:val="0"/>
        <w:framePr w:w="5342" w:h="893" w:wrap="none" w:hAnchor="page" w:x="4917" w:y="2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MUDr. Hana Albrechtová, ředitelka</w:t>
      </w:r>
    </w:p>
    <w:p>
      <w:pPr>
        <w:pStyle w:val="Style7"/>
        <w:keepNext w:val="0"/>
        <w:keepLines w:val="0"/>
        <w:framePr w:w="2544" w:h="715" w:wrap="none" w:hAnchor="page" w:x="1537" w:y="38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DIČ:</w:t>
      </w:r>
    </w:p>
    <w:p>
      <w:pPr>
        <w:pStyle w:val="Style7"/>
        <w:keepNext w:val="0"/>
        <w:keepLines w:val="0"/>
        <w:framePr w:w="2544" w:h="715" w:wrap="none" w:hAnchor="page" w:x="1537" w:y="38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Zápis v OR:</w:t>
      </w:r>
    </w:p>
    <w:p>
      <w:pPr>
        <w:pStyle w:val="Style7"/>
        <w:keepNext w:val="0"/>
        <w:keepLines w:val="0"/>
        <w:framePr w:w="2544" w:h="715" w:wrap="none" w:hAnchor="page" w:x="1537" w:y="38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Bankovní spojení (číslo účtu):</w:t>
      </w:r>
    </w:p>
    <w:p>
      <w:pPr>
        <w:pStyle w:val="Style7"/>
        <w:keepNext w:val="0"/>
        <w:keepLines w:val="0"/>
        <w:framePr w:w="4354" w:h="907" w:wrap="none" w:hAnchor="page" w:x="4926" w:y="3663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00346292</w:t>
      </w:r>
    </w:p>
    <w:p>
      <w:pPr>
        <w:pStyle w:val="Style7"/>
        <w:keepNext w:val="0"/>
        <w:keepLines w:val="0"/>
        <w:framePr w:w="4354" w:h="907" w:wrap="none" w:hAnchor="page" w:x="4926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CZ00346292</w:t>
      </w:r>
    </w:p>
    <w:p>
      <w:pPr>
        <w:pStyle w:val="Style7"/>
        <w:keepNext w:val="0"/>
        <w:keepLines w:val="0"/>
        <w:framePr w:w="4354" w:h="907" w:wrap="none" w:hAnchor="page" w:x="4926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Krajský soud v Brně sp. zn. Pr 1245</w:t>
      </w:r>
    </w:p>
    <w:p>
      <w:pPr>
        <w:pStyle w:val="Style7"/>
        <w:keepNext w:val="0"/>
        <w:keepLines w:val="0"/>
        <w:framePr w:w="4354" w:h="907" w:wrap="none" w:hAnchor="page" w:x="4926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MONETA Money Bank, a.s., č. ú. 117203514/0600</w:t>
      </w:r>
    </w:p>
    <w:p>
      <w:pPr>
        <w:pStyle w:val="Style7"/>
        <w:keepNext w:val="0"/>
        <w:keepLines w:val="0"/>
        <w:framePr w:w="1718" w:h="250" w:wrap="none" w:hAnchor="page" w:x="1537" w:y="4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(dále jen „kupující“)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Jméno: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Sídlo: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Jednající: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Kontaktní osoba: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IČ: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DIČ: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Zápis v OR:</w:t>
      </w:r>
    </w:p>
    <w:p>
      <w:pPr>
        <w:pStyle w:val="Style7"/>
        <w:keepNext w:val="0"/>
        <w:keepLines w:val="0"/>
        <w:framePr w:w="2549" w:h="1790" w:wrap="none" w:hAnchor="page" w:x="1537" w:y="5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Bankovní spojení (číslo účtu):</w:t>
      </w:r>
    </w:p>
    <w:p>
      <w:pPr>
        <w:pStyle w:val="Style7"/>
        <w:keepNext w:val="0"/>
        <w:keepLines w:val="0"/>
        <w:framePr w:w="4997" w:h="1795" w:wrap="none" w:hAnchor="page" w:x="4921" w:y="565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Style w:val="CharStyle8"/>
          <w:b/>
          <w:bCs/>
        </w:rPr>
        <w:t>VAVA.eu s.r.o.</w:t>
      </w:r>
    </w:p>
    <w:p>
      <w:pPr>
        <w:pStyle w:val="Style7"/>
        <w:keepNext w:val="0"/>
        <w:keepLines w:val="0"/>
        <w:framePr w:w="4997" w:h="1795" w:wrap="none" w:hAnchor="page" w:x="4921" w:y="565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Style w:val="CharStyle8"/>
        </w:rPr>
        <w:t>Krchleby 193, 286 01 Čáslav</w:t>
      </w:r>
    </w:p>
    <w:p>
      <w:pPr>
        <w:pStyle w:val="Style7"/>
        <w:keepNext w:val="0"/>
        <w:keepLines w:val="0"/>
        <w:framePr w:w="4997" w:h="1795" w:wrap="none" w:hAnchor="page" w:x="4921" w:y="5651"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r>
        <w:rPr>
          <w:rStyle w:val="CharStyle8"/>
        </w:rPr>
        <w:t>Alexandr Vávra</w:t>
      </w:r>
    </w:p>
    <w:p>
      <w:pPr>
        <w:pStyle w:val="Style7"/>
        <w:keepNext w:val="0"/>
        <w:keepLines w:val="0"/>
        <w:framePr w:w="4997" w:h="1795" w:wrap="none" w:hAnchor="page" w:x="4921" w:y="565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Style w:val="CharStyle8"/>
        </w:rPr>
        <w:t>27932125</w:t>
      </w:r>
    </w:p>
    <w:p>
      <w:pPr>
        <w:pStyle w:val="Style7"/>
        <w:keepNext w:val="0"/>
        <w:keepLines w:val="0"/>
        <w:framePr w:w="4997" w:h="1795" w:wrap="none" w:hAnchor="page" w:x="4921" w:y="565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Style w:val="CharStyle8"/>
        </w:rPr>
        <w:t>CZ27932125</w:t>
      </w:r>
    </w:p>
    <w:p>
      <w:pPr>
        <w:pStyle w:val="Style7"/>
        <w:keepNext w:val="0"/>
        <w:keepLines w:val="0"/>
        <w:framePr w:w="4997" w:h="1795" w:wrap="none" w:hAnchor="page" w:x="4921" w:y="565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Style w:val="CharStyle8"/>
        </w:rPr>
        <w:t>oddíl C, vložka 127381, Městský soud v Praze,10.08.2007 35-9814360217/0100</w:t>
      </w:r>
    </w:p>
    <w:p>
      <w:pPr>
        <w:pStyle w:val="Style7"/>
        <w:keepNext w:val="0"/>
        <w:keepLines w:val="0"/>
        <w:framePr w:w="2002" w:h="250" w:wrap="none" w:hAnchor="page" w:x="1537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(dále jen „prodávající“)</w:t>
      </w:r>
    </w:p>
    <w:p>
      <w:pPr>
        <w:pStyle w:val="Style7"/>
        <w:keepNext w:val="0"/>
        <w:keepLines w:val="0"/>
        <w:framePr w:w="8741" w:h="5309" w:wrap="none" w:hAnchor="page" w:x="1537" w:y="8809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Prodávající je oprávněn na základě svého vlastnického práva nakládat se zbožím ve formě obvazů na popáleniny, jejichž specifikace, včetně jejích jednotkových cen, je uvedena v příloze č. 1, která je nedílnou součástí této smlouvy.</w:t>
      </w:r>
    </w:p>
    <w:p>
      <w:pPr>
        <w:pStyle w:val="Style7"/>
        <w:keepNext w:val="0"/>
        <w:keepLines w:val="0"/>
        <w:framePr w:w="8741" w:h="5309" w:wrap="none" w:hAnchor="page" w:x="1537" w:y="8809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7"/>
        <w:keepNext w:val="0"/>
        <w:keepLines w:val="0"/>
        <w:framePr w:w="8741" w:h="5309" w:wrap="none" w:hAnchor="page" w:x="1537" w:y="8809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Součástí dodávky zboží podle čl. 2 této smlouvy je vždy rovněž dodání dokladů, které se k dodávanému zboží vztahují a návody k použití v českém jazyce.</w:t>
      </w:r>
    </w:p>
    <w:p>
      <w:pPr>
        <w:pStyle w:val="Style7"/>
        <w:keepNext w:val="0"/>
        <w:keepLines w:val="0"/>
        <w:framePr w:w="8741" w:h="5309" w:wrap="none" w:hAnchor="page" w:x="1537" w:y="8809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 xml:space="preserve">Prodávající se zavazuje plnit svůj závazek k dodání zboží podle čl. 1 této smlouvy vždy nejpozději do </w:t>
      </w:r>
      <w:r>
        <w:rPr>
          <w:rStyle w:val="CharStyle8"/>
          <w:b/>
          <w:bCs/>
        </w:rPr>
        <w:t xml:space="preserve">5-ti pracovních dní </w:t>
      </w:r>
      <w:r>
        <w:rPr>
          <w:rStyle w:val="CharStyle8"/>
        </w:rPr>
        <w:t>ode dne účinnosti příslušné dílčí kupní smlouvy. Tento závazek se bude považovat za splněný po předání a převzetí příslušného zboží formou písemného předávacího protokolu, podepsaného oběma stranami. Místem dodání je centrální sklad v sídle zadavatele.</w:t>
      </w:r>
    </w:p>
    <w:p>
      <w:pPr>
        <w:pStyle w:val="Style7"/>
        <w:keepNext w:val="0"/>
        <w:keepLines w:val="0"/>
        <w:framePr w:w="8741" w:h="5309" w:wrap="none" w:hAnchor="page" w:x="1537" w:y="8809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widowControl w:val="0"/>
        <w:spacing w:line="360" w:lineRule="exact"/>
      </w:pPr>
      <w:r>
        <w:drawing>
          <wp:anchor distT="0" distB="219710" distL="0" distR="0" simplePos="0" relativeHeight="62914690" behindDoc="1" locked="0" layoutInCell="1" allowOverlap="1">
            <wp:simplePos x="0" y="0"/>
            <wp:positionH relativeFrom="page">
              <wp:posOffset>5641975</wp:posOffset>
            </wp:positionH>
            <wp:positionV relativeFrom="margin">
              <wp:posOffset>0</wp:posOffset>
            </wp:positionV>
            <wp:extent cx="1487170" cy="4025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402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29" w:right="677" w:bottom="1149" w:left="1536" w:header="10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Kupující se zavazuje zaplatit prodávajícímu za předmět koupě a prodeje podle čl. 1 této smlouvy kupní cenu. Která je součtem jednotkových cen zboží, které jsou uvedeny v příloze č. 1 této smlouvy. Součástí těchto cen jsou veškeré náklady prodávajícího na splnění jeho závazku k dodání zboží podle této smlouvy. Výše uvedené ceny se prodávající zavazuje garantovat po dobu podle čl. 20 této smlouvy. Změna ceny je možná v souvislosti se změnou sazby DPH.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0" w:line="240" w:lineRule="auto"/>
        <w:ind w:left="400" w:right="0" w:hanging="400"/>
        <w:jc w:val="both"/>
      </w:pPr>
      <w:r>
        <w:rPr>
          <w:rStyle w:val="CharStyle8"/>
        </w:rPr>
        <w:t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Faktura/daňový doklad bude doručena elektronicky 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00" w:right="0" w:firstLine="2020"/>
        <w:jc w:val="both"/>
      </w:pPr>
      <w:r>
        <w:rPr>
          <w:rStyle w:val="CharStyle8"/>
        </w:rPr>
        <w:t xml:space="preserve">Na faktuře/daňovém dokladu musí být mimo jiné vždy uvedeno toto číslo veřejné zakázky, ke které se faktura vztahuje: </w:t>
      </w:r>
      <w:r>
        <w:rPr>
          <w:rStyle w:val="CharStyle8"/>
          <w:b/>
          <w:bCs/>
        </w:rPr>
        <w:t xml:space="preserve">P22V00003642. </w:t>
      </w:r>
      <w:r>
        <w:rPr>
          <w:rStyle w:val="CharStyle8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S převodem zboží je podle čl. 1 této smlouvy spojena záruka za jeho jakost v trvání doby použitelnosti vyznačené na zboží, nejméně však v trvání minimálně 36-ti měsíců ode dne dodání příslušného zboží. V rámci záruky se prodávající zavazuje, že zboží podle čl. 1 této smlouvy bude nové, v neporušeném balení s řádným označením, s minimální skladovací životností po celou dobu uvedené záruční lhůty a bude mít po tuto dobu vlastnosti, které jsou stanoveny právními předpisy nebo technickými normami nebo jsou u zboží tohoto druhu obvyklé, a že bude po dobu záruční lhůty bezplatně odstraňovat vady, které se na zboží podle čl. 1 této smlouvy vyskytnou. Vzhledem k povaze příslušného zboží lze provést odstranění reklamované vady jen výměnou vadného zboží za nové bezvadné, a to nejpozději do 48 hodin od doručení příslušné reklamace kupujícího.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Pro případ prodlení se splněním závazku prodávajícího k dodání zboží ve lhůtě podle čl. 4 této smlouvy se prodávající zavazuje platit kupujícímu smluvní pokutu ve výši 0,1 % z kupní ceny podle čl. 7 této smlouvy za každý započatý den tohoto prodlení. Pro případ prodlení s odstraněním vady ve lhůtě podle čl. 9 této smlouvy se prodávající zavazuje platit kupujícímu smluvní pokutu ve výši 0,1% z kupní ceny zboží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28" w:lineRule="auto"/>
        <w:ind w:left="400" w:right="0" w:hanging="400"/>
        <w:jc w:val="both"/>
      </w:pPr>
      <w:r>
        <w:rPr>
          <w:rStyle w:val="CharStyle8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8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8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8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8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8"/>
        </w:rPr>
        <w:t>Tato smlouva nabývá účinnosti po jejím podpisu oběma smluvními stranami dnem jejího uveřejnění v Registru smluv, nejdříve však 1.1.2023.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8"/>
        </w:rPr>
        <w:t>Tato smlouva se uzavírá na dobu určitou do 31. 12. 2024.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760" w:line="252" w:lineRule="auto"/>
        <w:ind w:left="440" w:right="0" w:hanging="440"/>
        <w:jc w:val="both"/>
      </w:pPr>
      <w:r>
        <w:rPr>
          <w:rStyle w:val="CharStyle8"/>
        </w:rPr>
        <w:t>Dáno ve dvou originálních písemných vyhotoveních, z nichž každá ze smluvních stran obdrží po jednom.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1713230" distL="114300" distR="446405" simplePos="0" relativeHeight="125829378" behindDoc="0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88900</wp:posOffset>
                </wp:positionV>
                <wp:extent cx="1728470" cy="11557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V Krchlebech dne 17.10.2022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3.5pt;margin-top:7.pt;width:136.09999999999999pt;height:9.0999999999999996pt;z-index:-125829375;mso-wrap-distance-left:9.pt;mso-wrap-distance-right:35.149999999999999pt;mso-wrap-distance-bottom:134.9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Krchlebech dne 17.10.2022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438785" distB="414655" distL="123190" distR="114300" simplePos="0" relativeHeight="125829380" behindDoc="0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527685</wp:posOffset>
            </wp:positionV>
            <wp:extent cx="2054225" cy="97536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054225" cy="975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433070</wp:posOffset>
                </wp:positionV>
                <wp:extent cx="1728470" cy="1155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5"/>
                                <w:szCs w:val="15"/>
                              </w:rPr>
                              <w:t>VAVA-eo ur.o.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3.5pt;margin-top:34.100000000000001pt;width:136.09999999999999pt;height:9.099999999999999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5"/>
                          <w:szCs w:val="15"/>
                        </w:rPr>
                        <w:t>VAVA-eo ur.o.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1789430</wp:posOffset>
                </wp:positionV>
                <wp:extent cx="1615440" cy="12827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30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5"/>
                                <w:sz w:val="16"/>
                                <w:szCs w:val="16"/>
                              </w:rPr>
                              <w:t>Digitálně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7.65000000000003pt;margin-top:140.90000000000001pt;width:127.2pt;height:10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0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sz w:val="16"/>
                          <w:szCs w:val="16"/>
                        </w:rPr>
                        <w:t>Digitálně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1014730" distL="135890" distR="202565" simplePos="0" relativeHeight="125829381" behindDoc="0" locked="0" layoutInCell="1" allowOverlap="1">
            <wp:simplePos x="0" y="0"/>
            <wp:positionH relativeFrom="page">
              <wp:posOffset>1007745</wp:posOffset>
            </wp:positionH>
            <wp:positionV relativeFrom="paragraph">
              <wp:posOffset>533400</wp:posOffset>
            </wp:positionV>
            <wp:extent cx="1761490" cy="524510"/>
            <wp:wrapSquare wrapText="righ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761490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1073150</wp:posOffset>
                </wp:positionV>
                <wp:extent cx="1377950" cy="44196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7.650000000000006pt;margin-top:84.5pt;width:108.5pt;height:34.80000000000000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 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380490" distB="0" distL="114300" distR="114300" simplePos="0" relativeHeight="125829382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1913890</wp:posOffset>
                </wp:positionV>
                <wp:extent cx="1871345" cy="155575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134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Příloha č. 1 Specifikace, ceník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7.650000000000006pt;margin-top:150.70000000000002pt;width:147.34999999999999pt;height:12.25pt;z-index:-125829371;mso-wrap-distance-left:9.pt;mso-wrap-distance-top:108.7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Příloha č. 1 Specifikace, ceník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8"/>
        </w:rPr>
        <w:t xml:space="preserve">V Brně dne </w:t>
      </w:r>
      <w:r>
        <w:rPr>
          <w:rStyle w:val="CharStyle8"/>
          <w:i/>
          <w:iCs/>
          <w:color w:val="545696"/>
        </w:rPr>
        <w:t>tí</w:t>
      </w:r>
      <w:r>
        <w:rPr>
          <w:rStyle w:val="CharStyle8"/>
          <w:i/>
          <w:iCs/>
        </w:rPr>
        <w:t xml:space="preserve">: </w:t>
      </w:r>
      <w:r>
        <w:rPr>
          <w:rStyle w:val="CharStyle8"/>
          <w:i/>
          <w:iCs/>
          <w:color w:val="545696"/>
        </w:rPr>
        <w:t>k:.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0" w:lineRule="atLeast"/>
        <w:ind w:right="0"/>
        <w:jc w:val="left"/>
      </w:pPr>
      <w:bookmarkStart w:id="2" w:name="bookmark2"/>
      <w:r>
        <w:rPr>
          <w:rStyle w:val="CharStyle19"/>
        </w:rPr>
        <w:t>V A V A pp°</w:t>
      </w:r>
      <w:r>
        <w:rPr>
          <w:rStyle w:val="CharStyle19"/>
          <w:vertAlign w:val="superscript"/>
        </w:rPr>
        <w:t>de</w:t>
      </w:r>
      <w:r>
        <w:rPr>
          <w:rStyle w:val="CharStyle19"/>
        </w:rPr>
        <w:t>P</w:t>
      </w:r>
      <w:r>
        <w:rPr>
          <w:rStyle w:val="CharStyle19"/>
          <w:vertAlign w:val="superscript"/>
        </w:rPr>
        <w:t xml:space="preserve">sa| </w:t>
      </w:r>
      <w:r>
        <w:rPr>
          <w:rStyle w:val="CharStyle19"/>
        </w:rPr>
        <w:t>v n v / '•t</w:t>
      </w:r>
      <w:r>
        <w:rPr>
          <w:rStyle w:val="CharStyle19"/>
          <w:vertAlign w:val="subscript"/>
        </w:rPr>
        <w:t>VAVA eu s r 0</w:t>
      </w:r>
      <w:bookmarkEnd w:id="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720" w:firstLine="0"/>
        <w:jc w:val="right"/>
      </w:pPr>
      <w:r>
        <w:rPr>
          <w:rStyle w:val="CharStyle21"/>
        </w:rPr>
        <w:t>Datum: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180" w:lineRule="auto"/>
        <w:ind w:left="5480" w:right="0" w:firstLine="0"/>
        <w:jc w:val="left"/>
      </w:pPr>
      <w:r>
        <w:rPr>
          <w:rStyle w:val="CharStyle21"/>
          <w:sz w:val="28"/>
          <w:szCs w:val="28"/>
        </w:rPr>
        <w:t xml:space="preserve">U S.r.O. </w:t>
      </w:r>
      <w:r>
        <w:rPr>
          <w:rStyle w:val="CharStyle21"/>
        </w:rPr>
        <w:t>2022.10.17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1477" w:right="1337" w:bottom="1930" w:left="1500" w:header="1049" w:footer="3" w:gutter="0"/>
          <w:cols w:space="720"/>
          <w:noEndnote/>
          <w:rtlGutter w:val="0"/>
          <w:docGrid w:linePitch="360"/>
        </w:sectPr>
      </w:pPr>
      <w:r>
        <w:rPr>
          <w:rStyle w:val="CharStyle21"/>
        </w:rPr>
        <w:t>09:47:44 +02'00'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292100</wp:posOffset>
                </wp:positionV>
                <wp:extent cx="704215" cy="14922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21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Položka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6.100000000000009pt;margin-top:23.pt;width:55.450000000000003pt;height:11.75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Položka č.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1549400</wp:posOffset>
                </wp:positionV>
                <wp:extent cx="716280" cy="14922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Položka č.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6.350000000000009pt;margin-top:122.pt;width:56.399999999999999pt;height:11.75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Položka č. 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8"/>
          <w:b/>
          <w:bCs/>
        </w:rPr>
        <w:t>Příloha č. 1 Specifikace, ceník</w:t>
      </w:r>
    </w:p>
    <w:tbl>
      <w:tblPr>
        <w:tblOverlap w:val="never"/>
        <w:jc w:val="left"/>
        <w:tblLayout w:type="fixed"/>
      </w:tblPr>
      <w:tblGrid>
        <w:gridCol w:w="4440"/>
        <w:gridCol w:w="4138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24"/>
                <w:b/>
                <w:bCs/>
                <w:i/>
                <w:iCs/>
              </w:rPr>
              <w:t>B0404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Výrobce: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24"/>
                <w:b/>
                <w:bCs/>
                <w:i/>
                <w:iCs/>
              </w:rPr>
              <w:t>Water-Jel Technologies LLC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Jednotková cena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24"/>
                <w:b/>
                <w:bCs/>
                <w:i/>
                <w:iCs/>
              </w:rPr>
              <w:t>108,00Kč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Jednotková cena včetně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8" w:h="1037" w:vSpace="408" w:wrap="notBeside" w:vAnchor="text" w:hAnchor="text" w:x="243" w:y="409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24"/>
                <w:b/>
                <w:bCs/>
                <w:i/>
                <w:iCs/>
              </w:rPr>
              <w:t>124,20 Kč</w:t>
            </w:r>
          </w:p>
        </w:tc>
      </w:tr>
    </w:tbl>
    <w:p>
      <w:pPr>
        <w:pStyle w:val="Style27"/>
        <w:keepNext w:val="0"/>
        <w:keepLines w:val="0"/>
        <w:framePr w:w="2966" w:h="274" w:hSpace="242" w:wrap="notBeside" w:vAnchor="text" w:hAnchor="text" w:x="139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8"/>
          <w:b/>
          <w:bCs/>
        </w:rPr>
        <w:t>Obvaz na popáleniny 10 x 10 cm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4440"/>
        <w:gridCol w:w="4133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24"/>
                <w:b/>
                <w:bCs/>
                <w:i/>
                <w:iCs/>
              </w:rPr>
              <w:t>B0818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Výrobce: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24"/>
                <w:b/>
                <w:bCs/>
                <w:i/>
                <w:iCs/>
              </w:rPr>
              <w:t>Water-Jel Technologies LLC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Jednotková cena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24"/>
                <w:b/>
                <w:bCs/>
                <w:i/>
                <w:iCs/>
              </w:rPr>
              <w:t>310,00 Kč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Jednotková cena včetně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8573" w:h="1037" w:vSpace="413" w:wrap="notBeside" w:vAnchor="text" w:hAnchor="text" w:x="245" w:y="414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24"/>
                <w:b/>
                <w:bCs/>
                <w:i/>
                <w:iCs/>
              </w:rPr>
              <w:t>356,50 Kč</w:t>
            </w:r>
          </w:p>
        </w:tc>
      </w:tr>
    </w:tbl>
    <w:p>
      <w:pPr>
        <w:pStyle w:val="Style27"/>
        <w:keepNext w:val="0"/>
        <w:keepLines w:val="0"/>
        <w:framePr w:w="2966" w:h="245" w:hSpace="244" w:wrap="notBeside" w:vAnchor="text" w:hAnchor="text" w:x="139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8"/>
          <w:b/>
          <w:bCs/>
        </w:rPr>
        <w:t>Obvaz na popáleniny 20 x 45 cm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094"/>
        <w:gridCol w:w="4642"/>
        <w:gridCol w:w="2827"/>
      </w:tblGrid>
      <w:tr>
        <w:trPr>
          <w:trHeight w:val="4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DFEBB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b/>
                <w:bCs/>
              </w:rPr>
              <w:t>Požadavky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FEBB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24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EBB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b/>
                <w:bCs/>
              </w:rPr>
              <w:t>Účastníkem nabízená hodnota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Rozměr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10x10 cm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20 x 45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10 x 10 cm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20 x 45 cm</w:t>
            </w:r>
          </w:p>
        </w:tc>
      </w:tr>
      <w:tr>
        <w:trPr>
          <w:trHeight w:val="141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Vlastnosti roušky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both"/>
            </w:pPr>
            <w:r>
              <w:rPr>
                <w:rStyle w:val="CharStyle24"/>
              </w:rPr>
              <w:t>Jednorázové sterilní chladící krytí určené pro základní okamžitou léčbu a ošetření termických popálenin a opařenin prvního, druhého a třetího stupně, během prvních kritických 24 hodin po popálení.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splňuje</w:t>
            </w:r>
          </w:p>
        </w:tc>
      </w:tr>
      <w:tr>
        <w:trPr>
          <w:trHeight w:val="45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Vhodný pro pediatrické pacienty.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splňuje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Připraveno k okamžitému použití.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splňuje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Nelepí se na ránu.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splňuje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Po 1 ks.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ano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Exspirace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36 měsíců.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60 měsíců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Evidence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VZP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rStyle w:val="CharStyle24"/>
              </w:rPr>
              <w:t>Zařazeno v seznamu ZUM, hrazené zdravotní pojišťovnou.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i/>
                <w:iCs/>
              </w:rPr>
              <w:t>ano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777" w:right="1373" w:bottom="1417" w:left="1464" w:header="134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9980930</wp:posOffset>
              </wp:positionV>
              <wp:extent cx="300863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0863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20_2022: Obvazy na popáleniny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8.75pt;margin-top:785.89999999999998pt;width:236.90000000000001pt;height:8.65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20_2022: Obvazy na popáleniny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6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1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1">
    <w:name w:val="Základní text (2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Jiné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auto"/>
      <w:spacing w:after="40" w:line="72" w:lineRule="exact"/>
      <w:ind w:left="2280" w:firstLine="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auto"/>
      <w:spacing w:after="40"/>
      <w:ind w:left="2740" w:right="10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">
    <w:name w:val="Jiné"/>
    <w:basedOn w:val="Normal"/>
    <w:link w:val="CharStyle24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/Relationships>
</file>