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6DF7" w:rsidR="00E2509E" w:rsidP="00E2509E" w:rsidRDefault="00E2509E" w14:paraId="0335614A" w14:textId="77777777">
      <w:pPr>
        <w:pStyle w:val="Nadpis1"/>
      </w:pPr>
      <w:r>
        <w:t xml:space="preserve">Smlouva o poskytování </w:t>
      </w:r>
      <w:r w:rsidR="00072B8E">
        <w:t>konzultačních a vývojových prací</w:t>
      </w:r>
      <w:r>
        <w:t xml:space="preserve"> </w:t>
      </w:r>
      <w:r w:rsidR="008218B1">
        <w:t xml:space="preserve">pro </w:t>
      </w:r>
      <w:r>
        <w:t xml:space="preserve">SW </w:t>
      </w:r>
      <w:r w:rsidR="008218B1">
        <w:t xml:space="preserve">KOS, </w:t>
      </w:r>
      <w:proofErr w:type="spellStart"/>
      <w:r w:rsidR="008218B1">
        <w:t>WebKOSI</w:t>
      </w:r>
      <w:proofErr w:type="spellEnd"/>
      <w:r w:rsidR="00072B8E">
        <w:t xml:space="preserve"> a jeho návazností</w:t>
      </w:r>
    </w:p>
    <w:p w:rsidR="004416FB" w:rsidP="4D75A8B0" w:rsidRDefault="004416FB" w14:paraId="4943AEF2" w14:textId="7416C418">
      <w:pPr>
        <w:pStyle w:val="Normln"/>
        <w:rPr>
          <w:rFonts w:cs="Arial"/>
          <w:sz w:val="22"/>
          <w:szCs w:val="22"/>
        </w:rPr>
      </w:pPr>
    </w:p>
    <w:p w:rsidR="00E2509E" w:rsidRDefault="00E2509E" w14:paraId="449B618A" w14:textId="77777777"/>
    <w:p w:rsidR="00E2509E" w:rsidP="00E2509E" w:rsidRDefault="00E2509E" w14:paraId="17F9CCFE" w14:textId="77777777">
      <w:pPr>
        <w:rPr>
          <w:rFonts w:cs="Arial"/>
          <w:b/>
          <w:bCs/>
          <w:sz w:val="22"/>
          <w:szCs w:val="22"/>
        </w:rPr>
      </w:pPr>
      <w:r>
        <w:rPr>
          <w:rFonts w:cs="Arial"/>
          <w:b/>
          <w:bCs/>
          <w:sz w:val="22"/>
          <w:szCs w:val="22"/>
        </w:rPr>
        <w:t>S</w:t>
      </w:r>
      <w:r w:rsidRPr="00976DF7">
        <w:rPr>
          <w:rFonts w:cs="Arial"/>
          <w:b/>
          <w:bCs/>
          <w:sz w:val="22"/>
          <w:szCs w:val="22"/>
        </w:rPr>
        <w:t>mluvní stran</w:t>
      </w:r>
      <w:r>
        <w:rPr>
          <w:rFonts w:cs="Arial"/>
          <w:b/>
          <w:bCs/>
          <w:sz w:val="22"/>
          <w:szCs w:val="22"/>
        </w:rPr>
        <w:t>y</w:t>
      </w:r>
      <w:r w:rsidRPr="00976DF7">
        <w:rPr>
          <w:rFonts w:cs="Arial"/>
          <w:b/>
          <w:bCs/>
          <w:sz w:val="22"/>
          <w:szCs w:val="22"/>
        </w:rPr>
        <w:t>:</w:t>
      </w:r>
    </w:p>
    <w:p w:rsidRPr="00976DF7" w:rsidR="00E2509E" w:rsidP="00E2509E" w:rsidRDefault="00E2509E" w14:paraId="6539E84A" w14:textId="77777777">
      <w:pPr>
        <w:rPr>
          <w:rFonts w:cs="Arial"/>
          <w:b/>
          <w:bCs/>
          <w:sz w:val="22"/>
          <w:szCs w:val="22"/>
        </w:rPr>
      </w:pPr>
    </w:p>
    <w:p w:rsidRPr="00976DF7" w:rsidR="00E2509E" w:rsidP="00E2509E" w:rsidRDefault="00E2509E" w14:paraId="79914BAD" w14:textId="77777777">
      <w:pPr>
        <w:rPr>
          <w:rFonts w:cs="Arial"/>
          <w:b/>
          <w:bCs/>
          <w:sz w:val="14"/>
          <w:szCs w:val="22"/>
        </w:rPr>
      </w:pPr>
    </w:p>
    <w:p w:rsidRPr="00976DF7" w:rsidR="00E2509E" w:rsidP="00E2509E" w:rsidRDefault="00E2509E" w14:paraId="56112229" w14:textId="77777777">
      <w:pPr>
        <w:rPr>
          <w:rFonts w:cs="Arial"/>
          <w:b/>
          <w:iCs/>
          <w:sz w:val="22"/>
          <w:szCs w:val="22"/>
        </w:rPr>
      </w:pPr>
    </w:p>
    <w:tbl>
      <w:tblPr>
        <w:tblW w:w="9923" w:type="dxa"/>
        <w:tblLook w:val="01E0" w:firstRow="1" w:lastRow="1" w:firstColumn="1" w:lastColumn="1" w:noHBand="0" w:noVBand="0"/>
      </w:tblPr>
      <w:tblGrid>
        <w:gridCol w:w="3260"/>
        <w:gridCol w:w="6663"/>
      </w:tblGrid>
      <w:tr w:rsidRPr="00976DF7" w:rsidR="00E2509E" w:rsidTr="002524AF" w14:paraId="14914EFC" w14:textId="77777777">
        <w:tc>
          <w:tcPr>
            <w:tcW w:w="3260" w:type="dxa"/>
            <w:vAlign w:val="center"/>
          </w:tcPr>
          <w:p w:rsidRPr="00976DF7" w:rsidR="00E2509E" w:rsidP="002524AF" w:rsidRDefault="00E2509E" w14:paraId="6A58518A" w14:textId="77777777">
            <w:pPr>
              <w:spacing w:before="20" w:after="20"/>
              <w:rPr>
                <w:rFonts w:cs="Arial"/>
                <w:sz w:val="22"/>
                <w:szCs w:val="22"/>
              </w:rPr>
            </w:pPr>
            <w:r w:rsidRPr="00976DF7">
              <w:rPr>
                <w:rFonts w:cs="Arial"/>
                <w:sz w:val="22"/>
                <w:szCs w:val="22"/>
              </w:rPr>
              <w:t>Název:</w:t>
            </w:r>
          </w:p>
        </w:tc>
        <w:tc>
          <w:tcPr>
            <w:tcW w:w="6663" w:type="dxa"/>
            <w:vAlign w:val="center"/>
          </w:tcPr>
          <w:p w:rsidRPr="00976DF7" w:rsidR="00E2509E" w:rsidP="002524AF" w:rsidRDefault="00E2509E" w14:paraId="593D0262" w14:textId="77777777">
            <w:pPr>
              <w:spacing w:before="20" w:after="20"/>
              <w:rPr>
                <w:rFonts w:cs="Arial"/>
                <w:b/>
                <w:bCs/>
                <w:sz w:val="22"/>
                <w:szCs w:val="22"/>
              </w:rPr>
            </w:pPr>
            <w:r w:rsidRPr="002A25E0">
              <w:rPr>
                <w:rFonts w:cs="Arial"/>
                <w:b/>
                <w:bCs/>
              </w:rPr>
              <w:t>Akademie múzických umění v Praze</w:t>
            </w:r>
          </w:p>
        </w:tc>
      </w:tr>
      <w:tr w:rsidRPr="00976DF7" w:rsidR="00E2509E" w:rsidTr="002524AF" w14:paraId="17BF1409" w14:textId="77777777">
        <w:tc>
          <w:tcPr>
            <w:tcW w:w="3260" w:type="dxa"/>
          </w:tcPr>
          <w:p w:rsidRPr="00976DF7" w:rsidR="00E2509E" w:rsidP="002524AF" w:rsidRDefault="00E2509E" w14:paraId="258FC3CF" w14:textId="77777777">
            <w:pPr>
              <w:spacing w:before="20" w:after="20"/>
              <w:rPr>
                <w:rFonts w:cs="Arial"/>
                <w:sz w:val="22"/>
                <w:szCs w:val="22"/>
              </w:rPr>
            </w:pPr>
            <w:r w:rsidRPr="00976DF7">
              <w:rPr>
                <w:rFonts w:cs="Arial"/>
                <w:sz w:val="22"/>
                <w:szCs w:val="22"/>
              </w:rPr>
              <w:t>Se sídlem:</w:t>
            </w:r>
          </w:p>
        </w:tc>
        <w:tc>
          <w:tcPr>
            <w:tcW w:w="6663" w:type="dxa"/>
          </w:tcPr>
          <w:p w:rsidRPr="00976DF7" w:rsidR="00E2509E" w:rsidP="002524AF" w:rsidRDefault="00E2509E" w14:paraId="1757A0C3" w14:textId="77777777">
            <w:pPr>
              <w:spacing w:before="20" w:after="20"/>
              <w:rPr>
                <w:rFonts w:cs="Arial"/>
                <w:bCs/>
                <w:sz w:val="22"/>
                <w:szCs w:val="22"/>
              </w:rPr>
            </w:pPr>
            <w:r w:rsidRPr="00940612">
              <w:rPr>
                <w:rFonts w:cs="Arial"/>
                <w:bCs/>
                <w:sz w:val="22"/>
                <w:szCs w:val="22"/>
              </w:rPr>
              <w:t>Malostranské náměstí 12, 118 00 Praha 1</w:t>
            </w:r>
          </w:p>
        </w:tc>
      </w:tr>
      <w:tr w:rsidRPr="00976DF7" w:rsidR="00E2509E" w:rsidTr="002524AF" w14:paraId="54FF0611" w14:textId="77777777">
        <w:tc>
          <w:tcPr>
            <w:tcW w:w="3260" w:type="dxa"/>
          </w:tcPr>
          <w:p w:rsidRPr="00976DF7" w:rsidR="00E2509E" w:rsidP="002524AF" w:rsidRDefault="00E2509E" w14:paraId="187063C8" w14:textId="77777777">
            <w:pPr>
              <w:spacing w:before="20" w:after="20"/>
              <w:rPr>
                <w:rFonts w:cs="Arial"/>
                <w:sz w:val="22"/>
                <w:szCs w:val="22"/>
              </w:rPr>
            </w:pPr>
            <w:r w:rsidRPr="00976DF7">
              <w:rPr>
                <w:rFonts w:cs="Arial"/>
                <w:sz w:val="22"/>
                <w:szCs w:val="22"/>
              </w:rPr>
              <w:t>IČ:</w:t>
            </w:r>
          </w:p>
        </w:tc>
        <w:tc>
          <w:tcPr>
            <w:tcW w:w="6663" w:type="dxa"/>
          </w:tcPr>
          <w:p w:rsidRPr="00976DF7" w:rsidR="00E2509E" w:rsidP="002524AF" w:rsidRDefault="00E2509E" w14:paraId="2AB0A036" w14:textId="77777777">
            <w:pPr>
              <w:spacing w:before="20" w:after="20"/>
              <w:rPr>
                <w:rFonts w:cs="Arial"/>
                <w:bCs/>
                <w:sz w:val="22"/>
                <w:szCs w:val="22"/>
              </w:rPr>
            </w:pPr>
            <w:r w:rsidRPr="00940612">
              <w:rPr>
                <w:rFonts w:cs="Arial"/>
                <w:bCs/>
                <w:sz w:val="22"/>
                <w:szCs w:val="22"/>
              </w:rPr>
              <w:t>61384984</w:t>
            </w:r>
          </w:p>
        </w:tc>
      </w:tr>
      <w:tr w:rsidRPr="00976DF7" w:rsidR="00E2509E" w:rsidTr="002524AF" w14:paraId="1637C222" w14:textId="77777777">
        <w:tc>
          <w:tcPr>
            <w:tcW w:w="3260" w:type="dxa"/>
          </w:tcPr>
          <w:p w:rsidRPr="00976DF7" w:rsidR="00E2509E" w:rsidP="002524AF" w:rsidRDefault="00E2509E" w14:paraId="56989AD5" w14:textId="77777777">
            <w:pPr>
              <w:spacing w:before="20" w:after="20"/>
              <w:rPr>
                <w:rFonts w:cs="Arial"/>
                <w:sz w:val="22"/>
                <w:szCs w:val="22"/>
              </w:rPr>
            </w:pPr>
            <w:r>
              <w:rPr>
                <w:rFonts w:cs="Arial"/>
                <w:sz w:val="22"/>
                <w:szCs w:val="22"/>
              </w:rPr>
              <w:t>B</w:t>
            </w:r>
            <w:r w:rsidRPr="00940612">
              <w:rPr>
                <w:rFonts w:cs="Arial"/>
                <w:sz w:val="22"/>
                <w:szCs w:val="22"/>
              </w:rPr>
              <w:t>ankovní spojení</w:t>
            </w:r>
          </w:p>
        </w:tc>
        <w:tc>
          <w:tcPr>
            <w:tcW w:w="6663" w:type="dxa"/>
          </w:tcPr>
          <w:p w:rsidRPr="00940612" w:rsidR="00E2509E" w:rsidP="002524AF" w:rsidRDefault="00E2509E" w14:paraId="3778C35B" w14:textId="77777777">
            <w:pPr>
              <w:spacing w:before="20" w:after="20"/>
              <w:rPr>
                <w:rFonts w:cs="Arial"/>
                <w:bCs/>
                <w:sz w:val="22"/>
                <w:szCs w:val="22"/>
              </w:rPr>
            </w:pPr>
            <w:r w:rsidRPr="00940612">
              <w:rPr>
                <w:rFonts w:cs="Arial"/>
                <w:bCs/>
                <w:sz w:val="22"/>
                <w:szCs w:val="22"/>
              </w:rPr>
              <w:t xml:space="preserve">Komerční banka, a.s., </w:t>
            </w:r>
          </w:p>
          <w:p w:rsidRPr="00940612" w:rsidR="00E2509E" w:rsidP="002524AF" w:rsidRDefault="00E2509E" w14:paraId="2EEB5C11" w14:textId="77777777">
            <w:pPr>
              <w:spacing w:before="20" w:after="20"/>
              <w:rPr>
                <w:rFonts w:cs="Arial"/>
                <w:bCs/>
                <w:sz w:val="22"/>
                <w:szCs w:val="22"/>
              </w:rPr>
            </w:pPr>
            <w:r>
              <w:rPr>
                <w:rFonts w:cs="Arial"/>
                <w:bCs/>
                <w:sz w:val="22"/>
                <w:szCs w:val="22"/>
              </w:rPr>
              <w:t>Č</w:t>
            </w:r>
            <w:r w:rsidRPr="00940612">
              <w:rPr>
                <w:rFonts w:cs="Arial"/>
                <w:bCs/>
                <w:sz w:val="22"/>
                <w:szCs w:val="22"/>
              </w:rPr>
              <w:t xml:space="preserve">. </w:t>
            </w:r>
            <w:proofErr w:type="spellStart"/>
            <w:r w:rsidRPr="00940612">
              <w:rPr>
                <w:rFonts w:cs="Arial"/>
                <w:bCs/>
                <w:sz w:val="22"/>
                <w:szCs w:val="22"/>
              </w:rPr>
              <w:t>ú.</w:t>
            </w:r>
            <w:proofErr w:type="spellEnd"/>
            <w:r w:rsidRPr="00940612">
              <w:rPr>
                <w:rFonts w:cs="Arial"/>
                <w:bCs/>
                <w:sz w:val="22"/>
                <w:szCs w:val="22"/>
              </w:rPr>
              <w:t>: 19-5373180297/0100</w:t>
            </w:r>
          </w:p>
        </w:tc>
      </w:tr>
      <w:tr w:rsidRPr="00976DF7" w:rsidR="00E2509E" w:rsidTr="002524AF" w14:paraId="6F710AC4" w14:textId="77777777">
        <w:tc>
          <w:tcPr>
            <w:tcW w:w="3260" w:type="dxa"/>
          </w:tcPr>
          <w:p w:rsidRPr="00976DF7" w:rsidR="00E2509E" w:rsidP="002524AF" w:rsidRDefault="00E2509E" w14:paraId="741F508A" w14:textId="2D1B6B6C">
            <w:pPr>
              <w:spacing w:before="20" w:after="20"/>
              <w:rPr>
                <w:rFonts w:cs="Arial"/>
                <w:sz w:val="22"/>
                <w:szCs w:val="22"/>
              </w:rPr>
            </w:pPr>
            <w:r w:rsidRPr="00976DF7">
              <w:rPr>
                <w:rFonts w:cs="Arial"/>
                <w:sz w:val="22"/>
                <w:szCs w:val="22"/>
              </w:rPr>
              <w:t>Zastoupen</w:t>
            </w:r>
            <w:r w:rsidR="00DF37E3">
              <w:rPr>
                <w:rFonts w:cs="Arial"/>
                <w:sz w:val="22"/>
                <w:szCs w:val="22"/>
              </w:rPr>
              <w:t>a</w:t>
            </w:r>
            <w:r w:rsidRPr="00976DF7">
              <w:rPr>
                <w:rFonts w:cs="Arial"/>
                <w:sz w:val="22"/>
                <w:szCs w:val="22"/>
              </w:rPr>
              <w:t>:</w:t>
            </w:r>
          </w:p>
        </w:tc>
        <w:tc>
          <w:tcPr>
            <w:tcW w:w="6663" w:type="dxa"/>
          </w:tcPr>
          <w:p w:rsidRPr="00976DF7" w:rsidR="00E2509E" w:rsidP="002524AF" w:rsidRDefault="009C2D7F" w14:paraId="7061B531" w14:textId="77777777">
            <w:pPr>
              <w:spacing w:before="20" w:after="20"/>
              <w:rPr>
                <w:rFonts w:cs="Arial"/>
                <w:bCs/>
                <w:sz w:val="22"/>
                <w:szCs w:val="22"/>
              </w:rPr>
            </w:pPr>
            <w:r w:rsidRPr="009C2D7F">
              <w:rPr>
                <w:rFonts w:cs="Arial"/>
                <w:bCs/>
                <w:sz w:val="22"/>
                <w:szCs w:val="22"/>
              </w:rPr>
              <w:t>Ing. Tomáš Langer, Ph.D., kvestor</w:t>
            </w:r>
          </w:p>
        </w:tc>
      </w:tr>
    </w:tbl>
    <w:p w:rsidRPr="00976DF7" w:rsidR="00E2509E" w:rsidP="00E2509E" w:rsidRDefault="00E2509E" w14:paraId="5EB6E5AE" w14:textId="77777777">
      <w:pPr>
        <w:rPr>
          <w:rFonts w:cs="Arial"/>
          <w:iCs/>
          <w:sz w:val="22"/>
          <w:szCs w:val="22"/>
        </w:rPr>
      </w:pPr>
    </w:p>
    <w:p w:rsidRPr="00976DF7" w:rsidR="00E2509E" w:rsidP="00E2509E" w:rsidRDefault="00E2509E" w14:paraId="29963461" w14:textId="77777777">
      <w:pPr>
        <w:ind w:firstLine="142"/>
        <w:rPr>
          <w:rFonts w:cs="Arial"/>
          <w:iCs/>
          <w:sz w:val="22"/>
          <w:szCs w:val="22"/>
        </w:rPr>
      </w:pPr>
      <w:r w:rsidRPr="00976DF7">
        <w:rPr>
          <w:rFonts w:cs="Arial"/>
          <w:iCs/>
          <w:sz w:val="22"/>
          <w:szCs w:val="22"/>
        </w:rPr>
        <w:t xml:space="preserve">dále jako „Objednatel“  </w:t>
      </w:r>
    </w:p>
    <w:p w:rsidRPr="00976DF7" w:rsidR="00E2509E" w:rsidP="00E2509E" w:rsidRDefault="00E2509E" w14:paraId="026443DC" w14:textId="77777777">
      <w:pPr>
        <w:ind w:firstLine="142"/>
        <w:rPr>
          <w:rFonts w:cs="Arial"/>
          <w:iCs/>
          <w:sz w:val="22"/>
          <w:szCs w:val="22"/>
        </w:rPr>
      </w:pPr>
    </w:p>
    <w:p w:rsidRPr="00976DF7" w:rsidR="00E2509E" w:rsidP="00E2509E" w:rsidRDefault="00E2509E" w14:paraId="5B8C017F" w14:textId="77777777">
      <w:pPr>
        <w:ind w:firstLine="142"/>
        <w:rPr>
          <w:rFonts w:cs="Arial"/>
          <w:iCs/>
          <w:sz w:val="22"/>
          <w:szCs w:val="22"/>
        </w:rPr>
      </w:pPr>
      <w:r w:rsidRPr="00976DF7">
        <w:rPr>
          <w:rFonts w:cs="Arial"/>
          <w:iCs/>
          <w:sz w:val="22"/>
          <w:szCs w:val="22"/>
        </w:rPr>
        <w:t>a</w:t>
      </w:r>
    </w:p>
    <w:p w:rsidRPr="00976DF7" w:rsidR="00E2509E" w:rsidP="00E2509E" w:rsidRDefault="00E2509E" w14:paraId="25225648" w14:textId="77777777">
      <w:pPr>
        <w:rPr>
          <w:rFonts w:cs="Arial"/>
          <w:iCs/>
          <w:sz w:val="22"/>
          <w:szCs w:val="22"/>
        </w:rPr>
      </w:pPr>
    </w:p>
    <w:tbl>
      <w:tblPr>
        <w:tblW w:w="9923" w:type="dxa"/>
        <w:tblLook w:val="01E0" w:firstRow="1" w:lastRow="1" w:firstColumn="1" w:lastColumn="1" w:noHBand="0" w:noVBand="0"/>
      </w:tblPr>
      <w:tblGrid>
        <w:gridCol w:w="3260"/>
        <w:gridCol w:w="6663"/>
      </w:tblGrid>
      <w:tr w:rsidRPr="00976DF7" w:rsidR="00E2509E" w:rsidTr="002524AF" w14:paraId="06CA20CF" w14:textId="77777777">
        <w:tc>
          <w:tcPr>
            <w:tcW w:w="3260" w:type="dxa"/>
            <w:vAlign w:val="center"/>
          </w:tcPr>
          <w:p w:rsidRPr="00976DF7" w:rsidR="00E2509E" w:rsidP="002524AF" w:rsidRDefault="00E2509E" w14:paraId="3154DD47" w14:textId="77777777">
            <w:pPr>
              <w:spacing w:before="20" w:after="20"/>
              <w:rPr>
                <w:rFonts w:cs="Arial"/>
                <w:sz w:val="22"/>
                <w:szCs w:val="22"/>
              </w:rPr>
            </w:pPr>
            <w:r w:rsidRPr="00976DF7">
              <w:rPr>
                <w:rFonts w:cs="Arial"/>
                <w:sz w:val="22"/>
                <w:szCs w:val="22"/>
              </w:rPr>
              <w:t>Název:</w:t>
            </w:r>
          </w:p>
        </w:tc>
        <w:tc>
          <w:tcPr>
            <w:tcW w:w="6663" w:type="dxa"/>
            <w:vAlign w:val="center"/>
          </w:tcPr>
          <w:p w:rsidRPr="00976DF7" w:rsidR="00E2509E" w:rsidP="002524AF" w:rsidRDefault="00E2509E" w14:paraId="1FB9AD75" w14:textId="77777777">
            <w:pPr>
              <w:spacing w:before="20" w:after="20"/>
              <w:rPr>
                <w:rFonts w:cs="Arial"/>
                <w:b/>
                <w:bCs/>
                <w:sz w:val="22"/>
                <w:szCs w:val="22"/>
              </w:rPr>
            </w:pPr>
            <w:r w:rsidRPr="00976DF7">
              <w:rPr>
                <w:rFonts w:cs="Arial"/>
                <w:b/>
                <w:bCs/>
                <w:sz w:val="22"/>
                <w:szCs w:val="22"/>
              </w:rPr>
              <w:t>ČESKÉ VYSOKÉ UČENÍ TECHNICKÉ V PRAZE</w:t>
            </w:r>
          </w:p>
          <w:p w:rsidRPr="00976DF7" w:rsidR="00E2509E" w:rsidP="002524AF" w:rsidRDefault="00E2509E" w14:paraId="314031FA" w14:textId="77777777">
            <w:pPr>
              <w:spacing w:before="20" w:after="20"/>
              <w:rPr>
                <w:rFonts w:cs="Arial"/>
                <w:b/>
                <w:bCs/>
                <w:sz w:val="22"/>
                <w:szCs w:val="22"/>
              </w:rPr>
            </w:pPr>
            <w:r w:rsidRPr="00976DF7">
              <w:rPr>
                <w:rFonts w:cs="Arial"/>
                <w:b/>
                <w:bCs/>
                <w:sz w:val="22"/>
                <w:szCs w:val="22"/>
              </w:rPr>
              <w:t>Výpočetní a informační centrum</w:t>
            </w:r>
          </w:p>
        </w:tc>
      </w:tr>
      <w:tr w:rsidRPr="00976DF7" w:rsidR="00E2509E" w:rsidTr="002524AF" w14:paraId="481C006B" w14:textId="77777777">
        <w:tc>
          <w:tcPr>
            <w:tcW w:w="3260" w:type="dxa"/>
          </w:tcPr>
          <w:p w:rsidRPr="00976DF7" w:rsidR="00E2509E" w:rsidP="002524AF" w:rsidRDefault="00E2509E" w14:paraId="135968A3" w14:textId="77777777">
            <w:pPr>
              <w:spacing w:before="20" w:after="20"/>
              <w:rPr>
                <w:rFonts w:cs="Arial"/>
                <w:sz w:val="22"/>
                <w:szCs w:val="22"/>
              </w:rPr>
            </w:pPr>
            <w:r w:rsidRPr="00976DF7">
              <w:rPr>
                <w:rFonts w:cs="Arial"/>
                <w:sz w:val="22"/>
                <w:szCs w:val="22"/>
              </w:rPr>
              <w:t>Se sídlem:</w:t>
            </w:r>
          </w:p>
        </w:tc>
        <w:tc>
          <w:tcPr>
            <w:tcW w:w="6663" w:type="dxa"/>
          </w:tcPr>
          <w:p w:rsidRPr="00976DF7" w:rsidR="00E2509E" w:rsidP="002524AF" w:rsidRDefault="00E2509E" w14:paraId="680FFAF9" w14:textId="77777777">
            <w:pPr>
              <w:spacing w:before="20" w:after="20"/>
              <w:rPr>
                <w:rFonts w:cs="Arial"/>
                <w:bCs/>
                <w:sz w:val="22"/>
                <w:szCs w:val="22"/>
              </w:rPr>
            </w:pPr>
            <w:r w:rsidRPr="00976DF7">
              <w:rPr>
                <w:rFonts w:cs="Arial"/>
                <w:bCs/>
                <w:sz w:val="22"/>
                <w:szCs w:val="22"/>
              </w:rPr>
              <w:t>Jugoslávských partyzánů 1580/3, 160 00 Praha 6</w:t>
            </w:r>
          </w:p>
        </w:tc>
      </w:tr>
      <w:tr w:rsidRPr="00976DF7" w:rsidR="00E2509E" w:rsidTr="002524AF" w14:paraId="53DDC43C" w14:textId="77777777">
        <w:tc>
          <w:tcPr>
            <w:tcW w:w="3260" w:type="dxa"/>
          </w:tcPr>
          <w:p w:rsidRPr="00976DF7" w:rsidR="00E2509E" w:rsidP="002524AF" w:rsidRDefault="00E2509E" w14:paraId="7548DA2A" w14:textId="77777777">
            <w:pPr>
              <w:spacing w:before="20" w:after="20"/>
              <w:rPr>
                <w:rFonts w:cs="Arial"/>
                <w:sz w:val="22"/>
                <w:szCs w:val="22"/>
              </w:rPr>
            </w:pPr>
            <w:r w:rsidRPr="00976DF7">
              <w:rPr>
                <w:rFonts w:cs="Arial"/>
                <w:sz w:val="22"/>
                <w:szCs w:val="22"/>
              </w:rPr>
              <w:t>IČ:</w:t>
            </w:r>
          </w:p>
        </w:tc>
        <w:tc>
          <w:tcPr>
            <w:tcW w:w="6663" w:type="dxa"/>
          </w:tcPr>
          <w:p w:rsidRPr="00976DF7" w:rsidR="00E2509E" w:rsidP="002524AF" w:rsidRDefault="00E2509E" w14:paraId="06E68089" w14:textId="77777777">
            <w:pPr>
              <w:spacing w:before="20" w:after="20"/>
              <w:rPr>
                <w:rFonts w:cs="Arial"/>
                <w:bCs/>
                <w:sz w:val="22"/>
                <w:szCs w:val="22"/>
              </w:rPr>
            </w:pPr>
            <w:r w:rsidRPr="00976DF7">
              <w:rPr>
                <w:rFonts w:cs="Arial"/>
                <w:bCs/>
                <w:sz w:val="22"/>
                <w:szCs w:val="22"/>
              </w:rPr>
              <w:t>68407700</w:t>
            </w:r>
          </w:p>
        </w:tc>
      </w:tr>
      <w:tr w:rsidRPr="00976DF7" w:rsidR="00E2509E" w:rsidTr="002524AF" w14:paraId="59785A48" w14:textId="77777777">
        <w:tc>
          <w:tcPr>
            <w:tcW w:w="3260" w:type="dxa"/>
          </w:tcPr>
          <w:p w:rsidRPr="00976DF7" w:rsidR="00E2509E" w:rsidP="002524AF" w:rsidRDefault="00E2509E" w14:paraId="7DBE2209" w14:textId="77777777">
            <w:pPr>
              <w:spacing w:before="20" w:after="20"/>
              <w:rPr>
                <w:rFonts w:cs="Arial"/>
                <w:sz w:val="22"/>
                <w:szCs w:val="22"/>
              </w:rPr>
            </w:pPr>
            <w:r>
              <w:rPr>
                <w:rFonts w:cs="Arial"/>
                <w:sz w:val="22"/>
                <w:szCs w:val="22"/>
              </w:rPr>
              <w:t>B</w:t>
            </w:r>
            <w:r w:rsidRPr="00940612">
              <w:rPr>
                <w:rFonts w:cs="Arial"/>
                <w:sz w:val="22"/>
                <w:szCs w:val="22"/>
              </w:rPr>
              <w:t>ankovní spojení</w:t>
            </w:r>
          </w:p>
        </w:tc>
        <w:tc>
          <w:tcPr>
            <w:tcW w:w="6663" w:type="dxa"/>
          </w:tcPr>
          <w:p w:rsidR="00E2509E" w:rsidP="002524AF" w:rsidRDefault="00E2509E" w14:paraId="022CB739" w14:textId="77777777">
            <w:pPr>
              <w:spacing w:before="20" w:after="20"/>
              <w:rPr>
                <w:rFonts w:cs="Arial"/>
                <w:bCs/>
                <w:sz w:val="22"/>
                <w:szCs w:val="22"/>
              </w:rPr>
            </w:pPr>
            <w:r w:rsidRPr="00940612">
              <w:rPr>
                <w:rFonts w:cs="Arial"/>
                <w:bCs/>
                <w:sz w:val="22"/>
                <w:szCs w:val="22"/>
              </w:rPr>
              <w:t xml:space="preserve">Komerční banka, a.s., </w:t>
            </w:r>
          </w:p>
          <w:p w:rsidRPr="00976DF7" w:rsidR="00E2509E" w:rsidP="002524AF" w:rsidRDefault="00E2509E" w14:paraId="087DB43E" w14:textId="77777777">
            <w:pPr>
              <w:spacing w:before="20" w:after="20"/>
              <w:rPr>
                <w:rFonts w:cs="Arial"/>
                <w:bCs/>
                <w:sz w:val="22"/>
                <w:szCs w:val="22"/>
              </w:rPr>
            </w:pPr>
            <w:proofErr w:type="spellStart"/>
            <w:r>
              <w:rPr>
                <w:rFonts w:cs="Arial"/>
                <w:bCs/>
                <w:sz w:val="22"/>
                <w:szCs w:val="22"/>
              </w:rPr>
              <w:t>Č.ú</w:t>
            </w:r>
            <w:proofErr w:type="spellEnd"/>
            <w:r>
              <w:rPr>
                <w:rFonts w:cs="Arial"/>
                <w:bCs/>
                <w:sz w:val="22"/>
                <w:szCs w:val="22"/>
              </w:rPr>
              <w:t xml:space="preserve">. </w:t>
            </w:r>
            <w:r w:rsidRPr="00940612">
              <w:rPr>
                <w:rFonts w:cs="Arial"/>
                <w:bCs/>
                <w:sz w:val="22"/>
                <w:szCs w:val="22"/>
              </w:rPr>
              <w:t>19-5505450237/0100</w:t>
            </w:r>
          </w:p>
        </w:tc>
      </w:tr>
      <w:tr w:rsidRPr="00976DF7" w:rsidR="00E2509E" w:rsidTr="002524AF" w14:paraId="4509FC09" w14:textId="77777777">
        <w:tc>
          <w:tcPr>
            <w:tcW w:w="3260" w:type="dxa"/>
          </w:tcPr>
          <w:p w:rsidRPr="00976DF7" w:rsidR="00E2509E" w:rsidP="002524AF" w:rsidRDefault="00E2509E" w14:paraId="792C6FFC" w14:textId="0FF4E082">
            <w:pPr>
              <w:spacing w:before="20" w:after="20"/>
              <w:rPr>
                <w:rFonts w:cs="Arial"/>
                <w:sz w:val="22"/>
                <w:szCs w:val="22"/>
              </w:rPr>
            </w:pPr>
            <w:r w:rsidRPr="00976DF7">
              <w:rPr>
                <w:rFonts w:cs="Arial"/>
                <w:sz w:val="22"/>
                <w:szCs w:val="22"/>
              </w:rPr>
              <w:t>Zastoupen</w:t>
            </w:r>
            <w:r w:rsidR="00DF37E3">
              <w:rPr>
                <w:rFonts w:cs="Arial"/>
                <w:sz w:val="22"/>
                <w:szCs w:val="22"/>
              </w:rPr>
              <w:t>a</w:t>
            </w:r>
            <w:r w:rsidRPr="00976DF7">
              <w:rPr>
                <w:rFonts w:cs="Arial"/>
                <w:sz w:val="22"/>
                <w:szCs w:val="22"/>
              </w:rPr>
              <w:t>:</w:t>
            </w:r>
          </w:p>
        </w:tc>
        <w:tc>
          <w:tcPr>
            <w:tcW w:w="6663" w:type="dxa"/>
          </w:tcPr>
          <w:p w:rsidRPr="00976DF7" w:rsidR="00E2509E" w:rsidP="002524AF" w:rsidRDefault="00E2509E" w14:paraId="38D1006C" w14:textId="77777777">
            <w:pPr>
              <w:spacing w:before="20" w:after="20"/>
              <w:rPr>
                <w:rFonts w:cs="Arial"/>
                <w:bCs/>
                <w:sz w:val="22"/>
                <w:szCs w:val="22"/>
              </w:rPr>
            </w:pPr>
            <w:r w:rsidRPr="00976DF7">
              <w:rPr>
                <w:rFonts w:cs="Arial"/>
                <w:bCs/>
                <w:sz w:val="22"/>
                <w:szCs w:val="22"/>
              </w:rPr>
              <w:t>Ing. Marek Kalika, Ph.D., ředitel VIC ČVUT</w:t>
            </w:r>
          </w:p>
        </w:tc>
      </w:tr>
    </w:tbl>
    <w:p w:rsidR="00E2509E" w:rsidP="00E2509E" w:rsidRDefault="00E2509E" w14:paraId="2B16C614" w14:textId="77777777">
      <w:pPr>
        <w:rPr>
          <w:rFonts w:cs="Arial"/>
          <w:iCs/>
          <w:sz w:val="22"/>
          <w:szCs w:val="22"/>
        </w:rPr>
      </w:pPr>
    </w:p>
    <w:p w:rsidRPr="00976DF7" w:rsidR="00E2509E" w:rsidP="00E2509E" w:rsidRDefault="00E2509E" w14:paraId="23B9BAD2" w14:textId="77777777">
      <w:pPr>
        <w:ind w:firstLine="708"/>
        <w:rPr>
          <w:rFonts w:cs="Arial"/>
          <w:iCs/>
          <w:sz w:val="22"/>
          <w:szCs w:val="22"/>
        </w:rPr>
      </w:pPr>
    </w:p>
    <w:p w:rsidR="00E2509E" w:rsidP="00E2509E" w:rsidRDefault="00E2509E" w14:paraId="2740BDB1" w14:textId="77777777">
      <w:r w:rsidRPr="00976DF7">
        <w:rPr>
          <w:rFonts w:cs="Arial"/>
          <w:iCs/>
          <w:sz w:val="22"/>
          <w:szCs w:val="22"/>
        </w:rPr>
        <w:t>dále jako „</w:t>
      </w:r>
      <w:r>
        <w:rPr>
          <w:rFonts w:cs="Arial"/>
          <w:iCs/>
          <w:sz w:val="22"/>
          <w:szCs w:val="22"/>
        </w:rPr>
        <w:t>Poskytovatel</w:t>
      </w:r>
      <w:r w:rsidRPr="00976DF7">
        <w:rPr>
          <w:rFonts w:cs="Arial"/>
          <w:iCs/>
          <w:sz w:val="22"/>
          <w:szCs w:val="22"/>
        </w:rPr>
        <w:t>“.</w:t>
      </w:r>
    </w:p>
    <w:p w:rsidR="00E2509E" w:rsidRDefault="00E2509E" w14:paraId="79B9FA00" w14:textId="77777777"/>
    <w:p w:rsidR="00E2509E" w:rsidRDefault="00E2509E" w14:paraId="6EB8D5DF" w14:textId="77777777">
      <w:pPr>
        <w:spacing w:after="100" w:line="276" w:lineRule="auto"/>
        <w:ind w:left="454"/>
      </w:pPr>
      <w:r>
        <w:br w:type="page"/>
      </w:r>
    </w:p>
    <w:p w:rsidRPr="00E2509E" w:rsidR="00E2509E" w:rsidP="00E2509E" w:rsidRDefault="00E2509E" w14:paraId="43F1C03A" w14:textId="77777777">
      <w:pPr>
        <w:pStyle w:val="Nadpis2"/>
        <w:numPr>
          <w:ilvl w:val="0"/>
          <w:numId w:val="1"/>
        </w:numPr>
      </w:pPr>
      <w:r w:rsidRPr="00E2509E">
        <w:lastRenderedPageBreak/>
        <w:t>Úvodní ustanovení</w:t>
      </w:r>
    </w:p>
    <w:p w:rsidR="00E2509E" w:rsidP="00A5673B" w:rsidRDefault="008218B1" w14:paraId="2C68406C" w14:textId="15A88234">
      <w:pPr>
        <w:pStyle w:val="Odstavecseseznamem"/>
        <w:numPr>
          <w:ilvl w:val="1"/>
          <w:numId w:val="1"/>
        </w:numPr>
        <w:rPr/>
      </w:pPr>
      <w:r w:rsidR="00E2509E">
        <w:rPr/>
        <w:t xml:space="preserve">Objednatel je držitelem licencí </w:t>
      </w:r>
      <w:r w:rsidR="008218B1">
        <w:rPr/>
        <w:t>„software KOS“</w:t>
      </w:r>
      <w:r w:rsidR="00CB6285">
        <w:rPr/>
        <w:t xml:space="preserve"> (včetně webové aplikace prihlaska.amu.cz</w:t>
      </w:r>
      <w:r w:rsidR="0097397F">
        <w:rPr/>
        <w:t>)</w:t>
      </w:r>
      <w:r w:rsidR="677CD177">
        <w:rPr/>
        <w:t xml:space="preserve"> </w:t>
      </w:r>
      <w:r w:rsidR="008218B1">
        <w:rPr/>
        <w:t xml:space="preserve">a „software </w:t>
      </w:r>
      <w:proofErr w:type="spellStart"/>
      <w:r w:rsidR="008218B1">
        <w:rPr/>
        <w:t>WebKOSI</w:t>
      </w:r>
      <w:proofErr w:type="spellEnd"/>
      <w:r w:rsidR="008218B1">
        <w:rPr/>
        <w:t>“</w:t>
      </w:r>
      <w:r w:rsidR="00E2509E">
        <w:rPr/>
        <w:t xml:space="preserve"> dle </w:t>
      </w:r>
      <w:r w:rsidR="008218B1">
        <w:rPr/>
        <w:t>deklarace předmětu licence</w:t>
      </w:r>
      <w:r w:rsidR="00E2509E">
        <w:rPr/>
        <w:t xml:space="preserve"> uzavřené mezi smluvními stranami dne </w:t>
      </w:r>
      <w:r w:rsidR="00A5673B">
        <w:rPr/>
        <w:t>1. 10. 2022</w:t>
      </w:r>
      <w:r w:rsidR="00A5673B">
        <w:rPr/>
        <w:t>.</w:t>
      </w:r>
      <w:proofErr w:type="spellStart"/>
      <w:proofErr w:type="spellEnd"/>
    </w:p>
    <w:p w:rsidR="00E2509E" w:rsidP="00E2509E" w:rsidRDefault="00E2509E" w14:paraId="367C306C" w14:textId="77777777">
      <w:pPr>
        <w:pStyle w:val="Nadpis2"/>
        <w:numPr>
          <w:ilvl w:val="0"/>
          <w:numId w:val="1"/>
        </w:numPr>
      </w:pPr>
      <w:r w:rsidRPr="00E2509E">
        <w:t>Předmět smlouvy</w:t>
      </w:r>
    </w:p>
    <w:p w:rsidR="00E2509E" w:rsidP="00E2509E" w:rsidRDefault="00314A4A" w14:paraId="555A7A1F" w14:textId="77777777">
      <w:pPr>
        <w:pStyle w:val="Odstavecseseznamem"/>
        <w:numPr>
          <w:ilvl w:val="1"/>
          <w:numId w:val="1"/>
        </w:numPr>
      </w:pPr>
      <w:r w:rsidRPr="00314A4A">
        <w:t>Předmětem této Smlouvy je závazek Poskytovatele poskytnout Objednateli za úplatu a za dále stanovených podmínek konzultační</w:t>
      </w:r>
      <w:r>
        <w:t xml:space="preserve"> </w:t>
      </w:r>
      <w:r w:rsidRPr="00314A4A">
        <w:t>služ</w:t>
      </w:r>
      <w:r w:rsidR="00927523">
        <w:t>by</w:t>
      </w:r>
      <w:r>
        <w:t xml:space="preserve"> a vývojové práce související se zlepšováním a rozšiřováním funkcionalit</w:t>
      </w:r>
      <w:r w:rsidR="008218B1">
        <w:t xml:space="preserve"> software</w:t>
      </w:r>
      <w:r w:rsidRPr="00E2509E" w:rsidR="00E2509E">
        <w:t>.</w:t>
      </w:r>
    </w:p>
    <w:p w:rsidR="00E2509E" w:rsidP="00E2509E" w:rsidRDefault="00E2509E" w14:paraId="0B0BDDC4" w14:textId="77777777">
      <w:pPr>
        <w:pStyle w:val="Nadpis2"/>
        <w:numPr>
          <w:ilvl w:val="0"/>
          <w:numId w:val="1"/>
        </w:numPr>
      </w:pPr>
      <w:r w:rsidRPr="00E2509E">
        <w:t>Poskytova</w:t>
      </w:r>
      <w:r>
        <w:t>n</w:t>
      </w:r>
      <w:r w:rsidRPr="00E2509E">
        <w:t>é služby</w:t>
      </w:r>
    </w:p>
    <w:p w:rsidR="00E2509E" w:rsidP="00947EA3" w:rsidRDefault="00E2509E" w14:paraId="61476E42" w14:textId="026FB8C2">
      <w:pPr>
        <w:pStyle w:val="Odstavecseseznamem"/>
        <w:numPr>
          <w:ilvl w:val="1"/>
          <w:numId w:val="1"/>
        </w:numPr>
        <w:spacing w:after="120"/>
        <w:ind w:left="788" w:hanging="431"/>
      </w:pPr>
      <w:r>
        <w:t xml:space="preserve">Rozsah a parametry poskytování </w:t>
      </w:r>
      <w:r w:rsidRPr="00314A4A" w:rsidR="00314A4A">
        <w:t>konzultační</w:t>
      </w:r>
      <w:r w:rsidR="00314A4A">
        <w:t>ch</w:t>
      </w:r>
      <w:r w:rsidRPr="00314A4A" w:rsidR="00314A4A">
        <w:t xml:space="preserve"> služ</w:t>
      </w:r>
      <w:r w:rsidR="00571854">
        <w:t>eb</w:t>
      </w:r>
      <w:r w:rsidRPr="00314A4A" w:rsidR="00314A4A">
        <w:t xml:space="preserve"> a vývojov</w:t>
      </w:r>
      <w:r w:rsidR="00314A4A">
        <w:t>ých</w:t>
      </w:r>
      <w:r w:rsidRPr="00314A4A" w:rsidR="00314A4A">
        <w:t xml:space="preserve"> pr</w:t>
      </w:r>
      <w:r w:rsidR="00314A4A">
        <w:t xml:space="preserve">ací </w:t>
      </w:r>
      <w:r w:rsidR="008218B1">
        <w:t>SW KOS, WEBKOSI</w:t>
      </w:r>
      <w:r w:rsidR="00CB6285">
        <w:t>,</w:t>
      </w:r>
      <w:r w:rsidRPr="00CB6285" w:rsidR="00CB6285">
        <w:rPr>
          <w:rFonts w:cs="Arial"/>
        </w:rPr>
        <w:t xml:space="preserve"> </w:t>
      </w:r>
      <w:r w:rsidR="00CB6285">
        <w:rPr>
          <w:rFonts w:cs="Arial"/>
        </w:rPr>
        <w:t>přihláška (prihlaska.amu.cz)</w:t>
      </w:r>
      <w:r>
        <w:t xml:space="preserve"> – jsou uvedeny v příloze č. 1 této smlouvy.</w:t>
      </w:r>
    </w:p>
    <w:p w:rsidR="00E2509E" w:rsidP="00947EA3" w:rsidRDefault="00314A4A" w14:paraId="0C5DD3D0" w14:textId="77777777">
      <w:pPr>
        <w:pStyle w:val="Odstavecseseznamem"/>
        <w:numPr>
          <w:ilvl w:val="1"/>
          <w:numId w:val="1"/>
        </w:numPr>
        <w:spacing w:after="120"/>
        <w:ind w:left="788" w:hanging="431"/>
      </w:pPr>
      <w:r w:rsidRPr="00314A4A">
        <w:t>Za účelem prokázání realizovaných prací bude Poskytovatel provádět úplnou a přesnou evidenci všech poskytnutých konzultačních služ</w:t>
      </w:r>
      <w:r>
        <w:t>eb</w:t>
      </w:r>
      <w:r w:rsidRPr="00314A4A">
        <w:t xml:space="preserve"> a vývojových prací. Poskytovatel je povinen na vyžádání Objednatele předložit potřebnou dokumentaci o </w:t>
      </w:r>
      <w:r>
        <w:t xml:space="preserve">evidenci </w:t>
      </w:r>
      <w:r w:rsidRPr="00314A4A">
        <w:t>provedených prací</w:t>
      </w:r>
      <w:r w:rsidR="00E2509E">
        <w:t>.</w:t>
      </w:r>
    </w:p>
    <w:p w:rsidR="00E2509E" w:rsidP="00947EA3" w:rsidRDefault="00E2509E" w14:paraId="06939361" w14:textId="2762DC99">
      <w:pPr>
        <w:pStyle w:val="Odstavecseseznamem"/>
        <w:numPr>
          <w:ilvl w:val="1"/>
          <w:numId w:val="1"/>
        </w:numPr>
        <w:spacing w:after="120"/>
        <w:ind w:left="788" w:hanging="431"/>
      </w:pPr>
      <w:r>
        <w:t xml:space="preserve">Kontaktní osoby Objednatele, oprávněné komunikovat a potvrzovat plnění </w:t>
      </w:r>
      <w:r w:rsidRPr="00584C7E" w:rsidR="00584C7E">
        <w:t>konzultační služeb a vývojo</w:t>
      </w:r>
      <w:r w:rsidR="00584C7E">
        <w:t>vých prací</w:t>
      </w:r>
      <w:r w:rsidRPr="00584C7E" w:rsidR="00584C7E">
        <w:t xml:space="preserve"> </w:t>
      </w:r>
      <w:r w:rsidR="008218B1">
        <w:t>SW KOS, WEBKOSI</w:t>
      </w:r>
      <w:r w:rsidR="00CB6285">
        <w:t xml:space="preserve">, </w:t>
      </w:r>
      <w:r w:rsidR="00CB6285">
        <w:rPr>
          <w:rFonts w:cs="Arial"/>
        </w:rPr>
        <w:t>přihláška (prihlaska.amu.cz)</w:t>
      </w:r>
      <w:r>
        <w:t xml:space="preserve"> pro Objednatele, jsou uvedeny v příloze č. 3.</w:t>
      </w:r>
    </w:p>
    <w:p w:rsidR="00E2509E" w:rsidP="00584C7E" w:rsidRDefault="00584C7E" w14:paraId="6689A848" w14:textId="77777777">
      <w:pPr>
        <w:pStyle w:val="Odstavecseseznamem"/>
        <w:numPr>
          <w:ilvl w:val="1"/>
          <w:numId w:val="1"/>
        </w:numPr>
      </w:pPr>
      <w:r w:rsidRPr="00584C7E">
        <w:t>Poskytovatel bude poskytovat dílčí plnění na základě oboustranně odsouhlaseného čtvrtletního plánu prací (dále jen „Plán</w:t>
      </w:r>
      <w:r>
        <w:t xml:space="preserve"> vývojových</w:t>
      </w:r>
      <w:r w:rsidRPr="00584C7E">
        <w:t xml:space="preserve"> prací“).  Objednatele. Bližší postup objednávání dílčích plnění je uveden v</w:t>
      </w:r>
      <w:r w:rsidR="001D08CF">
        <w:t xml:space="preserve"> článku </w:t>
      </w:r>
      <w:r w:rsidR="00571854">
        <w:t>6</w:t>
      </w:r>
      <w:r w:rsidRPr="00584C7E">
        <w:t xml:space="preserve"> této smlouvy.</w:t>
      </w:r>
    </w:p>
    <w:p w:rsidR="00E2509E" w:rsidP="00947EA3" w:rsidRDefault="008218B1" w14:paraId="4A09CD43" w14:textId="7E3487BF">
      <w:pPr>
        <w:pStyle w:val="Odstavecseseznamem"/>
        <w:numPr>
          <w:ilvl w:val="1"/>
          <w:numId w:val="1"/>
        </w:numPr>
        <w:spacing w:after="120"/>
        <w:ind w:left="788" w:hanging="431"/>
      </w:pPr>
      <w:r>
        <w:t>SW KOS, WEBKOSI</w:t>
      </w:r>
      <w:r w:rsidR="00CB6285">
        <w:t>,</w:t>
      </w:r>
      <w:r w:rsidR="0097397F">
        <w:t xml:space="preserve"> </w:t>
      </w:r>
      <w:r w:rsidR="00CB6285">
        <w:rPr>
          <w:rFonts w:cs="Arial"/>
        </w:rPr>
        <w:t>přihláška (prihlaska.amu.cz)</w:t>
      </w:r>
      <w:r w:rsidR="00E2509E">
        <w:t xml:space="preserve"> a </w:t>
      </w:r>
      <w:r w:rsidR="0079428C">
        <w:t>funkcionality</w:t>
      </w:r>
      <w:r w:rsidR="00E2509E">
        <w:t xml:space="preserve"> dodané Poskytovatelem Objednateli budou splňovat požadavky a podmínky této smlouvy a požadavky veškerých zákonných a právních předpisů a podmínek vztahujících se k předmětu této smlouvy.</w:t>
      </w:r>
    </w:p>
    <w:p w:rsidR="00E2509E" w:rsidP="00947EA3" w:rsidRDefault="00E2509E" w14:paraId="75146DE3" w14:textId="77777777">
      <w:pPr>
        <w:pStyle w:val="Odstavecseseznamem"/>
        <w:numPr>
          <w:ilvl w:val="1"/>
          <w:numId w:val="1"/>
        </w:numPr>
        <w:spacing w:after="120"/>
        <w:ind w:left="788" w:hanging="431"/>
      </w:pPr>
      <w:r>
        <w:t>Poskytovatel se zavazuje, že jím dodaná plnění budou způsobilá pro použití ke smluvenému účelu, tj. že budou funkční dle veškeré dodané dokumentace a dle specifikací dohodnutých mezi smluvními stranami, a že si po dobu provozu zachovají smluvené vlastnosti.</w:t>
      </w:r>
    </w:p>
    <w:p w:rsidR="00E2509E" w:rsidP="00947EA3" w:rsidRDefault="00E2509E" w14:paraId="2BC8828B" w14:textId="77777777">
      <w:pPr>
        <w:pStyle w:val="Odstavecseseznamem"/>
        <w:numPr>
          <w:ilvl w:val="1"/>
          <w:numId w:val="1"/>
        </w:numPr>
        <w:spacing w:after="120"/>
        <w:ind w:left="788" w:hanging="431"/>
      </w:pPr>
      <w:r>
        <w:t>Předmětem plnění na straně Objednatele je poskytnutí potřebné součinnosti Poskytovateli, převzetí předmětu plnění a zaplacení ceny</w:t>
      </w:r>
      <w:r w:rsidR="0079428C">
        <w:t xml:space="preserve"> služeb</w:t>
      </w:r>
      <w:r>
        <w:t>.</w:t>
      </w:r>
    </w:p>
    <w:p w:rsidRPr="00E2509E" w:rsidR="00E2509E" w:rsidP="00947EA3" w:rsidRDefault="00E2509E" w14:paraId="4644E9AF" w14:textId="77777777">
      <w:pPr>
        <w:pStyle w:val="Odstavecseseznamem"/>
        <w:numPr>
          <w:ilvl w:val="1"/>
          <w:numId w:val="1"/>
        </w:numPr>
        <w:spacing w:after="120"/>
        <w:ind w:left="788" w:hanging="431"/>
      </w:pPr>
      <w:r>
        <w:t xml:space="preserve">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w:t>
      </w:r>
      <w:r>
        <w:lastRenderedPageBreak/>
        <w:t>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w:t>
      </w:r>
      <w:r w:rsidR="0079428C">
        <w:t>.</w:t>
      </w:r>
    </w:p>
    <w:p w:rsidR="00E2509E" w:rsidP="00E2509E" w:rsidRDefault="00E2509E" w14:paraId="5CC5BA96" w14:textId="77777777">
      <w:pPr>
        <w:pStyle w:val="Nadpis2"/>
        <w:numPr>
          <w:ilvl w:val="0"/>
          <w:numId w:val="1"/>
        </w:numPr>
      </w:pPr>
      <w:r w:rsidRPr="00E2509E">
        <w:t>Termíny plnění, místo plnění</w:t>
      </w:r>
    </w:p>
    <w:p w:rsidR="00E2509E" w:rsidP="00E2509E" w:rsidRDefault="00E2509E" w14:paraId="2893E86E" w14:textId="77777777">
      <w:pPr>
        <w:pStyle w:val="Odstavecseseznamem"/>
        <w:numPr>
          <w:ilvl w:val="1"/>
          <w:numId w:val="1"/>
        </w:numPr>
      </w:pPr>
      <w:r w:rsidRPr="00E2509E">
        <w:t xml:space="preserve">Poskytovatel bude poskytovat vyžádané služby podle </w:t>
      </w:r>
      <w:r w:rsidRPr="001D08CF">
        <w:t xml:space="preserve">článku </w:t>
      </w:r>
      <w:r w:rsidRPr="001D08CF" w:rsidR="001D08CF">
        <w:t>5</w:t>
      </w:r>
      <w:r w:rsidRPr="001D08CF">
        <w:t xml:space="preserve"> smlouvy</w:t>
      </w:r>
      <w:r w:rsidRPr="00E2509E">
        <w:t xml:space="preserve"> průběžně po celou dobu platnosti této smlouvy, a to v režimu </w:t>
      </w:r>
      <w:r w:rsidR="00584C7E">
        <w:t xml:space="preserve">plnění </w:t>
      </w:r>
      <w:r w:rsidR="0079428C">
        <w:t xml:space="preserve">Plánu </w:t>
      </w:r>
      <w:r w:rsidR="00584C7E">
        <w:t xml:space="preserve">vývojových </w:t>
      </w:r>
      <w:r w:rsidR="0079428C">
        <w:t>prací</w:t>
      </w:r>
      <w:r w:rsidRPr="00E2509E">
        <w:t>.</w:t>
      </w:r>
    </w:p>
    <w:p w:rsidR="00A8661B" w:rsidP="00E2509E" w:rsidRDefault="00A8661B" w14:paraId="4D4898EE" w14:textId="77777777">
      <w:pPr>
        <w:pStyle w:val="Odstavecseseznamem"/>
        <w:numPr>
          <w:ilvl w:val="1"/>
          <w:numId w:val="1"/>
        </w:numPr>
      </w:pPr>
      <w:r>
        <w:t xml:space="preserve">Místo plnění </w:t>
      </w:r>
      <w:r w:rsidR="0052382C">
        <w:t xml:space="preserve">je sídlo Objednatele, v případě potřeby lze upravit </w:t>
      </w:r>
      <w:r>
        <w:t xml:space="preserve">v rámci Plánu </w:t>
      </w:r>
      <w:r w:rsidR="00584C7E">
        <w:t xml:space="preserve">vývojových </w:t>
      </w:r>
      <w:r>
        <w:t>prací</w:t>
      </w:r>
      <w:r w:rsidR="0052382C">
        <w:t xml:space="preserve"> dohodou na jiném místě.</w:t>
      </w:r>
    </w:p>
    <w:p w:rsidR="001C16EB" w:rsidP="00E2509E" w:rsidRDefault="001C16EB" w14:paraId="751FBB8C" w14:textId="77777777">
      <w:pPr>
        <w:pStyle w:val="Odstavecseseznamem"/>
        <w:numPr>
          <w:ilvl w:val="1"/>
          <w:numId w:val="1"/>
        </w:numPr>
      </w:pPr>
      <w:r w:rsidRPr="001C16EB">
        <w:t>Veškerý servisní personál i všichni ostatní zaměstnanci či zástupci Poskytovatele, kteří se budou podílet na plnění předmětu této Smlouvy, jsou povinni dodržovat interní předpisy Objednatele, se kterými bude Objednatelem prokazatelně seznámen, týkající se bezpečnosti a důvěrného charakteru informací, tvořících předmět obchodního tajemství Objednatele, s nimiž při plnění závazků vyplývajících z této Smlouvy přijdou do styku</w:t>
      </w:r>
      <w:r>
        <w:t>.</w:t>
      </w:r>
    </w:p>
    <w:p w:rsidR="001C16EB" w:rsidP="00E2509E" w:rsidRDefault="001C16EB" w14:paraId="5D6AE8F0" w14:textId="77777777">
      <w:pPr>
        <w:pStyle w:val="Odstavecseseznamem"/>
        <w:numPr>
          <w:ilvl w:val="1"/>
          <w:numId w:val="1"/>
        </w:numPr>
      </w:pPr>
      <w:r w:rsidRPr="001C16EB">
        <w:t>Určené osoby Poskytovatele podílející se na plnění této Smlouvy, jsou oprávněni vstupovat do objektů Objednatele, které budou dohodnuty mezi kontaktními osobami smluvních stran. Poskytovatel se zavazuje, řídit se při plnění této Smlouvy v objektech Objednatele jejich interními předpisy a dodržovat interní bezpečnostní pravidla a opatření, se kterými bude Objednatelem prokazatelně seznámen. Poskytovatel souhlasí též se sledováním a zaznamenáváním své činnosti při plnění této Smlouvy.</w:t>
      </w:r>
    </w:p>
    <w:p w:rsidR="00E2509E" w:rsidP="0079428C" w:rsidRDefault="0079428C" w14:paraId="1963EF14" w14:textId="77777777">
      <w:pPr>
        <w:pStyle w:val="Nadpis2"/>
        <w:numPr>
          <w:ilvl w:val="0"/>
          <w:numId w:val="1"/>
        </w:numPr>
      </w:pPr>
      <w:r w:rsidRPr="0079428C">
        <w:t>Výzva k poskytnutí plnění</w:t>
      </w:r>
    </w:p>
    <w:p w:rsidR="0079428C" w:rsidP="0079428C" w:rsidRDefault="00584C7E" w14:paraId="29D79ADF" w14:textId="77777777">
      <w:pPr>
        <w:pStyle w:val="Odstavecseseznamem"/>
        <w:numPr>
          <w:ilvl w:val="1"/>
          <w:numId w:val="1"/>
        </w:numPr>
      </w:pPr>
      <w:r w:rsidRPr="00584C7E">
        <w:t xml:space="preserve">Objednatel je povinen projednat s Poskytovatelem čtvrtletní Plán </w:t>
      </w:r>
      <w:r>
        <w:t xml:space="preserve">vývojových </w:t>
      </w:r>
      <w:r w:rsidRPr="00584C7E">
        <w:t xml:space="preserve">prací a vzájemně ho písemně prostřednictvím kontaktních osob potvrdit. Takto připravený Plán </w:t>
      </w:r>
      <w:r>
        <w:t xml:space="preserve">vývojových </w:t>
      </w:r>
      <w:r w:rsidRPr="00584C7E">
        <w:t>prací je podkladem pro Objednávku prací</w:t>
      </w:r>
      <w:r w:rsidR="0079428C">
        <w:t>.</w:t>
      </w:r>
    </w:p>
    <w:p w:rsidR="008218B1" w:rsidP="0079428C" w:rsidRDefault="008218B1" w14:paraId="4F5D373A" w14:textId="77777777">
      <w:pPr>
        <w:pStyle w:val="Odstavecseseznamem"/>
        <w:numPr>
          <w:ilvl w:val="1"/>
          <w:numId w:val="1"/>
        </w:numPr>
      </w:pPr>
      <w:r>
        <w:t>Požadavky objednatele</w:t>
      </w:r>
      <w:r w:rsidR="0061013F">
        <w:t xml:space="preserve"> bude Poskytovatel zpracovávat jako odhad rozsahu práce pro přípravu Plánu vývojových prací maximálně do tří týdnů po obdržení požadavku.</w:t>
      </w:r>
    </w:p>
    <w:p w:rsidR="00A8661B" w:rsidP="00E2509E" w:rsidRDefault="00584C7E" w14:paraId="461C7A38" w14:textId="77777777">
      <w:pPr>
        <w:pStyle w:val="Odstavecseseznamem"/>
        <w:numPr>
          <w:ilvl w:val="1"/>
          <w:numId w:val="1"/>
        </w:numPr>
      </w:pPr>
      <w:r w:rsidRPr="00584C7E">
        <w:t>Na základě písemné Objednávky doručené nejpozději 10 pracovních dnů před požadovaným zahájením plnění, obsahující přesnou specifikaci dílčího plnění a požadovaný termín plnění zahájí Poskytovatel plnění</w:t>
      </w:r>
      <w:r>
        <w:t>.</w:t>
      </w:r>
    </w:p>
    <w:p w:rsidR="00584C7E" w:rsidP="00E2509E" w:rsidRDefault="00584C7E" w14:paraId="4D89A17E" w14:textId="77777777">
      <w:pPr>
        <w:pStyle w:val="Odstavecseseznamem"/>
        <w:numPr>
          <w:ilvl w:val="1"/>
          <w:numId w:val="1"/>
        </w:numPr>
      </w:pPr>
      <w:r w:rsidRPr="00584C7E">
        <w:t xml:space="preserve">Poskytovatel je povinen </w:t>
      </w:r>
      <w:r>
        <w:t>po</w:t>
      </w:r>
      <w:r w:rsidRPr="00584C7E">
        <w:t xml:space="preserve"> obdržení Objednávky prací</w:t>
      </w:r>
      <w:r w:rsidR="00CA4BBE">
        <w:t xml:space="preserve"> </w:t>
      </w:r>
      <w:r w:rsidRPr="00584C7E">
        <w:t xml:space="preserve">zahájit plnění s požadovaným termínem </w:t>
      </w:r>
      <w:r w:rsidR="00CA4BBE">
        <w:t>dle Plánu vývojových prací</w:t>
      </w:r>
      <w:r w:rsidRPr="00584C7E">
        <w:t xml:space="preserve"> nebo Objednávku s dostatečným zdůvodněním nebo s protinávrhem vrátit jako neakceptovatelnou.</w:t>
      </w:r>
    </w:p>
    <w:p w:rsidR="0061013F" w:rsidP="00E2509E" w:rsidRDefault="0061013F" w14:paraId="34052EDF" w14:textId="0756D716" w14:noSpellErr="1">
      <w:pPr>
        <w:pStyle w:val="Odstavecseseznamem"/>
        <w:numPr>
          <w:ilvl w:val="1"/>
          <w:numId w:val="1"/>
        </w:numPr>
        <w:rPr/>
      </w:pPr>
      <w:bookmarkStart w:name="_Hlk115295552" w:id="5"/>
      <w:r w:rsidR="0061013F">
        <w:rPr/>
        <w:t xml:space="preserve">Pro zajištění udržitelnosti a kvality prací se předpokládá maximální plnění </w:t>
      </w:r>
      <w:r w:rsidR="004824C6">
        <w:rPr/>
        <w:t>podle Přílohy č. 1 této Smlouvy.</w:t>
      </w:r>
    </w:p>
    <w:bookmarkEnd w:id="5"/>
    <w:p w:rsidR="00571854" w:rsidP="00571854" w:rsidRDefault="00571854" w14:paraId="45E40185" w14:textId="77777777">
      <w:pPr>
        <w:pStyle w:val="Nadpis2"/>
        <w:numPr>
          <w:ilvl w:val="0"/>
          <w:numId w:val="1"/>
        </w:numPr>
      </w:pPr>
      <w:r w:rsidRPr="00CA4BBE">
        <w:lastRenderedPageBreak/>
        <w:t>Dílčí plnění</w:t>
      </w:r>
    </w:p>
    <w:p w:rsidR="00571854" w:rsidP="00571854" w:rsidRDefault="00571854" w14:paraId="571B235B" w14:textId="77777777">
      <w:pPr>
        <w:pStyle w:val="Odstavecseseznamem"/>
        <w:numPr>
          <w:ilvl w:val="1"/>
          <w:numId w:val="1"/>
        </w:numPr>
      </w:pPr>
      <w:r w:rsidRPr="00CA4BBE">
        <w:t xml:space="preserve">Poskytovatel realizuje předmět smlouvy postupně po logických celcích dle Objednávek podle </w:t>
      </w:r>
      <w:r>
        <w:t>článku</w:t>
      </w:r>
      <w:r w:rsidRPr="00CA4BBE">
        <w:t xml:space="preserve"> </w:t>
      </w:r>
      <w:r w:rsidRPr="00571854">
        <w:t>5.</w:t>
      </w:r>
    </w:p>
    <w:p w:rsidRPr="00CA4BBE" w:rsidR="00571854" w:rsidP="00571854" w:rsidRDefault="00571854" w14:paraId="4728444F" w14:textId="77777777">
      <w:pPr>
        <w:pStyle w:val="Odstavecseseznamem"/>
        <w:numPr>
          <w:ilvl w:val="1"/>
          <w:numId w:val="1"/>
        </w:numPr>
      </w:pPr>
      <w:r w:rsidRPr="00CA4BBE">
        <w:t>Akceptace dílčích částí předmětu smlouvy probíhá samostatně za každé dílčí plnění. Případné odmítnutí jednoho dílčího plnění není důvodem k odmítnutí ostatních dílčích plnění.</w:t>
      </w:r>
    </w:p>
    <w:p w:rsidR="0079428C" w:rsidP="001B488E" w:rsidRDefault="001B488E" w14:paraId="6ED153E7" w14:textId="77777777">
      <w:pPr>
        <w:pStyle w:val="Nadpis2"/>
        <w:numPr>
          <w:ilvl w:val="0"/>
          <w:numId w:val="1"/>
        </w:numPr>
      </w:pPr>
      <w:r w:rsidRPr="001B488E">
        <w:t>Termín zahá</w:t>
      </w:r>
      <w:r w:rsidR="00A8661B">
        <w:t>jení</w:t>
      </w:r>
      <w:r w:rsidR="00A83800">
        <w:t xml:space="preserve"> a dokončení</w:t>
      </w:r>
    </w:p>
    <w:p w:rsidR="00E2509E" w:rsidP="001B488E" w:rsidRDefault="00CA4BBE" w14:paraId="6F8CB083" w14:textId="77777777">
      <w:pPr>
        <w:pStyle w:val="Odstavecseseznamem"/>
        <w:numPr>
          <w:ilvl w:val="1"/>
          <w:numId w:val="1"/>
        </w:numPr>
      </w:pPr>
      <w:r w:rsidRPr="00CA4BBE">
        <w:t xml:space="preserve">Poskytovatel je povinen zahájit práce na části každého díla nejpozději v termínu sjednaném a potvrzeném v Objednávce akceptované dle </w:t>
      </w:r>
      <w:r w:rsidR="00571854">
        <w:t>článku 6</w:t>
      </w:r>
      <w:r w:rsidRPr="00CA4BBE">
        <w:t xml:space="preserve"> </w:t>
      </w:r>
      <w:r>
        <w:t xml:space="preserve">této </w:t>
      </w:r>
      <w:r w:rsidRPr="00CA4BBE">
        <w:t>smlouvy</w:t>
      </w:r>
      <w:r w:rsidR="0052382C">
        <w:t>.</w:t>
      </w:r>
    </w:p>
    <w:p w:rsidR="00CA4BBE" w:rsidP="001B488E" w:rsidRDefault="00CA4BBE" w14:paraId="035C8B81" w14:textId="77777777">
      <w:pPr>
        <w:pStyle w:val="Odstavecseseznamem"/>
        <w:numPr>
          <w:ilvl w:val="1"/>
          <w:numId w:val="1"/>
        </w:numPr>
      </w:pPr>
      <w:r w:rsidRPr="00CA4BBE">
        <w:t xml:space="preserve">Poskytovatel je povinen řádně dokončit práce na každé části díla v termínech sjednaných v každé Objednávce akceptované podle </w:t>
      </w:r>
      <w:r w:rsidR="00571854">
        <w:t>článku 6</w:t>
      </w:r>
      <w:r>
        <w:t xml:space="preserve"> této</w:t>
      </w:r>
      <w:r w:rsidRPr="00CA4BBE">
        <w:t xml:space="preserve"> smlouvy</w:t>
      </w:r>
      <w:r>
        <w:t>.</w:t>
      </w:r>
    </w:p>
    <w:p w:rsidR="001B488E" w:rsidP="001C16EB" w:rsidRDefault="001C16EB" w14:paraId="1060755C" w14:textId="77777777">
      <w:pPr>
        <w:pStyle w:val="Nadpis2"/>
        <w:numPr>
          <w:ilvl w:val="0"/>
          <w:numId w:val="1"/>
        </w:numPr>
      </w:pPr>
      <w:r w:rsidRPr="001C16EB">
        <w:t>Cena předmětu smlouvy a její splatnost</w:t>
      </w:r>
    </w:p>
    <w:p w:rsidR="00947EA3" w:rsidP="00947EA3" w:rsidRDefault="002A1E56" w14:paraId="5F830550" w14:textId="77777777">
      <w:pPr>
        <w:pStyle w:val="Odstavecseseznamem"/>
        <w:numPr>
          <w:ilvl w:val="1"/>
          <w:numId w:val="1"/>
        </w:numPr>
      </w:pPr>
      <w:r>
        <w:t>Cen</w:t>
      </w:r>
      <w:r w:rsidR="00571854">
        <w:t>y</w:t>
      </w:r>
      <w:r>
        <w:t xml:space="preserve"> </w:t>
      </w:r>
      <w:r w:rsidRPr="00A466F4" w:rsidR="00A466F4">
        <w:t xml:space="preserve">za </w:t>
      </w:r>
      <w:bookmarkStart w:name="_Hlk108477105" w:id="7"/>
      <w:r w:rsidRPr="002A1E56">
        <w:t>konzultační služ</w:t>
      </w:r>
      <w:r>
        <w:t>by</w:t>
      </w:r>
      <w:r w:rsidRPr="002A1E56">
        <w:t xml:space="preserve"> a vývojové práce</w:t>
      </w:r>
      <w:bookmarkEnd w:id="7"/>
      <w:r w:rsidRPr="002A1E56">
        <w:t xml:space="preserve"> </w:t>
      </w:r>
      <w:r w:rsidRPr="00A466F4" w:rsidR="00A466F4">
        <w:t>jsou stanoveny v Příloze č. 2</w:t>
      </w:r>
      <w:r w:rsidR="00947EA3">
        <w:t>.</w:t>
      </w:r>
    </w:p>
    <w:p w:rsidR="00947EA3" w:rsidP="00947EA3" w:rsidRDefault="002A1E56" w14:paraId="406FC56C" w14:textId="77777777">
      <w:pPr>
        <w:pStyle w:val="Odstavecseseznamem"/>
        <w:numPr>
          <w:ilvl w:val="1"/>
          <w:numId w:val="1"/>
        </w:numPr>
        <w:rPr>
          <w:lang w:eastAsia="en-US"/>
        </w:rPr>
      </w:pPr>
      <w:r w:rsidRPr="002A1E56">
        <w:rPr>
          <w:lang w:eastAsia="en-US"/>
        </w:rPr>
        <w:t xml:space="preserve">Fakturace za konzultační služby a vývojové práce bude probíhat </w:t>
      </w:r>
      <w:r>
        <w:rPr>
          <w:lang w:eastAsia="en-US"/>
        </w:rPr>
        <w:t>vždy na základě splnění objednávky</w:t>
      </w:r>
      <w:r w:rsidRPr="002A1E56">
        <w:rPr>
          <w:lang w:eastAsia="en-US"/>
        </w:rPr>
        <w:t xml:space="preserve"> </w:t>
      </w:r>
      <w:r>
        <w:rPr>
          <w:lang w:eastAsia="en-US"/>
        </w:rPr>
        <w:t>či dílčího plnění a</w:t>
      </w:r>
      <w:r w:rsidRPr="002A1E56">
        <w:rPr>
          <w:lang w:eastAsia="en-US"/>
        </w:rPr>
        <w:t xml:space="preserve"> podkladem pro fakturace </w:t>
      </w:r>
      <w:r>
        <w:rPr>
          <w:lang w:eastAsia="en-US"/>
        </w:rPr>
        <w:t xml:space="preserve">bude </w:t>
      </w:r>
      <w:r w:rsidRPr="002A1E56">
        <w:rPr>
          <w:lang w:eastAsia="en-US"/>
        </w:rPr>
        <w:t xml:space="preserve">výkaz </w:t>
      </w:r>
      <w:r>
        <w:rPr>
          <w:lang w:eastAsia="en-US"/>
        </w:rPr>
        <w:t>realizovaných</w:t>
      </w:r>
      <w:r w:rsidRPr="002A1E56">
        <w:rPr>
          <w:lang w:eastAsia="en-US"/>
        </w:rPr>
        <w:t xml:space="preserve"> prací</w:t>
      </w:r>
      <w:r w:rsidR="00947EA3">
        <w:rPr>
          <w:lang w:eastAsia="en-US"/>
        </w:rPr>
        <w:t xml:space="preserve">. </w:t>
      </w:r>
    </w:p>
    <w:p w:rsidR="00947EA3" w:rsidP="00947EA3" w:rsidRDefault="00947EA3" w14:paraId="1AF5A7A3" w14:textId="77777777">
      <w:pPr>
        <w:pStyle w:val="Odstavecseseznamem"/>
        <w:numPr>
          <w:ilvl w:val="1"/>
          <w:numId w:val="1"/>
        </w:numPr>
        <w:rPr>
          <w:lang w:eastAsia="en-US"/>
        </w:rPr>
      </w:pPr>
      <w:r>
        <w:rPr>
          <w:lang w:eastAsia="en-US"/>
        </w:rPr>
        <w:t>Všechny faktury – daňové doklady vystavené Poskytovatelem jsou splatné ve lhůtě 14 dnů po jejich doručení na adresu Objednatele.</w:t>
      </w:r>
    </w:p>
    <w:p w:rsidR="00947EA3" w:rsidP="00947EA3" w:rsidRDefault="00947EA3" w14:paraId="5D2CE52A" w14:textId="77777777">
      <w:pPr>
        <w:pStyle w:val="Odstavecseseznamem"/>
        <w:numPr>
          <w:ilvl w:val="1"/>
          <w:numId w:val="1"/>
        </w:numPr>
        <w:rPr>
          <w:lang w:eastAsia="en-US"/>
        </w:rPr>
      </w:pPr>
      <w:r>
        <w:rPr>
          <w:lang w:eastAsia="en-US"/>
        </w:rPr>
        <w:t>Každá faktura musí splňovat náležitosti daňového dokladu dle platných právních předpisů a musí obsahovat též evidenční číslo této Smlouvy, pod kterým je vedena u Objednatele. V případě, že faktura nebude splňovat uvedené náležitosti daňového dokladu, vrátí jí Objednatel Poskytovateli k přepracování. Lhůta splatnosti v tomto případě počíná běžet dnem doručení přepracované faktury.</w:t>
      </w:r>
    </w:p>
    <w:p w:rsidR="00947EA3" w:rsidP="00947EA3" w:rsidRDefault="00947EA3" w14:paraId="1E606B01" w14:textId="77777777">
      <w:pPr>
        <w:pStyle w:val="Odstavecseseznamem"/>
        <w:numPr>
          <w:ilvl w:val="1"/>
          <w:numId w:val="1"/>
        </w:numPr>
        <w:rPr>
          <w:lang w:eastAsia="en-US"/>
        </w:rPr>
      </w:pPr>
      <w:r>
        <w:rPr>
          <w:lang w:eastAsia="en-US"/>
        </w:rPr>
        <w:t>Všechny ceny, poplatky a další odvody splatné podle této Smlouvy jsou uvedeny bez daně z přidané hodnoty, pokud není stanoveno jinak. DPH bude účtováno a připočteno k ceně podle platných právních předpisů.</w:t>
      </w:r>
    </w:p>
    <w:p w:rsidR="003A3240" w:rsidP="003A3240" w:rsidRDefault="003A3240" w14:paraId="73F5CAAB" w14:textId="77777777">
      <w:pPr>
        <w:pStyle w:val="Nadpis2"/>
        <w:numPr>
          <w:ilvl w:val="0"/>
          <w:numId w:val="1"/>
        </w:numPr>
      </w:pPr>
      <w:r w:rsidRPr="003A3240">
        <w:t>Práva a povinnosti smluvních stran, součinnost</w:t>
      </w:r>
    </w:p>
    <w:p w:rsidR="003A3240" w:rsidP="00CA4BBE" w:rsidRDefault="003A3240" w14:paraId="376D0300" w14:textId="77777777">
      <w:pPr>
        <w:pStyle w:val="Odstavecseseznamem"/>
        <w:numPr>
          <w:ilvl w:val="1"/>
          <w:numId w:val="1"/>
        </w:numPr>
        <w:ind w:hanging="650"/>
      </w:pPr>
      <w:r>
        <w:t>Poskytovatel se zavazuje, že veškeré práce, dodávky a služby provede pod svým jménem a na svou vlastní zodpovědnost. V případě, že tím pověří, v jakémkoli rozsahu, jinou osobu, má Poskytovatel odpovědnost za takto provedené práce, dodávky či služby, jako by je provedl sám.</w:t>
      </w:r>
    </w:p>
    <w:p w:rsidR="003A3240" w:rsidP="00CA4BBE" w:rsidRDefault="003A3240" w14:paraId="6C18DAA8" w14:textId="77777777">
      <w:pPr>
        <w:pStyle w:val="Odstavecseseznamem"/>
        <w:numPr>
          <w:ilvl w:val="1"/>
          <w:numId w:val="1"/>
        </w:numPr>
        <w:ind w:hanging="650"/>
      </w:pPr>
      <w:r>
        <w:t>Poskytovatel se zavazuje realizovat veškeré práce vyžadující zvláštní způsobilost nebo povolení podle příslušných předpisů osobami, které tuto podmínku splňují.</w:t>
      </w:r>
    </w:p>
    <w:p w:rsidR="003A3240" w:rsidP="00CA4BBE" w:rsidRDefault="003A3240" w14:paraId="10896010" w14:textId="77777777">
      <w:pPr>
        <w:pStyle w:val="Odstavecseseznamem"/>
        <w:numPr>
          <w:ilvl w:val="1"/>
          <w:numId w:val="1"/>
        </w:numPr>
        <w:ind w:hanging="650"/>
      </w:pPr>
      <w:r>
        <w:t xml:space="preserve">Objednatel se zavazuje Poskytovateli poskytnout součinnost při plnění předmětu této smlouvy, a to v rozsahu, ve kterém lze a způsobem, kterým lze </w:t>
      </w:r>
      <w:r>
        <w:lastRenderedPageBreak/>
        <w:t>tuto součinnost po Objednateli spravedlivě požadovat dle této smlouvy. Bude-li Poskytovatelem požadována po Objednateli jakákoliv součinnost dle předchozí věty, je povinen ji před započetím jakéhokoliv plnění z této smlouvy dostatečně a prokazatelně specifikovat. V případě, že Objednatel nevyvine takto specifikovanou a požadovanou součinnost při plnění dle této smlouvy, může Poskytovatel prodloužit termín plnění o dobu, po kterou nemohl z uvedeného důvodu pokračovat v realizaci svého závazku.</w:t>
      </w:r>
    </w:p>
    <w:p w:rsidR="003A3240" w:rsidP="00CA4BBE" w:rsidRDefault="003A3240" w14:paraId="0136F133" w14:textId="77777777">
      <w:pPr>
        <w:pStyle w:val="Odstavecseseznamem"/>
        <w:numPr>
          <w:ilvl w:val="1"/>
          <w:numId w:val="1"/>
        </w:numPr>
        <w:ind w:hanging="650"/>
      </w:pPr>
      <w:r>
        <w:t>Odpovědnost za porušení součinnosti je vázána vždy na součinnost v rozsahu stanoveném smlouvou. Vzájemná součinnost musí být jasně formulována, popř. bude popsána v příslušných specifikacích schválených oběma smluvními stranami.</w:t>
      </w:r>
    </w:p>
    <w:p w:rsidR="003A3240" w:rsidP="00CA4BBE" w:rsidRDefault="003A3240" w14:paraId="33CFEB86" w14:textId="77777777">
      <w:pPr>
        <w:pStyle w:val="Odstavecseseznamem"/>
        <w:numPr>
          <w:ilvl w:val="1"/>
          <w:numId w:val="1"/>
        </w:numPr>
        <w:ind w:hanging="650"/>
      </w:pPr>
      <w:r>
        <w:t>Smluvní strany spolu budou komunikovat buď písemně na adresy stanovené v úvodu této smlouvy, nebo telefonem, elektronickou poštou či osobně prostřednictvím pověřených Kontaktních osob jmenovaných oběma smluvními stranami v příloze č.3 této smlouvy.</w:t>
      </w:r>
    </w:p>
    <w:p w:rsidR="003A3240" w:rsidP="00CA4BBE" w:rsidRDefault="003A3240" w14:paraId="5ACE1FA6" w14:textId="77777777">
      <w:pPr>
        <w:pStyle w:val="Odstavecseseznamem"/>
        <w:numPr>
          <w:ilvl w:val="1"/>
          <w:numId w:val="1"/>
        </w:numPr>
        <w:ind w:hanging="650"/>
      </w:pPr>
      <w:r>
        <w:t>Poskytovatel je povinen po dobu plnění předmětu smlouvy a po dobu následujících 5 let od předání a převzetí celkového plnění poskytnout požadované informace a dokumentaci související s realizací kontrolním orgánům Objednatele.</w:t>
      </w:r>
    </w:p>
    <w:p w:rsidR="003A3240" w:rsidP="003A3240" w:rsidRDefault="003A3240" w14:paraId="30A0FA5F" w14:textId="77777777">
      <w:pPr>
        <w:pStyle w:val="Nadpis2"/>
        <w:numPr>
          <w:ilvl w:val="0"/>
          <w:numId w:val="1"/>
        </w:numPr>
      </w:pPr>
      <w:r w:rsidRPr="003A3240">
        <w:t>Platnost a účinnost smlouvy, ukončení</w:t>
      </w:r>
    </w:p>
    <w:p w:rsidR="003A3240" w:rsidP="00CA4BBE" w:rsidRDefault="003A3240" w14:paraId="2AB1EAE6" w14:textId="625BE669">
      <w:pPr>
        <w:pStyle w:val="Odstavecseseznamem"/>
        <w:numPr>
          <w:ilvl w:val="1"/>
          <w:numId w:val="1"/>
        </w:numPr>
        <w:ind w:left="851" w:hanging="709"/>
        <w:rPr/>
      </w:pPr>
      <w:r w:rsidR="003A3240">
        <w:rPr/>
        <w:t xml:space="preserve">Tato Smlouva je uzavřena na dobu </w:t>
      </w:r>
      <w:r w:rsidR="002A1E56">
        <w:rPr/>
        <w:t xml:space="preserve">určitou do </w:t>
      </w:r>
      <w:r w:rsidR="00663F7F">
        <w:rPr/>
        <w:t>30. 9. 2023</w:t>
      </w:r>
      <w:r w:rsidR="003A3240">
        <w:rPr/>
        <w:t xml:space="preserve">. Smlouvu lze oběma smluvními stranami ukončit písemnou výpovědí bez uvedení důvodů. Výpovědní doba je </w:t>
      </w:r>
      <w:r w:rsidR="00E15213">
        <w:rPr/>
        <w:t>4</w:t>
      </w:r>
      <w:r w:rsidR="005E61C3">
        <w:rPr/>
        <w:t xml:space="preserve"> </w:t>
      </w:r>
      <w:r w:rsidR="003A3240">
        <w:rPr/>
        <w:t>(</w:t>
      </w:r>
      <w:r w:rsidR="00E15213">
        <w:rPr/>
        <w:t>čtyři</w:t>
      </w:r>
      <w:bookmarkStart w:name="_GoBack" w:id="13"/>
      <w:bookmarkEnd w:id="13"/>
      <w:r w:rsidR="003A3240">
        <w:rPr/>
        <w:t>) měsíc</w:t>
      </w:r>
      <w:r w:rsidR="005E61C3">
        <w:rPr/>
        <w:t>e</w:t>
      </w:r>
      <w:r w:rsidR="003A3240">
        <w:rPr/>
        <w:t xml:space="preserve">. Výpovědní doba začne běžet prvním dnem </w:t>
      </w:r>
      <w:r w:rsidR="005E61C3">
        <w:rPr/>
        <w:t xml:space="preserve">čtvrtletí </w:t>
      </w:r>
      <w:r w:rsidR="003A3240">
        <w:rPr/>
        <w:t xml:space="preserve">následujícího po </w:t>
      </w:r>
      <w:r w:rsidR="005E61C3">
        <w:rPr/>
        <w:t>čtvrtletí</w:t>
      </w:r>
      <w:r w:rsidR="005E61C3">
        <w:rPr/>
        <w:t>, na nějž jsou již sjednány práce podle čl. 3, odst. 3.4</w:t>
      </w:r>
      <w:r w:rsidR="00BE0CFC">
        <w:rPr/>
        <w:t xml:space="preserve"> a čl. 5, odst. 5.1</w:t>
      </w:r>
      <w:r w:rsidR="005E61C3">
        <w:rPr/>
        <w:t xml:space="preserve"> a v němž byla </w:t>
      </w:r>
      <w:r w:rsidR="003A3240">
        <w:rPr/>
        <w:t>doručen</w:t>
      </w:r>
      <w:r w:rsidR="005E61C3">
        <w:rPr/>
        <w:t>a</w:t>
      </w:r>
      <w:r w:rsidR="003A3240">
        <w:rPr/>
        <w:t xml:space="preserve"> </w:t>
      </w:r>
      <w:r w:rsidR="003A3240">
        <w:rPr/>
        <w:t>výpově</w:t>
      </w:r>
      <w:r w:rsidR="005E61C3">
        <w:rPr/>
        <w:t>ď</w:t>
      </w:r>
      <w:r w:rsidR="003A3240">
        <w:rPr/>
        <w:t xml:space="preserve"> druhé smluvní straně. </w:t>
      </w:r>
    </w:p>
    <w:p w:rsidRPr="003A3240" w:rsidR="003A3240" w:rsidP="00CA4BBE" w:rsidRDefault="003A3240" w14:paraId="068D51F9" w14:textId="77777777">
      <w:pPr>
        <w:pStyle w:val="Odstavecseseznamem"/>
        <w:numPr>
          <w:ilvl w:val="1"/>
          <w:numId w:val="1"/>
        </w:numPr>
        <w:ind w:left="851" w:hanging="709"/>
      </w:pPr>
      <w:r>
        <w:t xml:space="preserve">Smlouvu je dále možné ukončit písemnou výpovědí z důvodů podstatného porušení smluvních povinností druhou smluvní stranou. V tom případě </w:t>
      </w:r>
      <w:r w:rsidR="008B4C56">
        <w:t>ukončení smlouvy následuje</w:t>
      </w:r>
      <w:r>
        <w:t xml:space="preserve"> po doručení výpovědi druhé smluvní straně.</w:t>
      </w:r>
    </w:p>
    <w:p w:rsidRPr="00A9783E" w:rsidR="00F36D9D" w:rsidP="00F36D9D" w:rsidRDefault="00F36D9D" w14:paraId="768E7DD1" w14:textId="77777777">
      <w:pPr>
        <w:pStyle w:val="Nadpis2"/>
        <w:numPr>
          <w:ilvl w:val="0"/>
          <w:numId w:val="1"/>
        </w:numPr>
      </w:pPr>
      <w:r w:rsidRPr="00A9783E">
        <w:t xml:space="preserve">Důvody odstoupení </w:t>
      </w:r>
    </w:p>
    <w:p w:rsidRPr="00A9783E" w:rsidR="00F36D9D" w:rsidP="00D22233" w:rsidRDefault="00F36D9D" w14:paraId="537DBC40" w14:textId="77777777">
      <w:pPr>
        <w:pStyle w:val="Odstavecseseznamem"/>
        <w:numPr>
          <w:ilvl w:val="1"/>
          <w:numId w:val="1"/>
        </w:numPr>
        <w:ind w:left="851" w:hanging="709"/>
      </w:pPr>
      <w:r w:rsidRPr="00A9783E">
        <w:t xml:space="preserve">Za podstatné porušení smluvních povinností ze strany Poskytovatele se pro účely této Smlouvy považuje opakované prodlení poskytování </w:t>
      </w:r>
      <w:r w:rsidRPr="00A9783E" w:rsidR="00A9783E">
        <w:t>objednaných prací dle</w:t>
      </w:r>
      <w:r w:rsidRPr="00A9783E">
        <w:t xml:space="preserve"> této smlouvy po dobu delší než 30 (třicet) dnů u služeb dle Plánu </w:t>
      </w:r>
      <w:r w:rsidRPr="00A9783E" w:rsidR="00A9783E">
        <w:t xml:space="preserve">vývojových </w:t>
      </w:r>
      <w:r w:rsidRPr="00A9783E">
        <w:t>prací</w:t>
      </w:r>
      <w:r w:rsidRPr="00A9783E" w:rsidR="0081543A">
        <w:t>.</w:t>
      </w:r>
    </w:p>
    <w:p w:rsidRPr="00A9783E" w:rsidR="00F36D9D" w:rsidP="00D22233" w:rsidRDefault="00F36D9D" w14:paraId="19ABD0DF" w14:textId="77777777">
      <w:pPr>
        <w:pStyle w:val="Odstavecseseznamem"/>
        <w:numPr>
          <w:ilvl w:val="1"/>
          <w:numId w:val="1"/>
        </w:numPr>
        <w:ind w:left="851" w:hanging="709"/>
      </w:pPr>
      <w:r w:rsidRPr="00A9783E">
        <w:t xml:space="preserve">Za podstatné porušení smluvních povinností ze strany Objednatele se pro účely této Smlouvy považuje: </w:t>
      </w:r>
    </w:p>
    <w:p w:rsidR="00F36D9D" w:rsidP="00D22233" w:rsidRDefault="00F36D9D" w14:paraId="6F78CAE2" w14:textId="77777777">
      <w:pPr>
        <w:pStyle w:val="Odstavecseseznamem"/>
        <w:ind w:left="1560" w:hanging="709"/>
      </w:pPr>
      <w:r>
        <w:t>a) prodlení s úhradou faktur po dobu delší 30 dnů</w:t>
      </w:r>
    </w:p>
    <w:p w:rsidR="00F36D9D" w:rsidP="00D22233" w:rsidRDefault="00F36D9D" w14:paraId="080C3212" w14:textId="77777777">
      <w:pPr>
        <w:pStyle w:val="Odstavecseseznamem"/>
        <w:ind w:left="1560" w:hanging="709"/>
      </w:pPr>
      <w:r>
        <w:t>b) opakované neplnění nezbytné součinnosti</w:t>
      </w:r>
    </w:p>
    <w:p w:rsidR="00F36D9D" w:rsidP="00D22233" w:rsidRDefault="00F36D9D" w14:paraId="56E99AA7" w14:textId="77777777">
      <w:pPr>
        <w:pStyle w:val="Odstavecseseznamem"/>
        <w:numPr>
          <w:ilvl w:val="1"/>
          <w:numId w:val="1"/>
        </w:numPr>
        <w:ind w:left="851" w:hanging="709"/>
      </w:pPr>
      <w:r>
        <w:t>V případě odstoupení kterékoli ze smluvních stran vyřeší strany stávající závazky vzájemnou dohodou.</w:t>
      </w:r>
    </w:p>
    <w:p w:rsidR="00F36D9D" w:rsidP="00D22233" w:rsidRDefault="00F36D9D" w14:paraId="5ADEE8C2" w14:textId="77777777">
      <w:pPr>
        <w:pStyle w:val="Odstavecseseznamem"/>
        <w:numPr>
          <w:ilvl w:val="1"/>
          <w:numId w:val="1"/>
        </w:numPr>
        <w:ind w:left="851" w:hanging="709"/>
      </w:pPr>
      <w:r>
        <w:lastRenderedPageBreak/>
        <w:t>Doručování písemností týkajících se předčasného ukončení smlouvy se řídí ustanovením § 46 a násl. zákona č. 99/1963 Sb., občanský soudní řád, ve znění pozdějších předpisů.</w:t>
      </w:r>
    </w:p>
    <w:p w:rsidR="0081543A" w:rsidP="0081543A" w:rsidRDefault="0081543A" w14:paraId="3494507D" w14:textId="77777777">
      <w:pPr>
        <w:pStyle w:val="Nadpis2"/>
        <w:numPr>
          <w:ilvl w:val="0"/>
          <w:numId w:val="1"/>
        </w:numPr>
      </w:pPr>
      <w:r w:rsidRPr="0081543A">
        <w:t>Sankční ujednání</w:t>
      </w:r>
    </w:p>
    <w:p w:rsidRPr="002A1E56" w:rsidR="0081543A" w:rsidP="002A1E56" w:rsidRDefault="0081543A" w14:paraId="38E0A879" w14:textId="77777777">
      <w:pPr>
        <w:pStyle w:val="Odstavecseseznamem"/>
        <w:numPr>
          <w:ilvl w:val="1"/>
          <w:numId w:val="1"/>
        </w:numPr>
        <w:spacing w:after="120"/>
        <w:ind w:left="851" w:hanging="709"/>
        <w:rPr>
          <w:b/>
        </w:rPr>
      </w:pPr>
      <w:r w:rsidRPr="002A1E56">
        <w:rPr>
          <w:b/>
        </w:rPr>
        <w:t>Sankce za neplnění dohodnutých termínů</w:t>
      </w:r>
    </w:p>
    <w:p w:rsidR="0081543A" w:rsidP="00D22233" w:rsidRDefault="0081543A" w14:paraId="1DABF45D" w14:textId="77777777">
      <w:pPr>
        <w:pStyle w:val="Odstavecseseznamem"/>
        <w:numPr>
          <w:ilvl w:val="2"/>
          <w:numId w:val="1"/>
        </w:numPr>
        <w:ind w:left="1134" w:hanging="850"/>
      </w:pPr>
      <w:r>
        <w:t xml:space="preserve">V případě prodlení Poskytovatele bez zavinění Objednatele je Objednatel oprávněn vyúčtovat k tíži Poskytovatele smluvní pokutu ve výši 2.000,- Kč za každý i započatý kalendářní den prodlení při nedodržení termínů dokončení dílčích plnění dle </w:t>
      </w:r>
      <w:r w:rsidR="00D22233">
        <w:t xml:space="preserve">článku </w:t>
      </w:r>
      <w:r w:rsidR="00072B8E">
        <w:t>5</w:t>
      </w:r>
      <w:r w:rsidR="00D22233">
        <w:t xml:space="preserve"> této smlouvy</w:t>
      </w:r>
      <w:r w:rsidR="001D08CF">
        <w:t>.</w:t>
      </w:r>
    </w:p>
    <w:p w:rsidRPr="0081543A" w:rsidR="0081543A" w:rsidP="00D22233" w:rsidRDefault="0081543A" w14:paraId="68CA556C" w14:textId="77777777">
      <w:pPr>
        <w:pStyle w:val="Odstavecseseznamem"/>
        <w:numPr>
          <w:ilvl w:val="2"/>
          <w:numId w:val="1"/>
        </w:numPr>
        <w:ind w:left="1134" w:hanging="850"/>
      </w:pPr>
      <w:r>
        <w:t xml:space="preserve">Oprávněná smluvní strana </w:t>
      </w:r>
      <w:r w:rsidR="00D22233">
        <w:t>může</w:t>
      </w:r>
      <w:r>
        <w:t xml:space="preserve"> požadovat i náhradu škody způsobené porušením povinností smluvní strany povinné, na kterou se vztahuje smluvní pokuta.</w:t>
      </w:r>
    </w:p>
    <w:p w:rsidRPr="002A1E56" w:rsidR="0081543A" w:rsidP="002A1E56" w:rsidRDefault="0081543A" w14:paraId="353BEE92" w14:textId="77777777">
      <w:pPr>
        <w:pStyle w:val="Odstavecseseznamem"/>
        <w:numPr>
          <w:ilvl w:val="1"/>
          <w:numId w:val="1"/>
        </w:numPr>
        <w:ind w:left="851" w:hanging="709"/>
        <w:rPr>
          <w:b/>
        </w:rPr>
      </w:pPr>
      <w:r w:rsidRPr="002A1E56">
        <w:rPr>
          <w:b/>
        </w:rPr>
        <w:t>Sankce za porušení ochrany informací</w:t>
      </w:r>
    </w:p>
    <w:p w:rsidR="00744EA9" w:rsidP="00D22233" w:rsidRDefault="00744EA9" w14:paraId="573C24D0" w14:textId="77777777">
      <w:pPr>
        <w:pStyle w:val="Odstavecseseznamem"/>
        <w:numPr>
          <w:ilvl w:val="2"/>
          <w:numId w:val="1"/>
        </w:numPr>
        <w:ind w:hanging="940"/>
      </w:pPr>
      <w:r w:rsidRPr="00744EA9">
        <w:t xml:space="preserve">V případě porušení ustanovení dle </w:t>
      </w:r>
      <w:r w:rsidRPr="00D22233" w:rsidR="00D22233">
        <w:t>článku 9 a 13</w:t>
      </w:r>
      <w:r w:rsidR="00D22233">
        <w:t xml:space="preserve"> této</w:t>
      </w:r>
      <w:r w:rsidRPr="00744EA9">
        <w:t xml:space="preserve"> smlouvy je poškozená strana oprávněna vyúčtovat druhé smluvní straně smluvní pokutu ve výši 100.000,- Kč za každý takový případ</w:t>
      </w:r>
      <w:r w:rsidR="001D08CF">
        <w:t>.</w:t>
      </w:r>
    </w:p>
    <w:p w:rsidRPr="002A1E56" w:rsidR="0081543A" w:rsidP="002A1E56" w:rsidRDefault="0081543A" w14:paraId="395D2E3B" w14:textId="77777777">
      <w:pPr>
        <w:pStyle w:val="Odstavecseseznamem"/>
        <w:numPr>
          <w:ilvl w:val="1"/>
          <w:numId w:val="1"/>
        </w:numPr>
        <w:ind w:left="851" w:hanging="709"/>
        <w:rPr>
          <w:b/>
        </w:rPr>
      </w:pPr>
      <w:r w:rsidRPr="002A1E56">
        <w:rPr>
          <w:b/>
        </w:rPr>
        <w:t>Úrok z</w:t>
      </w:r>
      <w:r w:rsidRPr="002A1E56" w:rsidR="00744EA9">
        <w:rPr>
          <w:b/>
        </w:rPr>
        <w:t> </w:t>
      </w:r>
      <w:r w:rsidRPr="002A1E56">
        <w:rPr>
          <w:b/>
        </w:rPr>
        <w:t>prodlení</w:t>
      </w:r>
    </w:p>
    <w:p w:rsidR="00744EA9" w:rsidP="00D22233" w:rsidRDefault="00744EA9" w14:paraId="46C37223" w14:textId="77777777">
      <w:pPr>
        <w:pStyle w:val="Odstavecseseznamem"/>
        <w:numPr>
          <w:ilvl w:val="2"/>
          <w:numId w:val="1"/>
        </w:numPr>
        <w:ind w:hanging="940"/>
      </w:pPr>
      <w:r w:rsidRPr="00744EA9">
        <w:t>Pokud bude Objednatel v prodlení s úhradou faktury proti sjednanému termínu, je Poskytovatel oprávněn vyúčtovat k tíži Objednatele úrok z prodlení v zákonné výši za každý i započatý kalendářní den prodlení</w:t>
      </w:r>
      <w:r>
        <w:t>.</w:t>
      </w:r>
    </w:p>
    <w:p w:rsidRPr="002A1E56" w:rsidR="0081543A" w:rsidP="002A1E56" w:rsidRDefault="0081543A" w14:paraId="52FE8759" w14:textId="77777777">
      <w:pPr>
        <w:pStyle w:val="Odstavecseseznamem"/>
        <w:numPr>
          <w:ilvl w:val="1"/>
          <w:numId w:val="1"/>
        </w:numPr>
        <w:ind w:left="851" w:hanging="709"/>
        <w:rPr>
          <w:b/>
        </w:rPr>
      </w:pPr>
      <w:r w:rsidRPr="002A1E56">
        <w:rPr>
          <w:b/>
        </w:rPr>
        <w:t>Lhůta splatnosti sankcí, související náhrada škody</w:t>
      </w:r>
    </w:p>
    <w:p w:rsidR="00744EA9" w:rsidP="00D22233" w:rsidRDefault="00744EA9" w14:paraId="099B4AFC" w14:textId="77777777">
      <w:pPr>
        <w:pStyle w:val="Odstavecseseznamem"/>
        <w:numPr>
          <w:ilvl w:val="2"/>
          <w:numId w:val="1"/>
        </w:numPr>
        <w:ind w:hanging="940"/>
      </w:pPr>
      <w:r>
        <w:t>Strana povinná je povinna uhradit vyúčtované sankce nejpozději do čtrnácti (14) dnů ode dne obdržení příslušného vyúčtování.</w:t>
      </w:r>
    </w:p>
    <w:p w:rsidR="00744EA9" w:rsidP="00D22233" w:rsidRDefault="00744EA9" w14:paraId="25985D5F" w14:textId="77777777">
      <w:pPr>
        <w:pStyle w:val="Odstavecseseznamem"/>
        <w:numPr>
          <w:ilvl w:val="2"/>
          <w:numId w:val="1"/>
        </w:numPr>
        <w:ind w:hanging="940"/>
      </w:pPr>
      <w:r>
        <w:t>Stejná lhůta se vztahuje i na úhradu úroku z prodlení.</w:t>
      </w:r>
    </w:p>
    <w:p w:rsidR="00744EA9" w:rsidP="00D22233" w:rsidRDefault="00744EA9" w14:paraId="6142C559" w14:textId="77777777">
      <w:pPr>
        <w:pStyle w:val="Odstavecseseznamem"/>
        <w:numPr>
          <w:ilvl w:val="2"/>
          <w:numId w:val="1"/>
        </w:numPr>
        <w:ind w:hanging="940"/>
      </w:pPr>
      <w:r>
        <w:t xml:space="preserve">Celková úhrnná výše všech sankcí nepřesáhne 50 % maximální ceny předmětu plnění dle </w:t>
      </w:r>
      <w:r w:rsidR="00D22233">
        <w:t>článku 5 této</w:t>
      </w:r>
      <w:r w:rsidRPr="00D22233">
        <w:t xml:space="preserve"> smlouv</w:t>
      </w:r>
      <w:r w:rsidR="00072B8E">
        <w:t>y vyjma článku 12.2. na který se toto omezení nevztahuje.</w:t>
      </w:r>
    </w:p>
    <w:p w:rsidRPr="002A1E56" w:rsidR="009B4316" w:rsidP="00D22233" w:rsidRDefault="009B4316" w14:paraId="5999DE3E" w14:textId="77777777">
      <w:pPr>
        <w:pStyle w:val="Odstavecseseznamem"/>
        <w:numPr>
          <w:ilvl w:val="2"/>
          <w:numId w:val="1"/>
        </w:numPr>
        <w:ind w:hanging="940"/>
      </w:pPr>
      <w:r w:rsidRPr="009B4316">
        <w:t>Zaplacením sankce (smluvní pokuty) není dotčen nárok Objednatele na náhradu škody způsobené porušením povinnosti Poskytovatele, na niž se sankce vztahuje a kterou lze vymáhat samostatně, nezávisle i na výši škody</w:t>
      </w:r>
      <w:r>
        <w:t>.</w:t>
      </w:r>
    </w:p>
    <w:p w:rsidR="009B4316" w:rsidP="009B4316" w:rsidRDefault="009B4316" w14:paraId="7EEFD479" w14:textId="77777777">
      <w:pPr>
        <w:pStyle w:val="Nadpis2"/>
        <w:numPr>
          <w:ilvl w:val="0"/>
          <w:numId w:val="1"/>
        </w:numPr>
      </w:pPr>
      <w:r w:rsidRPr="009B4316">
        <w:t xml:space="preserve">Ochrana informací, Ochrana osobních údajů a Informací </w:t>
      </w:r>
    </w:p>
    <w:p w:rsidR="009B4316" w:rsidP="009B4316" w:rsidRDefault="009B4316" w14:paraId="51B731FF" w14:textId="77777777">
      <w:pPr>
        <w:pStyle w:val="Odstavecseseznamem"/>
        <w:numPr>
          <w:ilvl w:val="1"/>
          <w:numId w:val="1"/>
        </w:numPr>
        <w:ind w:left="851" w:hanging="709"/>
      </w:pPr>
      <w:r>
        <w:t>Žádná ze smluvních stran nesmí zpřístupnit třetí osobě důvěrné informace, které při plnění předmětu smlouvy získala od druhé smluvní strany v souvislosti se smlouvou. To neplatí, mají-li být za účelem plnění předmětu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rsidR="009B4316" w:rsidP="009B4316" w:rsidRDefault="009B4316" w14:paraId="7C05F034" w14:textId="77777777">
      <w:pPr>
        <w:pStyle w:val="Odstavecseseznamem"/>
        <w:numPr>
          <w:ilvl w:val="1"/>
          <w:numId w:val="1"/>
        </w:numPr>
        <w:ind w:left="851" w:hanging="709"/>
      </w:pPr>
      <w:r>
        <w:t xml:space="preserve">Ochrana informací se nevztahuje na případy, kdy: </w:t>
      </w:r>
    </w:p>
    <w:p w:rsidR="009B4316" w:rsidP="009B4316" w:rsidRDefault="009B4316" w14:paraId="0ADD02AA" w14:textId="77777777">
      <w:pPr>
        <w:pStyle w:val="Odstavecseseznamem"/>
        <w:numPr>
          <w:ilvl w:val="0"/>
          <w:numId w:val="21"/>
        </w:numPr>
      </w:pPr>
      <w:r>
        <w:t xml:space="preserve">smluvní strana prokáže, že je tato informace veřejně dostupná, aniž by tuto dostupnost způsobila sama smluvní strana; </w:t>
      </w:r>
    </w:p>
    <w:p w:rsidR="009B4316" w:rsidP="009B4316" w:rsidRDefault="009B4316" w14:paraId="5BBBEC54" w14:textId="77777777">
      <w:pPr>
        <w:pStyle w:val="Odstavecseseznamem"/>
        <w:numPr>
          <w:ilvl w:val="0"/>
          <w:numId w:val="21"/>
        </w:numPr>
      </w:pPr>
      <w:r>
        <w:lastRenderedPageBreak/>
        <w:t xml:space="preserve">smluvní strana prokáže, že měla tuto informaci k dispozici ještě před datem zpřístupnění druhou stranou, a že ji nenabyla v rozporu se zákonem; </w:t>
      </w:r>
    </w:p>
    <w:p w:rsidR="009B4316" w:rsidP="009B4316" w:rsidRDefault="009B4316" w14:paraId="536631AC" w14:textId="77777777">
      <w:pPr>
        <w:pStyle w:val="Odstavecseseznamem"/>
        <w:numPr>
          <w:ilvl w:val="0"/>
          <w:numId w:val="21"/>
        </w:numPr>
      </w:pPr>
      <w:r>
        <w:t xml:space="preserve">smluvní strana obdrží od zpřístupňující strany písemný souhlas zpřístupňovat danou informaci; </w:t>
      </w:r>
    </w:p>
    <w:p w:rsidR="009B4316" w:rsidP="009B4316" w:rsidRDefault="009B4316" w14:paraId="128C878D" w14:textId="77777777">
      <w:pPr>
        <w:pStyle w:val="Odstavecseseznamem"/>
        <w:numPr>
          <w:ilvl w:val="0"/>
          <w:numId w:val="21"/>
        </w:numPr>
      </w:pPr>
      <w:r>
        <w:t>je-li zpřístupnění informace vyžadováno zákonem nebo závazným rozhodnutím oprávněného orgánu.</w:t>
      </w:r>
    </w:p>
    <w:p w:rsidR="009B4316" w:rsidP="009B4316" w:rsidRDefault="009B4316" w14:paraId="3438ED90" w14:textId="77777777">
      <w:pPr>
        <w:pStyle w:val="Odstavecseseznamem"/>
        <w:numPr>
          <w:ilvl w:val="1"/>
          <w:numId w:val="1"/>
        </w:numPr>
        <w:ind w:hanging="650"/>
      </w:pPr>
      <w: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software, diagnostika, dokumentace včetně manuálů a veškeré další informace, které jsou písemně označeny jako důvěrné informace Poskytovatele, Objednatele nebo dodavatelů jejich licencí.</w:t>
      </w:r>
    </w:p>
    <w:p w:rsidR="009B4316" w:rsidP="009B4316" w:rsidRDefault="009B4316" w14:paraId="06FE6FC7" w14:textId="77777777">
      <w:pPr>
        <w:pStyle w:val="Odstavecseseznamem"/>
        <w:numPr>
          <w:ilvl w:val="1"/>
          <w:numId w:val="1"/>
        </w:numPr>
        <w:ind w:hanging="650"/>
      </w:pPr>
      <w: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rsidR="009B4316" w:rsidP="009B4316" w:rsidRDefault="009B4316" w14:paraId="6A12DD30" w14:textId="77777777">
      <w:pPr>
        <w:pStyle w:val="Odstavecseseznamem"/>
        <w:numPr>
          <w:ilvl w:val="1"/>
          <w:numId w:val="1"/>
        </w:numPr>
        <w:ind w:hanging="650"/>
      </w:pPr>
      <w:r>
        <w:t>Povinnost utajovat důvěrné informace uvedená v tomto článku zavazuje smluvní strany po dobu neurčitou, tedy i po ukončení smlouvy.</w:t>
      </w:r>
    </w:p>
    <w:p w:rsidR="009B4316" w:rsidP="009B4316" w:rsidRDefault="009B4316" w14:paraId="70BC679B" w14:textId="77777777">
      <w:pPr>
        <w:pStyle w:val="Odstavecseseznamem"/>
        <w:numPr>
          <w:ilvl w:val="1"/>
          <w:numId w:val="1"/>
        </w:numPr>
        <w:ind w:hanging="650"/>
      </w:pPr>
      <w:r>
        <w:t>Poskytnutí informací dle zákona č. 106/1999 Sb., o svobodném přístupu k informacím, není porušením této smlouvy.</w:t>
      </w:r>
    </w:p>
    <w:p w:rsidR="009B4316" w:rsidP="008B4C56" w:rsidRDefault="008B4C56" w14:paraId="06DF981A" w14:textId="77777777">
      <w:pPr>
        <w:pStyle w:val="Nadpis2"/>
        <w:numPr>
          <w:ilvl w:val="0"/>
          <w:numId w:val="1"/>
        </w:numPr>
      </w:pPr>
      <w:r w:rsidRPr="008B4C56">
        <w:t>Výkon a převod majetkových práv</w:t>
      </w:r>
      <w:r>
        <w:t>, licence software</w:t>
      </w:r>
    </w:p>
    <w:p w:rsidR="008B4C56" w:rsidP="008B4C56" w:rsidRDefault="008B4C56" w14:paraId="4ADADB69" w14:textId="77777777">
      <w:pPr>
        <w:pStyle w:val="Odstavecseseznamem"/>
        <w:numPr>
          <w:ilvl w:val="1"/>
          <w:numId w:val="1"/>
        </w:numPr>
        <w:ind w:hanging="650"/>
      </w:pPr>
      <w:r w:rsidRPr="008B4C56">
        <w:t>Je-li součástí předmětu plnění dílo nebo vznikne-li při plnění zakázky dílo podléhající ochraně podle zák. č. 121/2000 Sb., o právu autorském, o právech souvisejících s právem autorským a o změně některých zákonů (autorský zákon), přecházejí práva užití k tomu dílu na Objednatele dnem jeho protokolárního předání Objednateli v rozsahu sjednaném dále v této smlouvě. Ostatní majetková práva spojená s tímto dílem na Objednatele nepřecházejí</w:t>
      </w:r>
      <w:r>
        <w:t>.</w:t>
      </w:r>
    </w:p>
    <w:p w:rsidR="008B4C56" w:rsidP="008B4C56" w:rsidRDefault="008B4C56" w14:paraId="49202D4D" w14:textId="77777777">
      <w:pPr>
        <w:pStyle w:val="Odstavecseseznamem"/>
        <w:numPr>
          <w:ilvl w:val="1"/>
          <w:numId w:val="1"/>
        </w:numPr>
        <w:ind w:hanging="650"/>
      </w:pPr>
      <w:r w:rsidRPr="008B4C56">
        <w:t>Objednatel předáním a převzetím díla nebo jeho části se stává Nabyvatelem licence a získává nevýhradní právo na užití díla časově a teritoriálně neomezené, právo na užití díla výhradně pro provoz v rámci svého informačního systému, právo provádět záložní a kopie díla a kopie díla pro účely školení uživatelů a testování díla</w:t>
      </w:r>
      <w:r>
        <w:t>.</w:t>
      </w:r>
    </w:p>
    <w:p w:rsidR="008B4C56" w:rsidP="008B4C56" w:rsidRDefault="008B4C56" w14:paraId="7276BADC" w14:textId="77777777">
      <w:pPr>
        <w:pStyle w:val="Odstavecseseznamem"/>
        <w:numPr>
          <w:ilvl w:val="1"/>
          <w:numId w:val="1"/>
        </w:numPr>
        <w:ind w:hanging="650"/>
      </w:pPr>
      <w:r w:rsidRPr="008B4C56">
        <w:t>Objednatel není oprávněn dílo dále šířit, půjčovat, rozmnožovat, pronajímat nebo postoupit výkon majetkových práv k tomuto dílu na jinou třetí osobu bez předchozího souhlasu Poskytovatele</w:t>
      </w:r>
      <w:r>
        <w:t>.</w:t>
      </w:r>
    </w:p>
    <w:p w:rsidRPr="008B4C56" w:rsidR="008B4C56" w:rsidP="008B4C56" w:rsidRDefault="008B4C56" w14:paraId="4FEB8C99" w14:textId="77777777">
      <w:pPr>
        <w:pStyle w:val="Odstavecseseznamem"/>
        <w:numPr>
          <w:ilvl w:val="1"/>
          <w:numId w:val="1"/>
        </w:numPr>
        <w:ind w:hanging="650"/>
      </w:pPr>
      <w:r w:rsidRPr="008B4C56">
        <w:t xml:space="preserve">Objednatel je oprávněn na převzatém díle nebo jeho části provést změny a úpravy, avšak s vědomím, že na takové pozměněné dílo se nevztahuje žádná záruka podle této smlouvy, ani ustanovení </w:t>
      </w:r>
      <w:r w:rsidRPr="00072B8E">
        <w:t>čl</w:t>
      </w:r>
      <w:r w:rsidR="00072B8E">
        <w:t>ánku 12</w:t>
      </w:r>
      <w:r w:rsidRPr="008B4C56">
        <w:t xml:space="preserve"> smlouvy o </w:t>
      </w:r>
      <w:r w:rsidR="00072B8E">
        <w:t>sankčním ujednání</w:t>
      </w:r>
      <w:r>
        <w:t>.</w:t>
      </w:r>
    </w:p>
    <w:p w:rsidRPr="008B4C56" w:rsidR="008B4C56" w:rsidP="008B4C56" w:rsidRDefault="008B4C56" w14:paraId="1A7D9B08" w14:textId="77777777">
      <w:pPr>
        <w:rPr>
          <w:lang w:eastAsia="en-US"/>
        </w:rPr>
      </w:pPr>
    </w:p>
    <w:p w:rsidR="009B4316" w:rsidP="009B4316" w:rsidRDefault="009B4316" w14:paraId="5FB14664" w14:textId="77777777">
      <w:pPr>
        <w:pStyle w:val="Nadpis2"/>
        <w:numPr>
          <w:ilvl w:val="0"/>
          <w:numId w:val="1"/>
        </w:numPr>
      </w:pPr>
      <w:r w:rsidRPr="009B4316">
        <w:lastRenderedPageBreak/>
        <w:t>Závěrečná ustanovení</w:t>
      </w:r>
    </w:p>
    <w:p w:rsidR="009B4316" w:rsidP="009B4316" w:rsidRDefault="009B4316" w14:paraId="2EE644EB" w14:textId="77777777">
      <w:pPr>
        <w:pStyle w:val="Odstavecseseznamem"/>
        <w:numPr>
          <w:ilvl w:val="1"/>
          <w:numId w:val="1"/>
        </w:numPr>
        <w:ind w:hanging="650"/>
      </w:pPr>
      <w:r>
        <w:t>Tato smlouva, jakož i práva a povinnosti z ní vzniklé nebo s ní související, se řídí českým právním řádem. Právní vztahy týkající se licence k počítačovému programu se řídí zákonem č. 121/2000 Sb., o právu autorském a o právech souvisejících s právem autorským (autorský zákon), ve znění pozdějších předpisů. Ostatní právní vztahy ze smlouvy vznikající, vyplývající nebo s ní související se řídí zejména § 2586 a násl. zákona č. 89/2012 Sb., občanský zákoník.</w:t>
      </w:r>
    </w:p>
    <w:p w:rsidR="009B4316" w:rsidP="009B4316" w:rsidRDefault="009B4316" w14:paraId="52EEB600" w14:textId="77777777">
      <w:pPr>
        <w:pStyle w:val="Odstavecseseznamem"/>
        <w:numPr>
          <w:ilvl w:val="1"/>
          <w:numId w:val="1"/>
        </w:numPr>
        <w:ind w:hanging="650"/>
      </w:pPr>
      <w:r>
        <w:t xml:space="preserve">Smluvní strany řeší případné spory především vzájemnou dohodou. Nedojde-li k dohodě, řeší spory věcně příslušný soud. </w:t>
      </w:r>
    </w:p>
    <w:p w:rsidR="009B4316" w:rsidP="009B4316" w:rsidRDefault="009B4316" w14:paraId="2AC8F48B" w14:textId="77777777">
      <w:pPr>
        <w:pStyle w:val="Odstavecseseznamem"/>
        <w:numPr>
          <w:ilvl w:val="1"/>
          <w:numId w:val="1"/>
        </w:numPr>
        <w:ind w:hanging="650"/>
      </w:pPr>
      <w:r>
        <w:t>Smlouva je vyhotovena ve dvou stejnopisech s platností originálu podepsaných oprávněnými zástupci smluvních stran, přičemž každá strana obdrží jedno vyhotovení.</w:t>
      </w:r>
    </w:p>
    <w:p w:rsidR="00187E8C" w:rsidP="00F62D0F" w:rsidRDefault="009B4316" w14:paraId="7F980BC3" w14:textId="1560304D">
      <w:pPr>
        <w:pStyle w:val="Odstavecseseznamem"/>
        <w:numPr>
          <w:ilvl w:val="1"/>
          <w:numId w:val="1"/>
        </w:numPr>
        <w:ind w:hanging="650"/>
      </w:pPr>
      <w:r>
        <w:t>Tuto Smlouvu lze měnit nebo doplňovat pouze písemnými dodatky podepsanými zástupci obou smluvních stran</w:t>
      </w:r>
    </w:p>
    <w:p w:rsidR="003A0851" w:rsidP="003A0851" w:rsidRDefault="004E447B" w14:paraId="17BBA6D8" w14:textId="77777777" w14:noSpellErr="1">
      <w:pPr>
        <w:pStyle w:val="Odstavecseseznamem"/>
        <w:numPr>
          <w:ilvl w:val="1"/>
          <w:numId w:val="1"/>
        </w:numPr>
        <w:ind w:left="798" w:hanging="656"/>
        <w:rPr/>
      </w:pPr>
      <w:r w:rsidR="004E447B">
        <w:rPr/>
        <w:t xml:space="preserve">Akademie múzických umění v Praze je osobou, na níž se vztahují povinnosti vyplývající ze zákona č. 340/2015 Sb., o registru smluv </w:t>
      </w:r>
      <w:r w:rsidR="00E506A4">
        <w:rPr/>
        <w:t>a t</w:t>
      </w:r>
      <w:r w:rsidR="004E447B">
        <w:rPr/>
        <w:t>ato smlouva podléhá povinnosti uveřejnění v registru smluv</w:t>
      </w:r>
      <w:r w:rsidR="00E506A4">
        <w:rPr/>
        <w:t xml:space="preserve"> podle tohoto zákona</w:t>
      </w:r>
      <w:r w:rsidR="004E447B">
        <w:rPr/>
        <w:t>. Obě smluvní strany prohlašují, že si jsou vědomy následků vyplývajících z této skutečnosti.</w:t>
      </w:r>
      <w:r w:rsidR="00E506A4">
        <w:rPr/>
        <w:t xml:space="preserve"> </w:t>
      </w:r>
      <w:r w:rsidR="004E447B">
        <w:rPr/>
        <w:t xml:space="preserve">Tato smlouva nabývá </w:t>
      </w:r>
      <w:r w:rsidR="00E506A4">
        <w:rPr/>
        <w:t>platnosti dnem podpisu smluvními stranami a </w:t>
      </w:r>
      <w:r w:rsidR="004E447B">
        <w:rPr/>
        <w:t>účinnosti dnem jejího uveřejnění v registru smluv.</w:t>
      </w:r>
      <w:r w:rsidR="003B5972">
        <w:rPr/>
        <w:t xml:space="preserve"> </w:t>
      </w:r>
    </w:p>
    <w:p w:rsidR="009B4316" w:rsidP="003A0851" w:rsidRDefault="009B4316" w14:paraId="54DC01EF" w14:textId="1DC488AA">
      <w:pPr>
        <w:pStyle w:val="Odstavecseseznamem"/>
        <w:numPr>
          <w:ilvl w:val="1"/>
          <w:numId w:val="1"/>
        </w:numPr>
        <w:ind w:left="798" w:hanging="656"/>
      </w:pPr>
      <w:r>
        <w:t>Nedílnou součástí této smlouvy jsou přílohy:</w:t>
      </w:r>
    </w:p>
    <w:p w:rsidR="009B4316" w:rsidP="009B4316" w:rsidRDefault="009B4316" w14:paraId="17431501" w14:textId="77777777">
      <w:pPr>
        <w:pStyle w:val="Odstavecseseznamem"/>
        <w:numPr>
          <w:ilvl w:val="0"/>
          <w:numId w:val="24"/>
        </w:numPr>
      </w:pPr>
      <w:r>
        <w:t xml:space="preserve">Příloha č. 1 – Parametry poskytovaných služeb </w:t>
      </w:r>
    </w:p>
    <w:p w:rsidR="009B4316" w:rsidP="009B4316" w:rsidRDefault="009B4316" w14:paraId="4CE9B3E3" w14:textId="4902D7B2">
      <w:pPr>
        <w:pStyle w:val="Odstavecseseznamem"/>
        <w:numPr>
          <w:ilvl w:val="0"/>
          <w:numId w:val="24"/>
        </w:numPr>
        <w:rPr/>
      </w:pPr>
      <w:r w:rsidR="009B4316">
        <w:rPr/>
        <w:t xml:space="preserve">Příloha č. 2 – </w:t>
      </w:r>
      <w:r w:rsidR="005C2EEA">
        <w:rPr/>
        <w:t>Cena konzultačních služeb a vývojových prací</w:t>
      </w:r>
    </w:p>
    <w:p w:rsidR="009B4316" w:rsidP="009B4316" w:rsidRDefault="009B4316" w14:paraId="6C38B62A" w14:textId="257E78AF">
      <w:pPr>
        <w:pStyle w:val="Odstavecseseznamem"/>
        <w:numPr>
          <w:ilvl w:val="0"/>
          <w:numId w:val="24"/>
        </w:numPr>
        <w:rPr/>
      </w:pPr>
      <w:r w:rsidR="009B4316">
        <w:rPr/>
        <w:t xml:space="preserve">Příloha č. 3 – </w:t>
      </w:r>
      <w:r w:rsidR="005C2EEA">
        <w:rPr/>
        <w:t>Kontaktní osoby pro jednání</w:t>
      </w:r>
    </w:p>
    <w:p w:rsidR="009B4316" w:rsidP="009B4316" w:rsidRDefault="009B4316" w14:paraId="56B16ABC" w14:textId="77777777">
      <w:pPr>
        <w:pStyle w:val="Odstavecseseznamem"/>
      </w:pPr>
    </w:p>
    <w:p w:rsidRPr="009B4316" w:rsidR="009B4316" w:rsidP="009B4316" w:rsidRDefault="009B4316" w14:paraId="4E1D97CD" w14:textId="77777777">
      <w:pPr>
        <w:rPr>
          <w:rFonts w:cs="Arial"/>
        </w:rPr>
      </w:pPr>
    </w:p>
    <w:tbl>
      <w:tblPr>
        <w:tblW w:w="9781" w:type="dxa"/>
        <w:tblLook w:val="01E0" w:firstRow="1" w:lastRow="1" w:firstColumn="1" w:lastColumn="1" w:noHBand="0" w:noVBand="0"/>
      </w:tblPr>
      <w:tblGrid>
        <w:gridCol w:w="4820"/>
        <w:gridCol w:w="4961"/>
      </w:tblGrid>
      <w:tr w:rsidRPr="009B4316" w:rsidR="009B4316" w:rsidTr="50A980FD" w14:paraId="4ED7E565" w14:textId="77777777">
        <w:trPr>
          <w:trHeight w:val="382"/>
        </w:trPr>
        <w:tc>
          <w:tcPr>
            <w:tcW w:w="4820" w:type="dxa"/>
            <w:tcMar/>
          </w:tcPr>
          <w:p w:rsidRPr="009B4316" w:rsidR="009B4316" w:rsidP="002524AF" w:rsidRDefault="009B4316" w14:paraId="60556884" w14:textId="31AD941A">
            <w:pPr>
              <w:rPr>
                <w:rFonts w:cs="Arial"/>
              </w:rPr>
            </w:pPr>
            <w:r w:rsidRPr="50A980FD" w:rsidR="009B4316">
              <w:rPr>
                <w:rFonts w:cs="Arial"/>
              </w:rPr>
              <w:t xml:space="preserve">V Praze dne </w:t>
            </w:r>
            <w:r w:rsidRPr="50A980FD" w:rsidR="1220594B">
              <w:rPr>
                <w:rFonts w:cs="Arial"/>
              </w:rPr>
              <w:t>1. 10. 2022</w:t>
            </w:r>
          </w:p>
          <w:p w:rsidRPr="009B4316" w:rsidR="009B4316" w:rsidP="002524AF" w:rsidRDefault="009B4316" w14:paraId="47977003" w14:textId="77777777">
            <w:pPr>
              <w:rPr>
                <w:rFonts w:cs="Arial"/>
              </w:rPr>
            </w:pPr>
          </w:p>
        </w:tc>
        <w:tc>
          <w:tcPr>
            <w:tcW w:w="4961" w:type="dxa"/>
            <w:tcMar/>
          </w:tcPr>
          <w:p w:rsidRPr="009B4316" w:rsidR="009B4316" w:rsidP="50A980FD" w:rsidRDefault="009B4316" w14:paraId="17B0F7B0" w14:textId="4ED1E1D3">
            <w:pPr>
              <w:pStyle w:val="Normln"/>
              <w:rPr>
                <w:rFonts w:cs="Arial"/>
              </w:rPr>
            </w:pPr>
            <w:r w:rsidRPr="50A980FD" w:rsidR="009B4316">
              <w:rPr>
                <w:rFonts w:cs="Arial"/>
              </w:rPr>
              <w:t xml:space="preserve">V Praze dne </w:t>
            </w:r>
            <w:r w:rsidRPr="50A980FD" w:rsidR="3EB0C42A">
              <w:rPr>
                <w:rFonts w:cs="Arial"/>
              </w:rPr>
              <w:t>1. 10. 2022</w:t>
            </w:r>
          </w:p>
          <w:p w:rsidRPr="009B4316" w:rsidR="009B4316" w:rsidP="002524AF" w:rsidRDefault="009B4316" w14:paraId="7B1AD12F" w14:textId="77777777">
            <w:pPr>
              <w:rPr>
                <w:rFonts w:cs="Arial"/>
              </w:rPr>
            </w:pPr>
          </w:p>
        </w:tc>
      </w:tr>
    </w:tbl>
    <w:p w:rsidR="009B4316" w:rsidP="009B4316" w:rsidRDefault="009B4316" w14:paraId="400903C8" w14:textId="55F6F9E8" w14:noSpellErr="1">
      <w:pPr>
        <w:rPr>
          <w:rFonts w:cs="Arial"/>
        </w:rPr>
      </w:pPr>
    </w:p>
    <w:p w:rsidR="00962FE0" w:rsidP="009B4316" w:rsidRDefault="00962FE0" w14:paraId="7EDE2938" w14:textId="2BE057C9" w14:noSpellErr="1">
      <w:pPr>
        <w:rPr>
          <w:rFonts w:cs="Arial"/>
        </w:rPr>
      </w:pPr>
    </w:p>
    <w:p w:rsidR="00962FE0" w:rsidP="009B4316" w:rsidRDefault="00962FE0" w14:paraId="58947908" w14:textId="52F41EE4" w14:noSpellErr="1">
      <w:pPr>
        <w:rPr>
          <w:rFonts w:cs="Arial"/>
        </w:rPr>
      </w:pPr>
    </w:p>
    <w:p w:rsidRPr="009B4316" w:rsidR="00962FE0" w:rsidP="009B4316" w:rsidRDefault="00962FE0" w14:paraId="7A51FBBF" w14:textId="77777777">
      <w:pPr>
        <w:rPr>
          <w:rFonts w:cs="Arial"/>
        </w:rPr>
      </w:pPr>
    </w:p>
    <w:p w:rsidRPr="009B4316" w:rsidR="009B4316" w:rsidP="009B4316" w:rsidRDefault="009B4316" w14:paraId="34E2E0E1" w14:textId="77777777">
      <w:pPr>
        <w:rPr>
          <w:rFonts w:cs="Arial"/>
        </w:rPr>
      </w:pPr>
    </w:p>
    <w:tbl>
      <w:tblPr>
        <w:tblW w:w="0" w:type="auto"/>
        <w:tblLook w:val="01E0" w:firstRow="1" w:lastRow="1" w:firstColumn="1" w:lastColumn="1" w:noHBand="0" w:noVBand="0"/>
      </w:tblPr>
      <w:tblGrid>
        <w:gridCol w:w="4688"/>
        <w:gridCol w:w="4384"/>
      </w:tblGrid>
      <w:tr w:rsidRPr="009B4316" w:rsidR="009B4316" w:rsidTr="002524AF" w14:paraId="76AC08AF" w14:textId="77777777">
        <w:tc>
          <w:tcPr>
            <w:tcW w:w="4781" w:type="dxa"/>
          </w:tcPr>
          <w:p w:rsidRPr="009B4316" w:rsidR="009B4316" w:rsidP="002524AF" w:rsidRDefault="009B4316" w14:paraId="7ED9EDAD" w14:textId="77777777">
            <w:pPr>
              <w:rPr>
                <w:rFonts w:cs="Arial"/>
              </w:rPr>
            </w:pPr>
            <w:r w:rsidRPr="009B4316">
              <w:rPr>
                <w:rFonts w:cs="Arial"/>
              </w:rPr>
              <w:t>_______________________</w:t>
            </w:r>
          </w:p>
        </w:tc>
        <w:tc>
          <w:tcPr>
            <w:tcW w:w="4466" w:type="dxa"/>
          </w:tcPr>
          <w:p w:rsidRPr="009B4316" w:rsidR="009B4316" w:rsidP="002524AF" w:rsidRDefault="009B4316" w14:paraId="0980132B" w14:textId="77777777">
            <w:pPr>
              <w:rPr>
                <w:rFonts w:cs="Arial"/>
              </w:rPr>
            </w:pPr>
            <w:r w:rsidRPr="009B4316">
              <w:rPr>
                <w:rFonts w:cs="Arial"/>
              </w:rPr>
              <w:t>______________________</w:t>
            </w:r>
          </w:p>
          <w:p w:rsidRPr="009B4316" w:rsidR="009B4316" w:rsidP="002524AF" w:rsidRDefault="009B4316" w14:paraId="116BFBEA" w14:textId="77777777">
            <w:pPr>
              <w:rPr>
                <w:rFonts w:cs="Arial"/>
              </w:rPr>
            </w:pPr>
          </w:p>
        </w:tc>
      </w:tr>
      <w:tr w:rsidRPr="009B4316" w:rsidR="009B4316" w:rsidTr="002524AF" w14:paraId="07FBB588" w14:textId="77777777">
        <w:tc>
          <w:tcPr>
            <w:tcW w:w="4781" w:type="dxa"/>
          </w:tcPr>
          <w:p w:rsidRPr="009B4316" w:rsidR="009B4316" w:rsidP="002524AF" w:rsidRDefault="009B4316" w14:paraId="40D6291F" w14:textId="77777777">
            <w:pPr>
              <w:rPr>
                <w:rFonts w:cs="Arial"/>
              </w:rPr>
            </w:pPr>
            <w:r w:rsidRPr="009B4316">
              <w:rPr>
                <w:rFonts w:cs="Arial"/>
              </w:rPr>
              <w:t xml:space="preserve">za Objednatele </w:t>
            </w:r>
          </w:p>
          <w:p w:rsidRPr="009B4316" w:rsidR="009B4316" w:rsidP="002524AF" w:rsidRDefault="009B4316" w14:paraId="72F4545D" w14:textId="77777777">
            <w:pPr>
              <w:rPr>
                <w:rFonts w:cs="Arial"/>
              </w:rPr>
            </w:pPr>
          </w:p>
        </w:tc>
        <w:tc>
          <w:tcPr>
            <w:tcW w:w="4466" w:type="dxa"/>
          </w:tcPr>
          <w:p w:rsidRPr="009B4316" w:rsidR="009B4316" w:rsidP="002524AF" w:rsidRDefault="009B4316" w14:paraId="22556647" w14:textId="77777777">
            <w:pPr>
              <w:rPr>
                <w:rFonts w:cs="Arial"/>
              </w:rPr>
            </w:pPr>
            <w:r w:rsidRPr="009B4316">
              <w:rPr>
                <w:rFonts w:cs="Arial"/>
              </w:rPr>
              <w:t>za Poskytovatele</w:t>
            </w:r>
          </w:p>
          <w:p w:rsidRPr="009B4316" w:rsidR="009B4316" w:rsidP="002524AF" w:rsidRDefault="009B4316" w14:paraId="41417A40" w14:textId="77777777">
            <w:pPr>
              <w:rPr>
                <w:rFonts w:cs="Arial"/>
              </w:rPr>
            </w:pPr>
          </w:p>
        </w:tc>
      </w:tr>
    </w:tbl>
    <w:p w:rsidRPr="009B4316" w:rsidR="003A3240" w:rsidP="009B4316" w:rsidRDefault="003A3240" w14:paraId="5E6FD26F" w14:textId="77777777">
      <w:pPr>
        <w:rPr>
          <w:rFonts w:cs="Arial"/>
        </w:rPr>
      </w:pPr>
      <w:r w:rsidRPr="009B4316">
        <w:rPr>
          <w:rFonts w:cs="Arial"/>
        </w:rPr>
        <w:br w:type="page"/>
      </w:r>
    </w:p>
    <w:p w:rsidRPr="00302789" w:rsidR="004E507B" w:rsidP="50A980FD" w:rsidRDefault="004E507B" w14:paraId="02E8D6BA" w14:textId="77777777" w14:noSpellErr="1">
      <w:pPr>
        <w:rPr>
          <w:rFonts w:cs="Arial"/>
          <w:b w:val="1"/>
          <w:bCs w:val="1"/>
          <w:sz w:val="36"/>
          <w:szCs w:val="36"/>
        </w:rPr>
      </w:pPr>
      <w:r w:rsidRPr="50A980FD" w:rsidR="004E507B">
        <w:rPr>
          <w:rFonts w:cs="Arial"/>
          <w:b w:val="1"/>
          <w:bCs w:val="1"/>
          <w:sz w:val="36"/>
          <w:szCs w:val="36"/>
        </w:rPr>
        <w:t>Příloha č. 1</w:t>
      </w:r>
    </w:p>
    <w:p w:rsidRPr="00302789" w:rsidR="004E507B" w:rsidP="50A980FD" w:rsidRDefault="005C2EEA" w14:paraId="39824E59" w14:textId="7A7B6B8D" w14:noSpellErr="1">
      <w:pPr>
        <w:rPr>
          <w:rFonts w:cs="Arial"/>
          <w:b w:val="1"/>
          <w:bCs w:val="1"/>
        </w:rPr>
      </w:pPr>
      <w:r w:rsidRPr="50A980FD" w:rsidR="005C2EEA">
        <w:rPr>
          <w:b w:val="1"/>
          <w:bCs w:val="1"/>
        </w:rPr>
        <w:t>Parametry poskytovaných služeb</w:t>
      </w:r>
    </w:p>
    <w:p w:rsidRPr="00476DD0" w:rsidR="004E507B" w:rsidP="004E507B" w:rsidRDefault="004E507B" w14:paraId="57048FB0" w14:textId="77777777">
      <w:pPr>
        <w:pStyle w:val="Nadpis1"/>
        <w:keepLines w:val="0"/>
        <w:numPr>
          <w:ilvl w:val="0"/>
          <w:numId w:val="12"/>
        </w:numPr>
        <w:spacing w:before="240" w:after="120" w:line="240" w:lineRule="auto"/>
        <w:jc w:val="left"/>
        <w:rPr>
          <w:rFonts w:cs="Arial"/>
        </w:rPr>
      </w:pPr>
      <w:r w:rsidRPr="00476DD0">
        <w:rPr>
          <w:rFonts w:cs="Arial"/>
        </w:rPr>
        <w:t xml:space="preserve">Základní </w:t>
      </w:r>
      <w:r w:rsidRPr="00476DD0" w:rsidR="00072B8E">
        <w:rPr>
          <w:rFonts w:cs="Arial"/>
        </w:rPr>
        <w:t>charakteristika předmětu plnění</w:t>
      </w:r>
    </w:p>
    <w:p w:rsidR="001E3685" w:rsidP="001E3685" w:rsidRDefault="00072B8E" w14:paraId="65093E3C" w14:textId="77777777">
      <w:pPr>
        <w:rPr>
          <w:rFonts w:cs="Arial"/>
        </w:rPr>
      </w:pPr>
      <w:r w:rsidRPr="00476DD0">
        <w:rPr>
          <w:rFonts w:cs="Arial"/>
        </w:rPr>
        <w:t>Konzultační služby a vývojové práce se budou realizovat s cílem zlepšení a rozvoje služeb a jejich případné návaznosti na další systémy Objednatele a jedná se především o</w:t>
      </w:r>
      <w:r w:rsidRPr="00476DD0" w:rsidR="004E507B">
        <w:rPr>
          <w:rFonts w:cs="Arial"/>
        </w:rPr>
        <w:t>:</w:t>
      </w:r>
    </w:p>
    <w:p w:rsidR="001E3685" w:rsidP="001E3685" w:rsidRDefault="001E3685" w14:paraId="2EA561D5" w14:textId="77777777">
      <w:pPr>
        <w:rPr>
          <w:rFonts w:cs="Arial"/>
          <w:b/>
        </w:rPr>
      </w:pPr>
    </w:p>
    <w:p w:rsidRPr="001E3685" w:rsidR="001E3685" w:rsidP="001E3685" w:rsidRDefault="001E3685" w14:paraId="19A700A6" w14:textId="77777777">
      <w:pPr>
        <w:rPr>
          <w:rFonts w:cs="Arial"/>
          <w:b/>
        </w:rPr>
      </w:pPr>
      <w:r w:rsidRPr="001E3685">
        <w:rPr>
          <w:rFonts w:cs="Arial"/>
          <w:b/>
        </w:rPr>
        <w:t>Přijetí ke studiu</w:t>
      </w:r>
    </w:p>
    <w:p w:rsidR="007C3FD5" w:rsidP="001E3685" w:rsidRDefault="001E3685" w14:paraId="49359677" w14:textId="283572A4">
      <w:pPr>
        <w:spacing w:after="100" w:line="276" w:lineRule="auto"/>
        <w:ind w:left="454"/>
        <w:rPr>
          <w:rFonts w:cs="Arial"/>
        </w:rPr>
      </w:pPr>
      <w:r w:rsidRPr="001E3685">
        <w:rPr>
          <w:rFonts w:cs="Arial"/>
        </w:rPr>
        <w:t xml:space="preserve">Elektronické podávání </w:t>
      </w:r>
      <w:r w:rsidR="007C3FD5">
        <w:rPr>
          <w:rFonts w:cs="Arial"/>
        </w:rPr>
        <w:t>(př</w:t>
      </w:r>
      <w:r w:rsidR="006016D7">
        <w:rPr>
          <w:rFonts w:cs="Arial"/>
        </w:rPr>
        <w:t>i</w:t>
      </w:r>
      <w:r w:rsidR="007C3FD5">
        <w:rPr>
          <w:rFonts w:cs="Arial"/>
        </w:rPr>
        <w:t>hláška – prihlaska.amu.cz</w:t>
      </w:r>
      <w:r w:rsidR="006016D7">
        <w:rPr>
          <w:rFonts w:cs="Arial"/>
        </w:rPr>
        <w:t>)</w:t>
      </w:r>
    </w:p>
    <w:p w:rsidRPr="001E3685" w:rsidR="001E3685" w:rsidP="001E3685" w:rsidRDefault="007C3FD5" w14:paraId="36D092BB" w14:textId="5114C495">
      <w:pPr>
        <w:spacing w:after="100" w:line="276" w:lineRule="auto"/>
        <w:ind w:left="454"/>
        <w:rPr>
          <w:rFonts w:cs="Arial"/>
        </w:rPr>
      </w:pPr>
      <w:r>
        <w:rPr>
          <w:rFonts w:cs="Arial"/>
        </w:rPr>
        <w:t xml:space="preserve"> </w:t>
      </w:r>
      <w:r w:rsidRPr="001E3685" w:rsidR="001E3685">
        <w:rPr>
          <w:rFonts w:cs="Arial"/>
        </w:rPr>
        <w:t>a sledování stavu přihlášek uchazeči do všech typů studia</w:t>
      </w:r>
    </w:p>
    <w:p w:rsidRPr="001E3685" w:rsidR="001E3685" w:rsidP="001E3685" w:rsidRDefault="001E3685" w14:paraId="7A99F323" w14:textId="77777777">
      <w:pPr>
        <w:spacing w:after="100" w:line="276" w:lineRule="auto"/>
        <w:ind w:left="454"/>
        <w:rPr>
          <w:rFonts w:cs="Arial"/>
        </w:rPr>
      </w:pPr>
      <w:r w:rsidRPr="001E3685">
        <w:rPr>
          <w:rFonts w:cs="Arial"/>
        </w:rPr>
        <w:t>Vypisování studijních programů / specializací / oborů do přijímacího řízení</w:t>
      </w:r>
    </w:p>
    <w:p w:rsidRPr="001E3685" w:rsidR="001E3685" w:rsidP="001E3685" w:rsidRDefault="001E3685" w14:paraId="7F11726F" w14:textId="77777777">
      <w:pPr>
        <w:spacing w:after="100" w:line="276" w:lineRule="auto"/>
        <w:ind w:left="454"/>
        <w:rPr>
          <w:rFonts w:cs="Arial"/>
        </w:rPr>
      </w:pPr>
      <w:r w:rsidRPr="001E3685">
        <w:rPr>
          <w:rFonts w:cs="Arial"/>
        </w:rPr>
        <w:t>Sledování splnění podmínek přijímacího řízení uchazečů</w:t>
      </w:r>
    </w:p>
    <w:p w:rsidRPr="001E3685" w:rsidR="001E3685" w:rsidP="001E3685" w:rsidRDefault="001E3685" w14:paraId="5B5FFBBE" w14:textId="77777777">
      <w:pPr>
        <w:spacing w:after="100" w:line="276" w:lineRule="auto"/>
        <w:ind w:left="454"/>
        <w:rPr>
          <w:rFonts w:cs="Arial"/>
        </w:rPr>
      </w:pPr>
      <w:r w:rsidRPr="001E3685">
        <w:rPr>
          <w:rFonts w:cs="Arial"/>
        </w:rPr>
        <w:t>Evidence výsledků přijímacích zkoušek</w:t>
      </w:r>
    </w:p>
    <w:p w:rsidRPr="001E3685" w:rsidR="001E3685" w:rsidP="001E3685" w:rsidRDefault="001E3685" w14:paraId="0C4985C3" w14:textId="77777777">
      <w:pPr>
        <w:spacing w:after="100" w:line="276" w:lineRule="auto"/>
        <w:ind w:left="454"/>
        <w:rPr>
          <w:rFonts w:cs="Arial"/>
        </w:rPr>
      </w:pPr>
      <w:r w:rsidRPr="001E3685">
        <w:rPr>
          <w:rFonts w:cs="Arial"/>
        </w:rPr>
        <w:t>Generování rozhodnutí o přijímacím řízení</w:t>
      </w:r>
    </w:p>
    <w:p w:rsidRPr="001E3685" w:rsidR="001E3685" w:rsidP="001E3685" w:rsidRDefault="001E3685" w14:paraId="7B9D463B" w14:textId="77777777">
      <w:pPr>
        <w:spacing w:after="100" w:line="276" w:lineRule="auto"/>
        <w:ind w:left="454"/>
        <w:rPr>
          <w:rFonts w:cs="Arial"/>
        </w:rPr>
      </w:pPr>
      <w:r w:rsidRPr="001E3685">
        <w:rPr>
          <w:rFonts w:cs="Arial"/>
        </w:rPr>
        <w:t>Zápis do studia včetně podpory on-line zápisů</w:t>
      </w:r>
    </w:p>
    <w:p w:rsidRPr="001E3685" w:rsidR="001E3685" w:rsidP="001E3685" w:rsidRDefault="001E3685" w14:paraId="5B9C2EB5" w14:textId="77777777">
      <w:pPr>
        <w:spacing w:after="100" w:line="276" w:lineRule="auto"/>
        <w:ind w:left="454"/>
        <w:rPr>
          <w:rFonts w:cs="Arial"/>
        </w:rPr>
      </w:pPr>
      <w:r w:rsidRPr="001E3685">
        <w:rPr>
          <w:rFonts w:cs="Arial"/>
        </w:rPr>
        <w:t>Generování výkazů pro MŠMT, statistických údajů a přehledů</w:t>
      </w:r>
    </w:p>
    <w:p w:rsidRPr="001E3685" w:rsidR="001E3685" w:rsidP="001E3685" w:rsidRDefault="001E3685" w14:paraId="11B8B78A" w14:textId="77777777">
      <w:pPr>
        <w:spacing w:after="100" w:line="276" w:lineRule="auto"/>
        <w:ind w:left="454"/>
        <w:rPr>
          <w:rFonts w:cs="Arial"/>
        </w:rPr>
      </w:pPr>
      <w:r w:rsidRPr="001E3685">
        <w:rPr>
          <w:rFonts w:cs="Arial"/>
        </w:rPr>
        <w:t>Podpora pro přijímání do kurzů CŽV a U3V</w:t>
      </w:r>
    </w:p>
    <w:p w:rsidRPr="001E3685" w:rsidR="001E3685" w:rsidP="001E3685" w:rsidRDefault="001E3685" w14:paraId="7665DE2E" w14:textId="77777777">
      <w:pPr>
        <w:spacing w:after="100" w:line="276" w:lineRule="auto"/>
        <w:rPr>
          <w:rFonts w:cs="Arial"/>
          <w:b/>
        </w:rPr>
      </w:pPr>
      <w:r w:rsidRPr="001E3685">
        <w:rPr>
          <w:rFonts w:cs="Arial"/>
          <w:b/>
        </w:rPr>
        <w:t>Evidence studia</w:t>
      </w:r>
    </w:p>
    <w:p w:rsidRPr="001E3685" w:rsidR="001E3685" w:rsidP="001E3685" w:rsidRDefault="001E3685" w14:paraId="3D097BA1" w14:textId="77777777">
      <w:pPr>
        <w:spacing w:after="100" w:line="276" w:lineRule="auto"/>
        <w:ind w:left="454"/>
        <w:rPr>
          <w:rFonts w:cs="Arial"/>
        </w:rPr>
      </w:pPr>
      <w:r w:rsidRPr="001E3685">
        <w:rPr>
          <w:rFonts w:cs="Arial"/>
        </w:rPr>
        <w:t>Základní evidence studií a studijních výsledků</w:t>
      </w:r>
    </w:p>
    <w:p w:rsidRPr="001E3685" w:rsidR="001E3685" w:rsidP="001E3685" w:rsidRDefault="001E3685" w14:paraId="2FD89F23" w14:textId="77777777">
      <w:pPr>
        <w:spacing w:after="100" w:line="276" w:lineRule="auto"/>
        <w:ind w:left="454"/>
        <w:rPr>
          <w:rFonts w:cs="Arial"/>
        </w:rPr>
      </w:pPr>
      <w:r w:rsidRPr="001E3685">
        <w:rPr>
          <w:rFonts w:cs="Arial"/>
        </w:rPr>
        <w:t>Evidence studijních programů / specializací / oborů</w:t>
      </w:r>
    </w:p>
    <w:p w:rsidRPr="001E3685" w:rsidR="001E3685" w:rsidP="50A980FD" w:rsidRDefault="001E3685" w14:paraId="245DDEC7" w14:textId="77777777" w14:noSpellErr="1">
      <w:pPr>
        <w:spacing w:after="100" w:line="276" w:lineRule="auto"/>
        <w:ind w:left="454" w:firstLine="0"/>
        <w:rPr>
          <w:rFonts w:cs="Arial"/>
        </w:rPr>
      </w:pPr>
      <w:r w:rsidRPr="001E3685" w:rsidR="001E3685">
        <w:rPr>
          <w:rFonts w:cs="Arial"/>
        </w:rPr>
        <w:t>Podpora akreditací</w:t>
      </w:r>
    </w:p>
    <w:p w:rsidRPr="001E3685" w:rsidR="001E3685" w:rsidP="50A980FD" w:rsidRDefault="001E3685" w14:paraId="403842B2" w14:textId="77777777" w14:noSpellErr="1">
      <w:pPr>
        <w:spacing w:after="100" w:line="276" w:lineRule="auto"/>
        <w:ind w:left="454" w:firstLine="0"/>
        <w:rPr>
          <w:rFonts w:cs="Arial"/>
        </w:rPr>
      </w:pPr>
      <w:r w:rsidRPr="001E3685" w:rsidR="001E3685">
        <w:rPr>
          <w:rFonts w:cs="Arial"/>
        </w:rPr>
        <w:t>Podpora pro přípravu a evidenci studijních plánů</w:t>
      </w:r>
    </w:p>
    <w:p w:rsidRPr="001E3685" w:rsidR="001E3685" w:rsidP="001E3685" w:rsidRDefault="001E3685" w14:paraId="49638EAA" w14:textId="77777777">
      <w:pPr>
        <w:spacing w:after="100" w:line="276" w:lineRule="auto"/>
        <w:ind w:left="454"/>
        <w:rPr>
          <w:rFonts w:cs="Arial"/>
        </w:rPr>
      </w:pPr>
      <w:r w:rsidRPr="001E3685">
        <w:rPr>
          <w:rFonts w:cs="Arial"/>
        </w:rPr>
        <w:t>Katalog předmětů a vypisování předmětů do semestru, včetně mimořádných předmětů</w:t>
      </w:r>
    </w:p>
    <w:p w:rsidRPr="001E3685" w:rsidR="001E3685" w:rsidP="001E3685" w:rsidRDefault="001E3685" w14:paraId="0B64EE19" w14:textId="77777777">
      <w:pPr>
        <w:spacing w:after="100" w:line="276" w:lineRule="auto"/>
        <w:ind w:left="454"/>
        <w:rPr>
          <w:rFonts w:cs="Arial"/>
        </w:rPr>
      </w:pPr>
      <w:r w:rsidRPr="001E3685">
        <w:rPr>
          <w:rFonts w:cs="Arial"/>
        </w:rPr>
        <w:t>Evidence vyučujících a studentů</w:t>
      </w:r>
    </w:p>
    <w:p w:rsidRPr="001E3685" w:rsidR="001E3685" w:rsidP="001E3685" w:rsidRDefault="001E3685" w14:paraId="3A0EDC7F" w14:textId="77777777">
      <w:pPr>
        <w:spacing w:after="100" w:line="276" w:lineRule="auto"/>
        <w:ind w:left="454"/>
        <w:rPr>
          <w:rFonts w:cs="Arial"/>
        </w:rPr>
      </w:pPr>
      <w:r w:rsidRPr="001E3685">
        <w:rPr>
          <w:rFonts w:cs="Arial"/>
        </w:rPr>
        <w:t>Vykazování matriky (generování výstupů pro SIMS), podpora pro opravu chyb</w:t>
      </w:r>
    </w:p>
    <w:p w:rsidRPr="001E3685" w:rsidR="001E3685" w:rsidP="001E3685" w:rsidRDefault="001E3685" w14:paraId="672DBC71" w14:textId="77777777">
      <w:pPr>
        <w:spacing w:after="100" w:line="276" w:lineRule="auto"/>
        <w:ind w:left="454"/>
        <w:rPr>
          <w:rFonts w:cs="Arial"/>
        </w:rPr>
      </w:pPr>
      <w:r w:rsidRPr="001E3685">
        <w:rPr>
          <w:rFonts w:cs="Arial"/>
        </w:rPr>
        <w:t>Statistické výstupy a přehledy pro MŠMT a do výročních zpráv</w:t>
      </w:r>
    </w:p>
    <w:p w:rsidRPr="001E3685" w:rsidR="001E3685" w:rsidP="001E3685" w:rsidRDefault="001E3685" w14:paraId="60A31FC1" w14:textId="4BEFD86B">
      <w:pPr>
        <w:spacing w:after="100" w:line="276" w:lineRule="auto"/>
        <w:ind w:left="454"/>
        <w:rPr>
          <w:rFonts w:cs="Arial"/>
        </w:rPr>
      </w:pPr>
      <w:r w:rsidRPr="00187E8C">
        <w:rPr>
          <w:rFonts w:cs="Arial"/>
        </w:rPr>
        <w:t xml:space="preserve">Podpora </w:t>
      </w:r>
      <w:r w:rsidR="00187E8C">
        <w:rPr>
          <w:rFonts w:cs="Arial"/>
        </w:rPr>
        <w:t>mezifakultní výuky</w:t>
      </w:r>
    </w:p>
    <w:p w:rsidRPr="001E3685" w:rsidR="001E3685" w:rsidP="001E3685" w:rsidRDefault="001E3685" w14:paraId="6D060DBF" w14:textId="77777777">
      <w:pPr>
        <w:spacing w:after="100" w:line="276" w:lineRule="auto"/>
        <w:ind w:left="454"/>
        <w:rPr>
          <w:rFonts w:cs="Arial"/>
        </w:rPr>
      </w:pPr>
      <w:r w:rsidRPr="001E3685">
        <w:rPr>
          <w:rFonts w:cs="Arial"/>
        </w:rPr>
        <w:t>Odesílání e-mailových notifikací i vlastních e-mailových zpráv s přílohami</w:t>
      </w:r>
    </w:p>
    <w:p w:rsidR="001E3685" w:rsidP="001E3685" w:rsidRDefault="001E3685" w14:paraId="1C4A420A" w14:textId="5B60D5C9">
      <w:pPr>
        <w:spacing w:after="100" w:line="276" w:lineRule="auto"/>
        <w:ind w:left="454"/>
        <w:rPr>
          <w:rFonts w:cs="Arial"/>
        </w:rPr>
      </w:pPr>
      <w:r w:rsidRPr="001E3685">
        <w:rPr>
          <w:rFonts w:cs="Arial"/>
        </w:rPr>
        <w:t>Kontroly plnění studijních povinností</w:t>
      </w:r>
    </w:p>
    <w:p w:rsidR="00E61536" w:rsidP="001E3685" w:rsidRDefault="00E61536" w14:paraId="2CF66865" w14:textId="73C90B07">
      <w:pPr>
        <w:spacing w:after="100" w:line="276" w:lineRule="auto"/>
        <w:ind w:left="454"/>
        <w:rPr>
          <w:rFonts w:cs="Arial"/>
        </w:rPr>
      </w:pPr>
      <w:r>
        <w:rPr>
          <w:rFonts w:cs="Arial"/>
        </w:rPr>
        <w:t>Evidence probíhajících mobilit (příjezdů i výjezdů)</w:t>
      </w:r>
    </w:p>
    <w:p w:rsidR="00E61536" w:rsidP="001E3685" w:rsidRDefault="004743BD" w14:paraId="02B8FD83" w14:textId="200119A9">
      <w:pPr>
        <w:spacing w:after="100" w:line="276" w:lineRule="auto"/>
        <w:ind w:left="454"/>
        <w:rPr>
          <w:rFonts w:cs="Arial"/>
        </w:rPr>
      </w:pPr>
      <w:r>
        <w:rPr>
          <w:rFonts w:cs="Arial"/>
        </w:rPr>
        <w:t>Evidence účastníků CŽV</w:t>
      </w:r>
    </w:p>
    <w:p w:rsidR="007A51CE" w:rsidP="001E3685" w:rsidRDefault="007A51CE" w14:paraId="65422FB9" w14:textId="13F2315F">
      <w:pPr>
        <w:spacing w:after="100" w:line="276" w:lineRule="auto"/>
        <w:ind w:left="454"/>
        <w:rPr>
          <w:rFonts w:cs="Arial"/>
        </w:rPr>
      </w:pPr>
      <w:r>
        <w:rPr>
          <w:rFonts w:cs="Arial"/>
        </w:rPr>
        <w:t xml:space="preserve">Evaluace </w:t>
      </w:r>
      <w:r w:rsidR="009C06E8">
        <w:rPr>
          <w:rFonts w:cs="Arial"/>
        </w:rPr>
        <w:t>předmětů (hodnocení proběhlé výuky předmětu studentem)</w:t>
      </w:r>
    </w:p>
    <w:p w:rsidRPr="001E3685" w:rsidR="009C06E8" w:rsidP="001E3685" w:rsidRDefault="009C06E8" w14:paraId="4D5CB4D2" w14:textId="6D6B3B8C">
      <w:pPr>
        <w:spacing w:after="100" w:line="276" w:lineRule="auto"/>
        <w:ind w:left="454"/>
        <w:rPr>
          <w:rFonts w:cs="Arial"/>
        </w:rPr>
      </w:pPr>
      <w:r>
        <w:rPr>
          <w:rFonts w:cs="Arial"/>
        </w:rPr>
        <w:lastRenderedPageBreak/>
        <w:t>Evidence absolventů s</w:t>
      </w:r>
      <w:r w:rsidR="00822C60">
        <w:rPr>
          <w:rFonts w:cs="Arial"/>
        </w:rPr>
        <w:t> možností aktualizovat</w:t>
      </w:r>
      <w:r>
        <w:rPr>
          <w:rFonts w:cs="Arial"/>
        </w:rPr>
        <w:t xml:space="preserve"> základními ko</w:t>
      </w:r>
      <w:r w:rsidR="00822C60">
        <w:rPr>
          <w:rFonts w:cs="Arial"/>
        </w:rPr>
        <w:t>ntaktními údaji</w:t>
      </w:r>
    </w:p>
    <w:p w:rsidRPr="001E3685" w:rsidR="001E3685" w:rsidP="001E3685" w:rsidRDefault="001E3685" w14:paraId="67D4319A" w14:textId="77777777">
      <w:pPr>
        <w:spacing w:after="100" w:line="276" w:lineRule="auto"/>
        <w:rPr>
          <w:rFonts w:cs="Arial"/>
          <w:b/>
        </w:rPr>
      </w:pPr>
      <w:r w:rsidRPr="001E3685">
        <w:rPr>
          <w:rFonts w:cs="Arial"/>
          <w:b/>
        </w:rPr>
        <w:t>Podpora doktorského studia</w:t>
      </w:r>
    </w:p>
    <w:p w:rsidRPr="001E3685" w:rsidR="001E3685" w:rsidP="001E3685" w:rsidRDefault="001E3685" w14:paraId="527FD515" w14:textId="77777777">
      <w:pPr>
        <w:spacing w:after="100" w:line="276" w:lineRule="auto"/>
        <w:ind w:left="454"/>
        <w:rPr>
          <w:rFonts w:cs="Arial"/>
        </w:rPr>
      </w:pPr>
      <w:r w:rsidRPr="001E3685">
        <w:rPr>
          <w:rFonts w:cs="Arial"/>
        </w:rPr>
        <w:t>Vypisování předmětů na akademický rok</w:t>
      </w:r>
    </w:p>
    <w:p w:rsidRPr="001E3685" w:rsidR="001E3685" w:rsidP="001E3685" w:rsidRDefault="001E3685" w14:paraId="0D1E754D" w14:textId="77777777">
      <w:pPr>
        <w:spacing w:after="100" w:line="276" w:lineRule="auto"/>
        <w:ind w:left="454"/>
        <w:rPr>
          <w:rFonts w:cs="Arial"/>
        </w:rPr>
      </w:pPr>
      <w:r w:rsidRPr="001E3685">
        <w:rPr>
          <w:rFonts w:cs="Arial"/>
        </w:rPr>
        <w:t>Příprava individuálních studijních plánů</w:t>
      </w:r>
    </w:p>
    <w:p w:rsidR="001E3685" w:rsidP="001E3685" w:rsidRDefault="001E3685" w14:paraId="6486C950" w14:textId="47974C4C">
      <w:pPr>
        <w:spacing w:after="100" w:line="276" w:lineRule="auto"/>
        <w:ind w:left="454"/>
        <w:rPr>
          <w:rFonts w:cs="Arial"/>
        </w:rPr>
      </w:pPr>
      <w:r w:rsidRPr="001E3685">
        <w:rPr>
          <w:rFonts w:cs="Arial"/>
        </w:rPr>
        <w:t>Průběžné hodnocení doktoranda</w:t>
      </w:r>
    </w:p>
    <w:p w:rsidR="00233DC5" w:rsidP="001E3685" w:rsidRDefault="000F2B88" w14:paraId="1256D3AF" w14:textId="5C0BC95A">
      <w:pPr>
        <w:spacing w:after="100" w:line="276" w:lineRule="auto"/>
        <w:ind w:left="454"/>
        <w:rPr>
          <w:rFonts w:cs="Arial"/>
        </w:rPr>
      </w:pPr>
      <w:r>
        <w:rPr>
          <w:rFonts w:cs="Arial"/>
        </w:rPr>
        <w:t>Evidence členů oborových rad a školitelů</w:t>
      </w:r>
    </w:p>
    <w:p w:rsidRPr="001E3685" w:rsidR="000F2B88" w:rsidP="001E3685" w:rsidRDefault="000F2B88" w14:paraId="4B3858CD" w14:textId="4EFC7B9A">
      <w:pPr>
        <w:spacing w:after="100" w:line="276" w:lineRule="auto"/>
        <w:ind w:left="454"/>
        <w:rPr>
          <w:rFonts w:cs="Arial"/>
        </w:rPr>
      </w:pPr>
      <w:r>
        <w:rPr>
          <w:rFonts w:cs="Arial"/>
        </w:rPr>
        <w:t xml:space="preserve">Informační podpora pro </w:t>
      </w:r>
      <w:r w:rsidR="00544388">
        <w:rPr>
          <w:rFonts w:cs="Arial"/>
        </w:rPr>
        <w:t>školitele a garanty doktorských studijních programů</w:t>
      </w:r>
    </w:p>
    <w:p w:rsidRPr="001E3685" w:rsidR="001E3685" w:rsidP="001E3685" w:rsidRDefault="001E3685" w14:paraId="21E5E0B3" w14:textId="77777777">
      <w:pPr>
        <w:spacing w:after="100" w:line="276" w:lineRule="auto"/>
        <w:rPr>
          <w:rFonts w:cs="Arial"/>
          <w:b/>
        </w:rPr>
      </w:pPr>
      <w:r w:rsidRPr="001E3685">
        <w:rPr>
          <w:rFonts w:cs="Arial"/>
          <w:b/>
        </w:rPr>
        <w:t>Tvorba rozvrhu</w:t>
      </w:r>
    </w:p>
    <w:p w:rsidRPr="001E3685" w:rsidR="001E3685" w:rsidP="001E3685" w:rsidRDefault="001E3685" w14:paraId="0AE9F651" w14:textId="5A78C9D7">
      <w:pPr>
        <w:spacing w:after="100" w:line="276" w:lineRule="auto"/>
        <w:ind w:left="454"/>
        <w:rPr>
          <w:rFonts w:cs="Arial"/>
        </w:rPr>
      </w:pPr>
      <w:r w:rsidRPr="001E3685">
        <w:rPr>
          <w:rFonts w:cs="Arial"/>
        </w:rPr>
        <w:t xml:space="preserve">Podpora pro přípravu </w:t>
      </w:r>
      <w:r w:rsidRPr="001E3685" w:rsidR="008B7756">
        <w:rPr>
          <w:rFonts w:cs="Arial"/>
        </w:rPr>
        <w:t>rozvrh</w:t>
      </w:r>
      <w:r w:rsidR="008B7756">
        <w:rPr>
          <w:rFonts w:cs="Arial"/>
        </w:rPr>
        <w:t>ů</w:t>
      </w:r>
      <w:r w:rsidRPr="001E3685" w:rsidR="008B7756">
        <w:rPr>
          <w:rFonts w:cs="Arial"/>
        </w:rPr>
        <w:t xml:space="preserve"> </w:t>
      </w:r>
      <w:r w:rsidRPr="001E3685">
        <w:rPr>
          <w:rFonts w:cs="Arial"/>
        </w:rPr>
        <w:t>na konkrétní čas pro jednotlivé týdny v semestru</w:t>
      </w:r>
    </w:p>
    <w:p w:rsidRPr="001E3685" w:rsidR="001E3685" w:rsidP="001E3685" w:rsidRDefault="001E3685" w14:paraId="4C9B393F" w14:textId="11FEDED8">
      <w:pPr>
        <w:spacing w:after="100" w:line="276" w:lineRule="auto"/>
        <w:ind w:left="454"/>
        <w:rPr>
          <w:rFonts w:cs="Arial"/>
        </w:rPr>
      </w:pPr>
      <w:r w:rsidRPr="001E3685">
        <w:rPr>
          <w:rFonts w:cs="Arial"/>
        </w:rPr>
        <w:t>Možnost vypisování mimořádných akcí</w:t>
      </w:r>
      <w:r w:rsidR="004743BD">
        <w:rPr>
          <w:rFonts w:cs="Arial"/>
        </w:rPr>
        <w:t xml:space="preserve"> (tzv. mimořádná a modulová výuka)</w:t>
      </w:r>
    </w:p>
    <w:p w:rsidRPr="001E3685" w:rsidR="001E3685" w:rsidP="001E3685" w:rsidRDefault="001E3685" w14:paraId="79F00C16" w14:textId="77777777">
      <w:pPr>
        <w:spacing w:after="100" w:line="276" w:lineRule="auto"/>
        <w:ind w:left="454"/>
        <w:rPr>
          <w:rFonts w:cs="Arial"/>
        </w:rPr>
      </w:pPr>
      <w:r w:rsidRPr="001E3685">
        <w:rPr>
          <w:rFonts w:cs="Arial"/>
        </w:rPr>
        <w:t>Umožnění automatického přiřazení rozvrhu studentům i možnost vlastní přípravy rozvrhu studentem</w:t>
      </w:r>
    </w:p>
    <w:p w:rsidRPr="001E3685" w:rsidR="001E3685" w:rsidP="001E3685" w:rsidRDefault="001E3685" w14:paraId="090C9EE8" w14:textId="77777777">
      <w:pPr>
        <w:spacing w:after="100" w:line="276" w:lineRule="auto"/>
        <w:ind w:left="454"/>
        <w:rPr>
          <w:rFonts w:cs="Arial"/>
        </w:rPr>
      </w:pPr>
      <w:r w:rsidRPr="001E3685">
        <w:rPr>
          <w:rFonts w:cs="Arial"/>
        </w:rPr>
        <w:t>Podpora importu rozvrhu vytvořených v externích aplikacích</w:t>
      </w:r>
    </w:p>
    <w:p w:rsidRPr="001E3685" w:rsidR="001E3685" w:rsidP="001E3685" w:rsidRDefault="001E3685" w14:paraId="4438E7F3" w14:textId="77777777">
      <w:pPr>
        <w:spacing w:after="100" w:line="276" w:lineRule="auto"/>
        <w:ind w:left="454"/>
        <w:rPr>
          <w:rFonts w:cs="Arial"/>
        </w:rPr>
      </w:pPr>
      <w:r w:rsidRPr="001E3685">
        <w:rPr>
          <w:rFonts w:cs="Arial"/>
        </w:rPr>
        <w:t>Správa místností a možnost jejich sdílení mezi fakultami</w:t>
      </w:r>
    </w:p>
    <w:p w:rsidRPr="001E3685" w:rsidR="001E3685" w:rsidP="001E3685" w:rsidRDefault="001E3685" w14:paraId="56271B8F" w14:textId="77777777">
      <w:pPr>
        <w:spacing w:after="100" w:line="276" w:lineRule="auto"/>
        <w:rPr>
          <w:rFonts w:cs="Arial"/>
        </w:rPr>
      </w:pPr>
      <w:r w:rsidRPr="001E3685">
        <w:rPr>
          <w:rFonts w:cs="Arial"/>
          <w:b/>
        </w:rPr>
        <w:t>Státní závěrečné zkoušky (SZZ) a evidence vysokoškolských kvalifikačních prací</w:t>
      </w:r>
      <w:r w:rsidRPr="001E3685">
        <w:rPr>
          <w:rFonts w:cs="Arial"/>
        </w:rPr>
        <w:t xml:space="preserve"> (VŠKP)</w:t>
      </w:r>
    </w:p>
    <w:p w:rsidRPr="001E3685" w:rsidR="001E3685" w:rsidP="001E3685" w:rsidRDefault="001E3685" w14:paraId="35592553" w14:textId="77777777">
      <w:pPr>
        <w:spacing w:after="100" w:line="276" w:lineRule="auto"/>
        <w:ind w:left="454"/>
        <w:rPr>
          <w:rFonts w:cs="Arial"/>
        </w:rPr>
      </w:pPr>
      <w:r w:rsidRPr="001E3685">
        <w:rPr>
          <w:rFonts w:cs="Arial"/>
        </w:rPr>
        <w:t>Vypisování rámcových témat a témat závěrečných prací</w:t>
      </w:r>
    </w:p>
    <w:p w:rsidRPr="001E3685" w:rsidR="001E3685" w:rsidP="001E3685" w:rsidRDefault="001E3685" w14:paraId="37F9BBF7" w14:textId="77777777">
      <w:pPr>
        <w:spacing w:after="100" w:line="276" w:lineRule="auto"/>
        <w:ind w:left="454"/>
        <w:rPr>
          <w:rFonts w:cs="Arial"/>
        </w:rPr>
      </w:pPr>
      <w:r w:rsidRPr="001E3685">
        <w:rPr>
          <w:rFonts w:cs="Arial"/>
        </w:rPr>
        <w:t>Evidence VŠKP (podpora různých typů)</w:t>
      </w:r>
    </w:p>
    <w:p w:rsidRPr="001E3685" w:rsidR="001E3685" w:rsidP="001E3685" w:rsidRDefault="001E3685" w14:paraId="02ACD245" w14:textId="77777777">
      <w:pPr>
        <w:spacing w:after="100" w:line="276" w:lineRule="auto"/>
        <w:ind w:left="454"/>
        <w:rPr>
          <w:rFonts w:cs="Arial"/>
        </w:rPr>
      </w:pPr>
      <w:r w:rsidRPr="001E3685">
        <w:rPr>
          <w:rFonts w:cs="Arial"/>
        </w:rPr>
        <w:t>Evidence uměleckých výstupů</w:t>
      </w:r>
    </w:p>
    <w:p w:rsidRPr="001E3685" w:rsidR="001E3685" w:rsidP="001E3685" w:rsidRDefault="001E3685" w14:paraId="3B0B44E2" w14:textId="77777777">
      <w:pPr>
        <w:spacing w:after="100" w:line="276" w:lineRule="auto"/>
        <w:ind w:left="454"/>
        <w:rPr>
          <w:rFonts w:cs="Arial"/>
        </w:rPr>
      </w:pPr>
      <w:r w:rsidRPr="001E3685">
        <w:rPr>
          <w:rFonts w:cs="Arial"/>
        </w:rPr>
        <w:t>Vypisování termínů komisí SZZ</w:t>
      </w:r>
    </w:p>
    <w:p w:rsidRPr="001E3685" w:rsidR="001E3685" w:rsidP="001E3685" w:rsidRDefault="001E3685" w14:paraId="3A5E6533" w14:textId="77777777">
      <w:pPr>
        <w:spacing w:after="100" w:line="276" w:lineRule="auto"/>
        <w:ind w:left="454"/>
        <w:rPr>
          <w:rFonts w:cs="Arial"/>
        </w:rPr>
      </w:pPr>
      <w:r w:rsidRPr="001E3685">
        <w:rPr>
          <w:rFonts w:cs="Arial"/>
        </w:rPr>
        <w:t>Rozdělení SZZ na dílčí části</w:t>
      </w:r>
    </w:p>
    <w:p w:rsidRPr="001E3685" w:rsidR="001E3685" w:rsidP="001E3685" w:rsidRDefault="001E3685" w14:paraId="525D30DD" w14:textId="77777777">
      <w:pPr>
        <w:spacing w:after="100" w:line="276" w:lineRule="auto"/>
        <w:ind w:left="454"/>
        <w:rPr>
          <w:rFonts w:cs="Arial"/>
        </w:rPr>
      </w:pPr>
      <w:r w:rsidRPr="001E3685">
        <w:rPr>
          <w:rFonts w:cs="Arial"/>
        </w:rPr>
        <w:t>Vypisování předmětů SZZ</w:t>
      </w:r>
    </w:p>
    <w:p w:rsidRPr="001E3685" w:rsidR="001E3685" w:rsidP="001E3685" w:rsidRDefault="001E3685" w14:paraId="5C28783B" w14:textId="77777777">
      <w:pPr>
        <w:spacing w:after="100" w:line="276" w:lineRule="auto"/>
        <w:ind w:left="454"/>
        <w:rPr>
          <w:rFonts w:cs="Arial"/>
        </w:rPr>
      </w:pPr>
      <w:r w:rsidRPr="001E3685">
        <w:rPr>
          <w:rFonts w:cs="Arial"/>
        </w:rPr>
        <w:t>Přihlašování studentů ke státnicím</w:t>
      </w:r>
    </w:p>
    <w:p w:rsidRPr="001E3685" w:rsidR="001E3685" w:rsidP="001E3685" w:rsidRDefault="001E3685" w14:paraId="1799697F" w14:textId="77777777">
      <w:pPr>
        <w:spacing w:after="100" w:line="276" w:lineRule="auto"/>
        <w:ind w:left="454"/>
        <w:rPr>
          <w:rFonts w:cs="Arial"/>
        </w:rPr>
      </w:pPr>
      <w:r w:rsidRPr="001E3685">
        <w:rPr>
          <w:rFonts w:cs="Arial"/>
        </w:rPr>
        <w:t>Generování protokolů SZZ, zprávy o průběhu obhajoby aj.</w:t>
      </w:r>
    </w:p>
    <w:p w:rsidRPr="001E3685" w:rsidR="001E3685" w:rsidP="001E3685" w:rsidRDefault="001E3685" w14:paraId="7370DC7D" w14:textId="77777777">
      <w:pPr>
        <w:spacing w:after="100" w:line="276" w:lineRule="auto"/>
        <w:rPr>
          <w:rFonts w:cs="Arial"/>
          <w:b/>
        </w:rPr>
      </w:pPr>
      <w:r w:rsidRPr="001E3685">
        <w:rPr>
          <w:rFonts w:cs="Arial"/>
          <w:b/>
        </w:rPr>
        <w:t>Podpora pro vyplácení stipendií a poplatky spojené se studium</w:t>
      </w:r>
    </w:p>
    <w:p w:rsidRPr="001E3685" w:rsidR="001E3685" w:rsidP="50A980FD" w:rsidRDefault="001E3685" w14:paraId="4BC79FD2" w14:textId="77777777" w14:noSpellErr="1">
      <w:pPr>
        <w:spacing w:after="100" w:line="276" w:lineRule="auto"/>
        <w:ind w:left="454" w:firstLine="0"/>
        <w:rPr>
          <w:rFonts w:cs="Arial"/>
        </w:rPr>
      </w:pPr>
      <w:r w:rsidRPr="001E3685" w:rsidR="001E3685">
        <w:rPr>
          <w:rFonts w:cs="Arial"/>
        </w:rPr>
        <w:t>Příprava a vyplácená prospěchových stipendií</w:t>
      </w:r>
    </w:p>
    <w:p w:rsidRPr="001E3685" w:rsidR="001E3685" w:rsidP="50A980FD" w:rsidRDefault="001E3685" w14:paraId="444B113B" w14:textId="77777777" w14:noSpellErr="1">
      <w:pPr>
        <w:spacing w:after="100" w:line="276" w:lineRule="auto"/>
        <w:ind w:left="454" w:firstLine="0"/>
        <w:rPr>
          <w:rFonts w:cs="Arial"/>
        </w:rPr>
      </w:pPr>
      <w:r w:rsidRPr="001E3685" w:rsidR="001E3685">
        <w:rPr>
          <w:rFonts w:cs="Arial"/>
        </w:rPr>
        <w:t>Příprava a vyplácení ubytovacích stipendií</w:t>
      </w:r>
    </w:p>
    <w:p w:rsidRPr="001E3685" w:rsidR="001E3685" w:rsidP="50A980FD" w:rsidRDefault="001E3685" w14:paraId="0EE0EB63" w14:textId="77777777" w14:noSpellErr="1">
      <w:pPr>
        <w:spacing w:after="100" w:line="276" w:lineRule="auto"/>
        <w:ind w:left="454" w:firstLine="0"/>
        <w:rPr>
          <w:rFonts w:cs="Arial"/>
        </w:rPr>
      </w:pPr>
      <w:r w:rsidRPr="001E3685" w:rsidR="001E3685">
        <w:rPr>
          <w:rFonts w:cs="Arial"/>
        </w:rPr>
        <w:t>Vyplácení sociálních stipendií</w:t>
      </w:r>
    </w:p>
    <w:p w:rsidRPr="001E3685" w:rsidR="001E3685" w:rsidP="50A980FD" w:rsidRDefault="001E3685" w14:paraId="65B2FE78" w14:textId="77777777" w14:noSpellErr="1">
      <w:pPr>
        <w:spacing w:after="100" w:line="276" w:lineRule="auto"/>
        <w:ind w:left="454" w:firstLine="0"/>
        <w:rPr>
          <w:rFonts w:cs="Arial"/>
        </w:rPr>
      </w:pPr>
      <w:r w:rsidRPr="001E3685" w:rsidR="001E3685">
        <w:rPr>
          <w:rFonts w:cs="Arial"/>
        </w:rPr>
        <w:t>Příprava a vyplácení univerzálních stipendií</w:t>
      </w:r>
    </w:p>
    <w:p w:rsidRPr="001E3685" w:rsidR="001E3685" w:rsidP="50A980FD" w:rsidRDefault="001E3685" w14:paraId="1ED922B4" w14:textId="77777777" w14:noSpellErr="1">
      <w:pPr>
        <w:spacing w:after="100" w:line="276" w:lineRule="auto"/>
        <w:ind w:left="454" w:firstLine="0"/>
        <w:rPr>
          <w:rFonts w:cs="Arial"/>
        </w:rPr>
      </w:pPr>
      <w:r w:rsidRPr="001E3685" w:rsidR="001E3685">
        <w:rPr>
          <w:rFonts w:cs="Arial"/>
        </w:rPr>
        <w:t>Poplatky za delší dobu studia</w:t>
      </w:r>
    </w:p>
    <w:p w:rsidRPr="001E3685" w:rsidR="001E3685" w:rsidP="50A980FD" w:rsidRDefault="001E3685" w14:paraId="0B151674" w14:textId="58AA0411">
      <w:pPr>
        <w:spacing w:after="100" w:line="276" w:lineRule="auto"/>
        <w:ind w:left="454" w:firstLine="0"/>
        <w:rPr>
          <w:rFonts w:cs="Arial"/>
        </w:rPr>
      </w:pPr>
      <w:r w:rsidRPr="001E3685" w:rsidR="001E3685">
        <w:rPr>
          <w:rFonts w:cs="Arial"/>
        </w:rPr>
        <w:t xml:space="preserve">Integrace na ekonomický a finanční systém </w:t>
      </w:r>
      <w:proofErr w:type="spellStart"/>
      <w:r w:rsidRPr="001E3685" w:rsidR="001E3685">
        <w:rPr>
          <w:rFonts w:cs="Arial"/>
        </w:rPr>
        <w:t>iFIS</w:t>
      </w:r>
      <w:proofErr w:type="spellEnd"/>
      <w:r w:rsidRPr="001E3685" w:rsidR="001E3685">
        <w:rPr>
          <w:rFonts w:cs="Arial"/>
        </w:rPr>
        <w:t xml:space="preserve"> (firmy </w:t>
      </w:r>
      <w:proofErr w:type="spellStart"/>
      <w:r w:rsidRPr="001E3685" w:rsidR="008B7756">
        <w:rPr>
          <w:rFonts w:cs="Arial"/>
        </w:rPr>
        <w:t>Gordi</w:t>
      </w:r>
      <w:r w:rsidR="008B7756">
        <w:rPr>
          <w:rFonts w:cs="Arial"/>
        </w:rPr>
        <w:t>c</w:t>
      </w:r>
      <w:proofErr w:type="spellEnd"/>
      <w:r w:rsidR="008B7756">
        <w:rPr>
          <w:rFonts w:cs="Arial"/>
        </w:rPr>
        <w:t xml:space="preserve"> - BMM</w:t>
      </w:r>
      <w:r w:rsidRPr="001E3685" w:rsidR="001E3685">
        <w:rPr>
          <w:rFonts w:cs="Arial"/>
        </w:rPr>
        <w:t>)</w:t>
      </w:r>
    </w:p>
    <w:p w:rsidRPr="001E3685" w:rsidR="001E3685" w:rsidP="00CC289B" w:rsidRDefault="001E3685" w14:paraId="430B296C" w14:textId="77777777">
      <w:pPr>
        <w:keepNext/>
        <w:spacing w:after="100" w:line="276" w:lineRule="auto"/>
        <w:rPr>
          <w:rFonts w:cs="Arial"/>
          <w:b/>
        </w:rPr>
      </w:pPr>
      <w:r w:rsidRPr="001E3685">
        <w:rPr>
          <w:rFonts w:cs="Arial"/>
          <w:b/>
        </w:rPr>
        <w:lastRenderedPageBreak/>
        <w:t>Přizpůsobení aplikace</w:t>
      </w:r>
    </w:p>
    <w:p w:rsidRPr="001E3685" w:rsidR="001E3685" w:rsidP="50A980FD" w:rsidRDefault="001E3685" w14:paraId="1E40E070" w14:textId="77777777" w14:noSpellErr="1">
      <w:pPr>
        <w:spacing w:after="100" w:line="276" w:lineRule="auto"/>
        <w:ind w:left="454" w:firstLine="0"/>
        <w:rPr>
          <w:rFonts w:cs="Arial"/>
        </w:rPr>
      </w:pPr>
      <w:r w:rsidRPr="001E3685" w:rsidR="001E3685">
        <w:rPr>
          <w:rFonts w:cs="Arial"/>
        </w:rPr>
        <w:t>Možnost ovlivnit chování aplikace pro jednotlivé fakulty nastavením parametrů</w:t>
      </w:r>
    </w:p>
    <w:p w:rsidRPr="001E3685" w:rsidR="001E3685" w:rsidP="50A980FD" w:rsidRDefault="001E3685" w14:paraId="39EEF81D" w14:textId="77777777" w14:noSpellErr="1">
      <w:pPr>
        <w:spacing w:after="100" w:line="276" w:lineRule="auto"/>
        <w:ind w:left="454" w:firstLine="0"/>
        <w:rPr>
          <w:rFonts w:cs="Arial"/>
        </w:rPr>
      </w:pPr>
      <w:r w:rsidRPr="001E3685" w:rsidR="001E3685">
        <w:rPr>
          <w:rFonts w:cs="Arial"/>
        </w:rPr>
        <w:t>Plánování změny parametrů v čase (příprava kalendáře změn)</w:t>
      </w:r>
    </w:p>
    <w:p w:rsidRPr="001E3685" w:rsidR="001E3685" w:rsidP="50A980FD" w:rsidRDefault="001E3685" w14:paraId="1FB138B2" w14:textId="77777777" w14:noSpellErr="1">
      <w:pPr>
        <w:spacing w:after="100" w:line="276" w:lineRule="auto"/>
        <w:ind w:left="454" w:firstLine="0"/>
        <w:rPr>
          <w:rFonts w:cs="Arial"/>
        </w:rPr>
      </w:pPr>
      <w:r w:rsidRPr="001E3685" w:rsidR="001E3685">
        <w:rPr>
          <w:rFonts w:cs="Arial"/>
        </w:rPr>
        <w:t>Možnost tvorby/přizpůsobení vlastních číselníků</w:t>
      </w:r>
    </w:p>
    <w:p w:rsidRPr="001E3685" w:rsidR="001E3685" w:rsidP="50A980FD" w:rsidRDefault="001E3685" w14:paraId="6CD8B511" w14:textId="77777777" w14:noSpellErr="1">
      <w:pPr>
        <w:spacing w:after="100" w:line="276" w:lineRule="auto"/>
        <w:ind w:left="454" w:firstLine="0"/>
        <w:rPr>
          <w:rFonts w:cs="Arial"/>
        </w:rPr>
      </w:pPr>
      <w:r w:rsidRPr="001E3685" w:rsidR="001E3685">
        <w:rPr>
          <w:rFonts w:cs="Arial"/>
        </w:rPr>
        <w:t>Přizpůsobitelnost práv jednotlivých uživatelských rolí (zakládání</w:t>
      </w:r>
      <w:r w:rsidR="001E3685">
        <w:rPr>
          <w:rFonts w:cs="Arial"/>
        </w:rPr>
        <w:t xml:space="preserve"> </w:t>
      </w:r>
      <w:r w:rsidRPr="001E3685" w:rsidR="001E3685">
        <w:rPr>
          <w:rFonts w:cs="Arial"/>
        </w:rPr>
        <w:t>nových rolí)</w:t>
      </w:r>
    </w:p>
    <w:p w:rsidRPr="00476DD0" w:rsidR="004E507B" w:rsidP="001E3685" w:rsidRDefault="004E507B" w14:paraId="3984BFB3" w14:textId="1813CC08">
      <w:pPr>
        <w:spacing w:after="100" w:line="276" w:lineRule="auto"/>
        <w:ind w:left="454"/>
        <w:rPr>
          <w:lang w:eastAsia="en-US"/>
        </w:rPr>
      </w:pPr>
      <w:r w:rsidRPr="00476DD0">
        <w:rPr>
          <w:lang w:eastAsia="en-US"/>
        </w:rPr>
        <w:br w:type="page"/>
      </w:r>
    </w:p>
    <w:p w:rsidRPr="00476DD0" w:rsidR="004E507B" w:rsidP="004E507B" w:rsidRDefault="004E507B" w14:paraId="34BAFBDD" w14:textId="77777777">
      <w:pPr>
        <w:pStyle w:val="Nadpis1"/>
        <w:numPr>
          <w:ilvl w:val="0"/>
          <w:numId w:val="12"/>
        </w:numPr>
      </w:pPr>
      <w:r w:rsidRPr="00476DD0">
        <w:lastRenderedPageBreak/>
        <w:t xml:space="preserve">Parametry </w:t>
      </w:r>
      <w:r w:rsidRPr="00476DD0" w:rsidR="00476DD0">
        <w:t xml:space="preserve">a rozsah </w:t>
      </w:r>
      <w:r w:rsidRPr="00476DD0">
        <w:t>poskytovaných služeb</w:t>
      </w:r>
    </w:p>
    <w:p w:rsidRPr="00476DD0" w:rsidR="004E507B" w:rsidP="00476DD0" w:rsidRDefault="004E507B" w14:paraId="045D0BDB" w14:textId="77777777">
      <w:pPr>
        <w:pStyle w:val="Nadpis2"/>
      </w:pPr>
      <w:r w:rsidRPr="00476DD0">
        <w:t>Služba obsahuje následující činnosti:</w:t>
      </w:r>
    </w:p>
    <w:p w:rsidRPr="00476DD0" w:rsidR="004E507B" w:rsidP="004E507B" w:rsidRDefault="004E507B" w14:paraId="009C7760" w14:textId="6E18A0DD" w14:noSpellErr="1">
      <w:pPr>
        <w:pStyle w:val="Odstavecseseznamem"/>
        <w:numPr>
          <w:ilvl w:val="0"/>
          <w:numId w:val="15"/>
        </w:numPr>
        <w:jc w:val="left"/>
        <w:rPr>
          <w:rFonts w:cs="Arial"/>
        </w:rPr>
      </w:pPr>
      <w:r w:rsidRPr="50A980FD" w:rsidR="004E507B">
        <w:rPr>
          <w:rFonts w:cs="Arial"/>
        </w:rPr>
        <w:t xml:space="preserve">Vývoj </w:t>
      </w:r>
      <w:r w:rsidRPr="50A980FD" w:rsidR="00476DD0">
        <w:rPr>
          <w:rFonts w:cs="Arial"/>
        </w:rPr>
        <w:t xml:space="preserve">a rozvoj stávající </w:t>
      </w:r>
      <w:r w:rsidRPr="50A980FD" w:rsidR="004E507B">
        <w:rPr>
          <w:rFonts w:cs="Arial"/>
        </w:rPr>
        <w:t>aplikac</w:t>
      </w:r>
      <w:r w:rsidRPr="50A980FD" w:rsidR="00476DD0">
        <w:rPr>
          <w:rFonts w:cs="Arial"/>
        </w:rPr>
        <w:t xml:space="preserve">e </w:t>
      </w:r>
      <w:r w:rsidRPr="50A980FD" w:rsidR="001E3685">
        <w:rPr>
          <w:rFonts w:cs="Arial"/>
        </w:rPr>
        <w:t>SW KOS, WEBKOSI</w:t>
      </w:r>
      <w:r w:rsidRPr="50A980FD" w:rsidR="00324657">
        <w:rPr>
          <w:rFonts w:cs="Arial"/>
        </w:rPr>
        <w:t>,</w:t>
      </w:r>
      <w:r w:rsidRPr="50A980FD" w:rsidR="00111684">
        <w:rPr>
          <w:rFonts w:cs="Arial"/>
        </w:rPr>
        <w:t xml:space="preserve"> </w:t>
      </w:r>
      <w:r w:rsidRPr="50A980FD" w:rsidR="00F260FE">
        <w:rPr>
          <w:rFonts w:cs="Arial"/>
        </w:rPr>
        <w:t>přihláška (prihlaska.amu.cz)</w:t>
      </w:r>
      <w:r w:rsidRPr="50A980FD" w:rsidR="004E507B">
        <w:rPr>
          <w:rFonts w:cs="Arial"/>
        </w:rPr>
        <w:t xml:space="preserve"> na zakázku</w:t>
      </w:r>
      <w:r w:rsidRPr="50A980FD" w:rsidR="00476DD0">
        <w:rPr>
          <w:rFonts w:cs="Arial"/>
        </w:rPr>
        <w:t xml:space="preserve"> včetně návazností na ICT prostředí AMU</w:t>
      </w:r>
    </w:p>
    <w:p w:rsidRPr="00476DD0" w:rsidR="004E507B" w:rsidP="004E507B" w:rsidRDefault="004E507B" w14:paraId="416DF56B" w14:textId="77777777">
      <w:pPr>
        <w:pStyle w:val="Odstavecseseznamem"/>
        <w:numPr>
          <w:ilvl w:val="0"/>
          <w:numId w:val="15"/>
        </w:numPr>
        <w:jc w:val="left"/>
        <w:rPr>
          <w:rFonts w:cs="Arial"/>
        </w:rPr>
      </w:pPr>
      <w:r w:rsidRPr="00476DD0">
        <w:rPr>
          <w:rFonts w:cs="Arial"/>
        </w:rPr>
        <w:t>Systémová a datová integrace prostředí AMU</w:t>
      </w:r>
    </w:p>
    <w:p w:rsidRPr="00476DD0" w:rsidR="004E507B" w:rsidP="004E507B" w:rsidRDefault="004E507B" w14:paraId="326CF103" w14:textId="77777777">
      <w:pPr>
        <w:pStyle w:val="Odstavecseseznamem"/>
        <w:numPr>
          <w:ilvl w:val="0"/>
          <w:numId w:val="15"/>
        </w:numPr>
        <w:jc w:val="left"/>
        <w:rPr>
          <w:rFonts w:cs="Arial"/>
        </w:rPr>
      </w:pPr>
      <w:r w:rsidRPr="00476DD0">
        <w:rPr>
          <w:rFonts w:cs="Arial"/>
        </w:rPr>
        <w:t>Testování a metodiky</w:t>
      </w:r>
    </w:p>
    <w:p w:rsidRPr="00476DD0" w:rsidR="004E507B" w:rsidP="004E507B" w:rsidRDefault="004E507B" w14:paraId="1866C7E0" w14:textId="77777777">
      <w:pPr>
        <w:pStyle w:val="Odstavecseseznamem"/>
        <w:numPr>
          <w:ilvl w:val="0"/>
          <w:numId w:val="15"/>
        </w:numPr>
        <w:jc w:val="left"/>
        <w:rPr>
          <w:rFonts w:cs="Arial"/>
        </w:rPr>
      </w:pPr>
      <w:r w:rsidRPr="00476DD0">
        <w:rPr>
          <w:rFonts w:cs="Arial"/>
        </w:rPr>
        <w:t>Project management</w:t>
      </w:r>
    </w:p>
    <w:p w:rsidRPr="00476DD0" w:rsidR="004E507B" w:rsidP="004E507B" w:rsidRDefault="004E507B" w14:paraId="3A0E904D" w14:textId="77777777">
      <w:pPr>
        <w:pStyle w:val="Odstavecseseznamem"/>
        <w:numPr>
          <w:ilvl w:val="0"/>
          <w:numId w:val="15"/>
        </w:numPr>
        <w:jc w:val="left"/>
        <w:rPr>
          <w:rFonts w:cs="Arial"/>
        </w:rPr>
      </w:pPr>
      <w:r w:rsidRPr="00476DD0">
        <w:rPr>
          <w:rFonts w:cs="Arial"/>
        </w:rPr>
        <w:t>Monitoring</w:t>
      </w:r>
    </w:p>
    <w:p w:rsidRPr="00476DD0" w:rsidR="004E507B" w:rsidP="004E507B" w:rsidRDefault="004E507B" w14:paraId="5BC2AF17" w14:textId="77777777">
      <w:pPr>
        <w:rPr>
          <w:rFonts w:cs="Arial"/>
        </w:rPr>
      </w:pPr>
    </w:p>
    <w:p w:rsidRPr="00476DD0" w:rsidR="004E507B" w:rsidP="004E507B" w:rsidRDefault="004E507B" w14:paraId="56C3EC61" w14:textId="77777777">
      <w:pPr>
        <w:rPr>
          <w:rFonts w:cs="Arial"/>
          <w:sz w:val="16"/>
          <w:szCs w:val="16"/>
        </w:rPr>
      </w:pPr>
    </w:p>
    <w:p w:rsidR="004E447B" w:rsidP="004E507B" w:rsidRDefault="00476DD0" w14:paraId="08B65D7F" w14:textId="77777777">
      <w:pPr>
        <w:rPr>
          <w:rFonts w:cs="Arial"/>
        </w:rPr>
      </w:pPr>
      <w:r w:rsidRPr="00476DD0">
        <w:rPr>
          <w:rFonts w:cs="Arial"/>
        </w:rPr>
        <w:t xml:space="preserve">Rozsah služeb je limitován </w:t>
      </w:r>
    </w:p>
    <w:p w:rsidR="004E447B" w:rsidP="004E447B" w:rsidRDefault="00476DD0" w14:paraId="28CFCA91" w14:textId="5A5528D9">
      <w:pPr>
        <w:pStyle w:val="Odstavecseseznamem"/>
        <w:numPr>
          <w:ilvl w:val="0"/>
          <w:numId w:val="28"/>
        </w:numPr>
        <w:rPr>
          <w:rFonts w:cs="Arial"/>
        </w:rPr>
      </w:pPr>
      <w:r w:rsidRPr="004E447B">
        <w:rPr>
          <w:rFonts w:cs="Arial"/>
        </w:rPr>
        <w:t>termínem ukončení smlouvy</w:t>
      </w:r>
      <w:r w:rsidRPr="004E447B" w:rsidR="00AB6BA0">
        <w:rPr>
          <w:rFonts w:cs="Arial"/>
        </w:rPr>
        <w:t>,</w:t>
      </w:r>
      <w:r w:rsidRPr="004E447B">
        <w:rPr>
          <w:rFonts w:cs="Arial"/>
        </w:rPr>
        <w:t xml:space="preserve"> </w:t>
      </w:r>
    </w:p>
    <w:p w:rsidR="004E447B" w:rsidP="004E447B" w:rsidRDefault="00476DD0" w14:paraId="4129A08C" w14:textId="77777777">
      <w:pPr>
        <w:pStyle w:val="Odstavecseseznamem"/>
        <w:numPr>
          <w:ilvl w:val="0"/>
          <w:numId w:val="28"/>
        </w:numPr>
        <w:rPr>
          <w:rFonts w:cs="Arial"/>
        </w:rPr>
      </w:pPr>
      <w:r w:rsidRPr="004E447B">
        <w:rPr>
          <w:rFonts w:cs="Arial"/>
        </w:rPr>
        <w:t xml:space="preserve">maximální </w:t>
      </w:r>
      <w:r w:rsidRPr="004E447B" w:rsidR="001E3685">
        <w:rPr>
          <w:rFonts w:cs="Arial"/>
        </w:rPr>
        <w:t>čtvrtletní kapacitou</w:t>
      </w:r>
      <w:r w:rsidRPr="004E447B">
        <w:rPr>
          <w:rFonts w:cs="Arial"/>
        </w:rPr>
        <w:t xml:space="preserve"> </w:t>
      </w:r>
      <w:r w:rsidRPr="004E447B" w:rsidR="001E3685">
        <w:rPr>
          <w:rFonts w:cs="Arial"/>
        </w:rPr>
        <w:t>ve výši 600 hodin</w:t>
      </w:r>
      <w:r w:rsidRPr="004E447B" w:rsidR="00AB6BA0">
        <w:rPr>
          <w:rFonts w:cs="Arial"/>
        </w:rPr>
        <w:t xml:space="preserve"> bez ohledu na kategorii podle přílohy č. 2</w:t>
      </w:r>
      <w:r w:rsidRPr="00801524" w:rsidR="00AB6BA0">
        <w:rPr>
          <w:rFonts w:cs="Arial"/>
        </w:rPr>
        <w:t xml:space="preserve"> této smlouvy a </w:t>
      </w:r>
    </w:p>
    <w:p w:rsidRPr="00437B87" w:rsidR="004E507B" w:rsidP="004E447B" w:rsidRDefault="00AB6BA0" w14:paraId="35503C13" w14:textId="0427B764">
      <w:pPr>
        <w:pStyle w:val="Odstavecseseznamem"/>
        <w:numPr>
          <w:ilvl w:val="0"/>
          <w:numId w:val="28"/>
        </w:numPr>
        <w:rPr>
          <w:rFonts w:cs="Arial"/>
        </w:rPr>
      </w:pPr>
      <w:r w:rsidRPr="004E447B">
        <w:rPr>
          <w:rFonts w:cs="Arial"/>
        </w:rPr>
        <w:t>ročním limitem 1200 hodin služeb v </w:t>
      </w:r>
      <w:r w:rsidRPr="00E506A4">
        <w:rPr>
          <w:rFonts w:cs="Arial"/>
        </w:rPr>
        <w:t>kategorii Senior Developer</w:t>
      </w:r>
      <w:r w:rsidR="00726CF4">
        <w:rPr>
          <w:rFonts w:cs="Arial"/>
        </w:rPr>
        <w:t xml:space="preserve"> a</w:t>
      </w:r>
      <w:r w:rsidRPr="00E506A4">
        <w:rPr>
          <w:rFonts w:cs="Arial"/>
        </w:rPr>
        <w:t xml:space="preserve"> 120 hodin služeb v</w:t>
      </w:r>
      <w:r w:rsidRPr="00801524">
        <w:rPr>
          <w:rFonts w:cs="Arial"/>
        </w:rPr>
        <w:t xml:space="preserve"> kategorii Senior </w:t>
      </w:r>
      <w:proofErr w:type="spellStart"/>
      <w:r w:rsidRPr="00801524">
        <w:rPr>
          <w:rFonts w:cs="Arial"/>
        </w:rPr>
        <w:t>Consultant</w:t>
      </w:r>
      <w:proofErr w:type="spellEnd"/>
      <w:r w:rsidRPr="00801524">
        <w:rPr>
          <w:rFonts w:cs="Arial"/>
        </w:rPr>
        <w:t xml:space="preserve"> podle </w:t>
      </w:r>
      <w:r w:rsidRPr="009A4CC4">
        <w:rPr>
          <w:rFonts w:cs="Arial"/>
        </w:rPr>
        <w:t>přílohy č. 2 této smlouvy</w:t>
      </w:r>
      <w:r w:rsidRPr="009A4CC4" w:rsidR="00476DD0">
        <w:rPr>
          <w:rFonts w:cs="Arial"/>
        </w:rPr>
        <w:t>.</w:t>
      </w:r>
    </w:p>
    <w:p w:rsidR="004E507B" w:rsidP="004E507B" w:rsidRDefault="004E507B" w14:paraId="621D81E3" w14:textId="77777777">
      <w:r>
        <w:br w:type="page"/>
      </w:r>
    </w:p>
    <w:p w:rsidRPr="00F828BD" w:rsidR="004E507B" w:rsidP="50A980FD" w:rsidRDefault="004E507B" w14:paraId="210CCB44" w14:textId="77777777" w14:noSpellErr="1">
      <w:pPr>
        <w:rPr>
          <w:rFonts w:cs="Arial"/>
          <w:b w:val="1"/>
          <w:bCs w:val="1"/>
          <w:sz w:val="36"/>
          <w:szCs w:val="36"/>
        </w:rPr>
      </w:pPr>
      <w:r w:rsidRPr="50A980FD" w:rsidR="004E507B">
        <w:rPr>
          <w:rFonts w:cs="Arial"/>
          <w:b w:val="1"/>
          <w:bCs w:val="1"/>
          <w:sz w:val="36"/>
          <w:szCs w:val="36"/>
        </w:rPr>
        <w:t>Příloha č. 2</w:t>
      </w:r>
    </w:p>
    <w:p w:rsidR="004E507B" w:rsidP="50A980FD" w:rsidRDefault="004E507B" w14:paraId="02DEB577" w14:textId="77777777" w14:noSpellErr="1">
      <w:pPr>
        <w:pStyle w:val="Nadpis2"/>
        <w:spacing w:before="0" w:beforeAutospacing="off"/>
        <w:rPr>
          <w:b w:val="1"/>
          <w:bCs w:val="1"/>
        </w:rPr>
      </w:pPr>
      <w:r w:rsidRPr="50A980FD" w:rsidR="004E507B">
        <w:rPr>
          <w:b w:val="1"/>
          <w:bCs w:val="1"/>
        </w:rPr>
        <w:t xml:space="preserve">Cena </w:t>
      </w:r>
      <w:r w:rsidRPr="50A980FD" w:rsidR="00A9783E">
        <w:rPr>
          <w:b w:val="1"/>
          <w:bCs w:val="1"/>
        </w:rPr>
        <w:t>konzultačních služeb a vývojových prací</w:t>
      </w:r>
    </w:p>
    <w:p w:rsidRPr="00A9783E" w:rsidR="00A9783E" w:rsidP="00A9783E" w:rsidRDefault="00A9783E" w14:paraId="34E44DD4" w14:textId="77777777">
      <w:pPr>
        <w:rPr>
          <w:lang w:eastAsia="en-US"/>
        </w:rPr>
      </w:pPr>
    </w:p>
    <w:tbl>
      <w:tblPr>
        <w:tblW w:w="5000" w:type="pct"/>
        <w:tblCellMar>
          <w:left w:w="70" w:type="dxa"/>
          <w:right w:w="70" w:type="dxa"/>
        </w:tblCellMar>
        <w:tblLook w:val="04A0" w:firstRow="1" w:lastRow="0" w:firstColumn="1" w:lastColumn="0" w:noHBand="0" w:noVBand="1"/>
      </w:tblPr>
      <w:tblGrid>
        <w:gridCol w:w="5552"/>
        <w:gridCol w:w="3520"/>
      </w:tblGrid>
      <w:tr w:rsidRPr="003B27AF" w:rsidR="00A9783E" w:rsidTr="50A980FD" w14:paraId="2D3EC796" w14:textId="77777777">
        <w:trPr>
          <w:trHeight w:val="300"/>
        </w:trPr>
        <w:tc>
          <w:tcPr>
            <w:tcW w:w="3060" w:type="pct"/>
            <w:tcBorders>
              <w:top w:val="single" w:color="auto" w:sz="4" w:space="0"/>
              <w:left w:val="nil"/>
              <w:bottom w:val="single" w:color="auto" w:sz="4" w:space="0"/>
              <w:right w:val="nil"/>
            </w:tcBorders>
            <w:shd w:val="clear" w:color="auto" w:fill="D8D8D8"/>
            <w:noWrap/>
            <w:tcMar/>
            <w:vAlign w:val="bottom"/>
          </w:tcPr>
          <w:p w:rsidRPr="00A9783E" w:rsidR="00A9783E" w:rsidP="00220A37" w:rsidRDefault="00A9783E" w14:paraId="358A8F51" w14:textId="77777777">
            <w:pPr>
              <w:rPr>
                <w:rFonts w:cs="Arial"/>
                <w:b/>
                <w:bCs/>
                <w:color w:val="000000"/>
                <w:sz w:val="22"/>
                <w:szCs w:val="22"/>
              </w:rPr>
            </w:pPr>
            <w:r w:rsidRPr="00A9783E">
              <w:rPr>
                <w:rFonts w:cs="Arial"/>
                <w:b/>
                <w:bCs/>
                <w:color w:val="000000"/>
                <w:sz w:val="22"/>
                <w:szCs w:val="22"/>
              </w:rPr>
              <w:t>Kategorie</w:t>
            </w:r>
          </w:p>
        </w:tc>
        <w:tc>
          <w:tcPr>
            <w:tcW w:w="1940" w:type="pct"/>
            <w:tcBorders>
              <w:top w:val="single" w:color="auto" w:sz="4" w:space="0"/>
              <w:left w:val="nil"/>
              <w:bottom w:val="single" w:color="auto" w:sz="4" w:space="0"/>
              <w:right w:val="nil"/>
            </w:tcBorders>
            <w:shd w:val="clear" w:color="auto" w:fill="D8D8D8"/>
            <w:tcMar/>
            <w:vAlign w:val="bottom"/>
          </w:tcPr>
          <w:p w:rsidRPr="00A9783E" w:rsidR="00A9783E" w:rsidP="00220A37" w:rsidRDefault="00A9783E" w14:paraId="1FA8E3FB" w14:textId="77777777">
            <w:pPr>
              <w:jc w:val="right"/>
              <w:rPr>
                <w:rFonts w:cs="Arial"/>
                <w:b/>
                <w:bCs/>
                <w:color w:val="000000"/>
                <w:sz w:val="22"/>
                <w:szCs w:val="22"/>
              </w:rPr>
            </w:pPr>
            <w:r w:rsidRPr="00A9783E">
              <w:rPr>
                <w:rFonts w:cs="Arial"/>
                <w:b/>
                <w:bCs/>
                <w:color w:val="000000"/>
                <w:sz w:val="22"/>
                <w:szCs w:val="22"/>
              </w:rPr>
              <w:t>Částka bez DPH</w:t>
            </w:r>
          </w:p>
        </w:tc>
      </w:tr>
      <w:tr w:rsidRPr="003B27AF" w:rsidR="00A9783E" w:rsidTr="50A980FD" w14:paraId="3D61D9B3" w14:textId="77777777">
        <w:trPr>
          <w:trHeight w:val="300"/>
        </w:trPr>
        <w:tc>
          <w:tcPr>
            <w:tcW w:w="3060" w:type="pct"/>
            <w:tcBorders>
              <w:top w:val="single" w:color="auto" w:sz="4" w:space="0"/>
              <w:left w:val="nil"/>
              <w:bottom w:val="single" w:color="auto" w:sz="4" w:space="0"/>
              <w:right w:val="nil"/>
            </w:tcBorders>
            <w:shd w:val="clear" w:color="auto" w:fill="auto"/>
            <w:tcMar/>
            <w:vAlign w:val="bottom"/>
          </w:tcPr>
          <w:p w:rsidRPr="00A9783E" w:rsidR="00A9783E" w:rsidP="00220A37" w:rsidRDefault="00A9783E" w14:paraId="5C7B9032" w14:textId="77777777">
            <w:pPr>
              <w:rPr>
                <w:rFonts w:cs="Arial"/>
                <w:color w:val="000000"/>
                <w:sz w:val="22"/>
                <w:szCs w:val="22"/>
              </w:rPr>
            </w:pPr>
            <w:r w:rsidRPr="00A9783E">
              <w:rPr>
                <w:rFonts w:cs="Arial"/>
                <w:color w:val="000000"/>
                <w:sz w:val="22"/>
                <w:szCs w:val="22"/>
              </w:rPr>
              <w:t>Senior Developer</w:t>
            </w:r>
          </w:p>
        </w:tc>
        <w:tc>
          <w:tcPr>
            <w:tcW w:w="1940" w:type="pct"/>
            <w:tcBorders>
              <w:top w:val="single" w:color="auto" w:sz="4" w:space="0"/>
              <w:left w:val="nil"/>
              <w:bottom w:val="single" w:color="auto" w:sz="4" w:space="0"/>
              <w:right w:val="nil"/>
            </w:tcBorders>
            <w:tcMar/>
            <w:vAlign w:val="bottom"/>
          </w:tcPr>
          <w:p w:rsidRPr="00A9783E" w:rsidR="00A9783E" w:rsidP="00220A37" w:rsidRDefault="00A9783E" w14:paraId="0B57ABAE" w14:textId="1A9FC2C9">
            <w:pPr>
              <w:jc w:val="right"/>
              <w:rPr>
                <w:rFonts w:cs="Arial"/>
                <w:color w:val="000000"/>
                <w:sz w:val="22"/>
                <w:szCs w:val="22"/>
              </w:rPr>
            </w:pPr>
            <w:r w:rsidRPr="50A980FD" w:rsidR="639253F0">
              <w:rPr>
                <w:rFonts w:cs="Arial"/>
                <w:color w:val="000000" w:themeColor="text1" w:themeTint="FF" w:themeShade="FF"/>
                <w:sz w:val="22"/>
                <w:szCs w:val="22"/>
              </w:rPr>
              <w:t>1</w:t>
            </w:r>
            <w:r w:rsidRPr="50A980FD" w:rsidR="1FA2FA48">
              <w:rPr>
                <w:rFonts w:cs="Arial"/>
                <w:color w:val="000000" w:themeColor="text1" w:themeTint="FF" w:themeShade="FF"/>
                <w:sz w:val="22"/>
                <w:szCs w:val="22"/>
              </w:rPr>
              <w:t xml:space="preserve"> </w:t>
            </w:r>
            <w:r w:rsidRPr="50A980FD" w:rsidR="639253F0">
              <w:rPr>
                <w:rFonts w:cs="Arial"/>
                <w:color w:val="000000" w:themeColor="text1" w:themeTint="FF" w:themeShade="FF"/>
                <w:sz w:val="22"/>
                <w:szCs w:val="22"/>
              </w:rPr>
              <w:t>2</w:t>
            </w:r>
            <w:r w:rsidRPr="50A980FD" w:rsidR="639253F0">
              <w:rPr>
                <w:rFonts w:cs="Arial"/>
                <w:color w:val="000000" w:themeColor="text1" w:themeTint="FF" w:themeShade="FF"/>
                <w:sz w:val="22"/>
                <w:szCs w:val="22"/>
              </w:rPr>
              <w:t>50</w:t>
            </w:r>
            <w:r w:rsidRPr="50A980FD" w:rsidR="00A9783E">
              <w:rPr>
                <w:rFonts w:cs="Arial"/>
                <w:color w:val="000000" w:themeColor="text1" w:themeTint="FF" w:themeShade="FF"/>
                <w:sz w:val="22"/>
                <w:szCs w:val="22"/>
              </w:rPr>
              <w:t>,00 Kč</w:t>
            </w:r>
          </w:p>
        </w:tc>
      </w:tr>
      <w:tr w:rsidRPr="003B27AF" w:rsidR="00A9783E" w:rsidTr="50A980FD" w14:paraId="04E617AD" w14:textId="77777777">
        <w:trPr>
          <w:trHeight w:val="300"/>
        </w:trPr>
        <w:tc>
          <w:tcPr>
            <w:tcW w:w="3060" w:type="pct"/>
            <w:tcBorders>
              <w:top w:val="single" w:color="auto" w:sz="4" w:space="0"/>
              <w:left w:val="nil"/>
              <w:bottom w:val="single" w:color="auto" w:sz="4" w:space="0"/>
              <w:right w:val="nil"/>
            </w:tcBorders>
            <w:shd w:val="clear" w:color="auto" w:fill="auto"/>
            <w:tcMar/>
            <w:vAlign w:val="bottom"/>
          </w:tcPr>
          <w:p w:rsidRPr="00A9783E" w:rsidR="00A9783E" w:rsidP="00220A37" w:rsidRDefault="00A9783E" w14:paraId="6DE9774D" w14:textId="77777777">
            <w:pPr>
              <w:rPr>
                <w:rFonts w:cs="Arial"/>
                <w:color w:val="000000"/>
                <w:sz w:val="22"/>
                <w:szCs w:val="22"/>
              </w:rPr>
            </w:pPr>
            <w:r w:rsidRPr="00A9783E">
              <w:rPr>
                <w:rFonts w:cs="Arial"/>
                <w:color w:val="000000"/>
                <w:sz w:val="22"/>
                <w:szCs w:val="22"/>
              </w:rPr>
              <w:t xml:space="preserve">Senior </w:t>
            </w:r>
            <w:proofErr w:type="spellStart"/>
            <w:r w:rsidRPr="00A9783E">
              <w:rPr>
                <w:rFonts w:cs="Arial"/>
                <w:color w:val="000000"/>
                <w:sz w:val="22"/>
                <w:szCs w:val="22"/>
              </w:rPr>
              <w:t>Consultant</w:t>
            </w:r>
            <w:proofErr w:type="spellEnd"/>
          </w:p>
        </w:tc>
        <w:tc>
          <w:tcPr>
            <w:tcW w:w="1940" w:type="pct"/>
            <w:tcBorders>
              <w:top w:val="single" w:color="auto" w:sz="4" w:space="0"/>
              <w:left w:val="nil"/>
              <w:bottom w:val="single" w:color="auto" w:sz="4" w:space="0"/>
              <w:right w:val="nil"/>
            </w:tcBorders>
            <w:tcMar/>
            <w:vAlign w:val="bottom"/>
          </w:tcPr>
          <w:p w:rsidRPr="00A9783E" w:rsidR="00A9783E" w:rsidP="00220A37" w:rsidRDefault="00A9783E" w14:paraId="3092A58E" w14:textId="176E2760">
            <w:pPr>
              <w:jc w:val="right"/>
              <w:rPr>
                <w:rFonts w:cs="Arial"/>
                <w:color w:val="000000"/>
                <w:sz w:val="22"/>
                <w:szCs w:val="22"/>
              </w:rPr>
            </w:pPr>
            <w:r w:rsidRPr="50A980FD" w:rsidR="7DBD6779">
              <w:rPr>
                <w:rFonts w:cs="Arial"/>
                <w:color w:val="000000" w:themeColor="text1" w:themeTint="FF" w:themeShade="FF"/>
                <w:sz w:val="22"/>
                <w:szCs w:val="22"/>
              </w:rPr>
              <w:t>1 450</w:t>
            </w:r>
            <w:r w:rsidRPr="50A980FD" w:rsidR="00A9783E">
              <w:rPr>
                <w:rFonts w:cs="Arial"/>
                <w:color w:val="000000" w:themeColor="text1" w:themeTint="FF" w:themeShade="FF"/>
                <w:sz w:val="22"/>
                <w:szCs w:val="22"/>
              </w:rPr>
              <w:t>,00 Kč</w:t>
            </w:r>
          </w:p>
        </w:tc>
      </w:tr>
    </w:tbl>
    <w:p w:rsidRPr="003B27AF" w:rsidR="004E507B" w:rsidP="004E507B" w:rsidRDefault="004E507B" w14:paraId="0A26E838" w14:textId="77777777">
      <w:pPr>
        <w:rPr>
          <w:rFonts w:cs="Arial"/>
          <w:sz w:val="18"/>
          <w:highlight w:val="yellow"/>
        </w:rPr>
      </w:pPr>
    </w:p>
    <w:p w:rsidRPr="003B27AF" w:rsidR="004E507B" w:rsidP="004E507B" w:rsidRDefault="004E507B" w14:paraId="11A771CE" w14:textId="77777777">
      <w:pPr>
        <w:rPr>
          <w:rFonts w:cs="Arial"/>
          <w:highlight w:val="yellow"/>
        </w:rPr>
      </w:pPr>
    </w:p>
    <w:p w:rsidR="0061013F" w:rsidP="004E507B" w:rsidRDefault="004E507B" w14:paraId="5FC5ADEC" w14:textId="32A99365">
      <w:pPr>
        <w:rPr>
          <w:rFonts w:cs="Arial"/>
          <w:lang w:val="pl-PL"/>
        </w:rPr>
      </w:pPr>
      <w:r w:rsidRPr="50A980FD" w:rsidR="004E507B">
        <w:rPr>
          <w:rFonts w:cs="Arial"/>
        </w:rPr>
        <w:t xml:space="preserve">V případě </w:t>
      </w:r>
      <w:r w:rsidRPr="50A980FD" w:rsidR="00476DD0">
        <w:rPr>
          <w:rFonts w:cs="Arial"/>
        </w:rPr>
        <w:t xml:space="preserve">vyžádané </w:t>
      </w:r>
      <w:r w:rsidRPr="50A980FD" w:rsidR="004E507B">
        <w:rPr>
          <w:rFonts w:cs="Arial"/>
        </w:rPr>
        <w:t>práce od 16:30 do 8:30 je hodinová sazba navýšena o 30</w:t>
      </w:r>
      <w:r w:rsidRPr="50A980FD" w:rsidR="0018670B">
        <w:rPr>
          <w:rFonts w:cs="Arial"/>
        </w:rPr>
        <w:t xml:space="preserve"> </w:t>
      </w:r>
      <w:r w:rsidRPr="50A980FD" w:rsidR="004E507B">
        <w:rPr>
          <w:rFonts w:cs="Arial"/>
        </w:rPr>
        <w:t>% a</w:t>
      </w:r>
      <w:r w:rsidRPr="50A980FD" w:rsidR="0018670B">
        <w:rPr>
          <w:rFonts w:cs="Arial"/>
        </w:rPr>
        <w:t> </w:t>
      </w:r>
      <w:r w:rsidRPr="50A980FD" w:rsidR="004E507B">
        <w:rPr>
          <w:rFonts w:cs="Arial"/>
        </w:rPr>
        <w:t>v případě prací mimo pracovní dny je hodinová sazba navýšena o 50</w:t>
      </w:r>
      <w:r w:rsidRPr="50A980FD" w:rsidR="0018670B">
        <w:rPr>
          <w:rFonts w:cs="Arial"/>
        </w:rPr>
        <w:t xml:space="preserve"> </w:t>
      </w:r>
      <w:r w:rsidRPr="50A980FD" w:rsidR="004E507B">
        <w:rPr>
          <w:rFonts w:cs="Arial"/>
          <w:lang w:val="pl-PL"/>
        </w:rPr>
        <w:t>%</w:t>
      </w:r>
      <w:r w:rsidRPr="50A980FD" w:rsidR="004E507B">
        <w:rPr>
          <w:rFonts w:cs="Arial"/>
          <w:lang w:val="pl-PL"/>
        </w:rPr>
        <w:t xml:space="preserve">. Tyto případy budou řešeny na základě samostaných </w:t>
      </w:r>
      <w:r w:rsidRPr="50A980FD" w:rsidR="00476DD0">
        <w:rPr>
          <w:rFonts w:cs="Arial"/>
          <w:lang w:val="pl-PL"/>
        </w:rPr>
        <w:t xml:space="preserve">písemných </w:t>
      </w:r>
      <w:r w:rsidRPr="50A980FD" w:rsidR="004E507B">
        <w:rPr>
          <w:rFonts w:cs="Arial"/>
          <w:lang w:val="pl-PL"/>
        </w:rPr>
        <w:t>objednávek.</w:t>
      </w:r>
    </w:p>
    <w:p w:rsidR="00A9783E" w:rsidP="004E507B" w:rsidRDefault="00A9783E" w14:paraId="3DAE1884" w14:textId="77777777">
      <w:pPr>
        <w:rPr>
          <w:lang w:val="pl-PL"/>
        </w:rPr>
      </w:pPr>
    </w:p>
    <w:p w:rsidR="00A9783E" w:rsidP="004E507B" w:rsidRDefault="00A9783E" w14:paraId="5AEF5B5D" w14:textId="77777777">
      <w:pPr>
        <w:rPr>
          <w:lang w:val="pl-PL"/>
        </w:rPr>
      </w:pPr>
    </w:p>
    <w:p w:rsidR="00A9783E" w:rsidP="004E507B" w:rsidRDefault="00A9783E" w14:paraId="2B90EFB4" w14:textId="77777777">
      <w:pPr>
        <w:rPr>
          <w:lang w:val="pl-PL"/>
        </w:rPr>
      </w:pPr>
    </w:p>
    <w:p w:rsidR="00A9783E" w:rsidRDefault="00A9783E" w14:paraId="72489BF6" w14:textId="77777777">
      <w:pPr>
        <w:spacing w:after="100" w:line="276" w:lineRule="auto"/>
        <w:ind w:left="454"/>
        <w:rPr>
          <w:rFonts w:cs="Arial"/>
          <w:sz w:val="36"/>
          <w:szCs w:val="36"/>
        </w:rPr>
      </w:pPr>
      <w:r>
        <w:rPr>
          <w:rFonts w:cs="Arial"/>
          <w:sz w:val="36"/>
          <w:szCs w:val="36"/>
        </w:rPr>
        <w:br w:type="page"/>
      </w:r>
    </w:p>
    <w:p w:rsidRPr="00554CAB" w:rsidR="004E507B" w:rsidP="50A980FD" w:rsidRDefault="004E507B" w14:paraId="669428D2" w14:textId="77777777" w14:noSpellErr="1">
      <w:pPr>
        <w:rPr>
          <w:rFonts w:cs="Arial"/>
          <w:b w:val="1"/>
          <w:bCs w:val="1"/>
          <w:sz w:val="36"/>
          <w:szCs w:val="36"/>
        </w:rPr>
      </w:pPr>
      <w:r w:rsidRPr="50A980FD" w:rsidR="004E507B">
        <w:rPr>
          <w:rFonts w:cs="Arial"/>
          <w:b w:val="1"/>
          <w:bCs w:val="1"/>
          <w:sz w:val="36"/>
          <w:szCs w:val="36"/>
        </w:rPr>
        <w:t>Příloha č. 3</w:t>
      </w:r>
    </w:p>
    <w:p w:rsidRPr="00554CAB" w:rsidR="004E507B" w:rsidP="50A980FD" w:rsidRDefault="004E507B" w14:paraId="5CEEF540" w14:textId="77777777" w14:noSpellErr="1">
      <w:pPr>
        <w:rPr>
          <w:rFonts w:cs="Arial"/>
          <w:b w:val="1"/>
          <w:bCs w:val="1"/>
        </w:rPr>
      </w:pPr>
      <w:r w:rsidRPr="50A980FD" w:rsidR="004E507B">
        <w:rPr>
          <w:rFonts w:cs="Arial"/>
          <w:b w:val="1"/>
          <w:bCs w:val="1"/>
        </w:rPr>
        <w:t xml:space="preserve">Kontaktní osoby pro jednání </w:t>
      </w:r>
    </w:p>
    <w:p w:rsidRPr="00554CAB" w:rsidR="004E507B" w:rsidP="004E507B" w:rsidRDefault="004E507B" w14:paraId="564386D8" w14:textId="77777777">
      <w:pPr>
        <w:rPr>
          <w:rFonts w:cs="Arial"/>
        </w:rPr>
      </w:pPr>
    </w:p>
    <w:p w:rsidRPr="00554CAB" w:rsidR="004E507B" w:rsidP="004E507B" w:rsidRDefault="004E507B" w14:paraId="7798EA33" w14:textId="77777777">
      <w:pPr>
        <w:rPr>
          <w:rFonts w:cs="Arial"/>
          <w:b/>
          <w:szCs w:val="22"/>
        </w:rPr>
      </w:pPr>
      <w:r w:rsidRPr="00554CAB">
        <w:rPr>
          <w:rFonts w:cs="Arial"/>
          <w:b/>
          <w:szCs w:val="22"/>
        </w:rPr>
        <w:t xml:space="preserve">1. </w:t>
      </w:r>
      <w:r w:rsidRPr="00554CAB">
        <w:rPr>
          <w:rFonts w:cs="Arial"/>
          <w:b/>
          <w:szCs w:val="22"/>
          <w:u w:val="single"/>
        </w:rPr>
        <w:t>Kontaktní osoby Poskytovatele</w:t>
      </w:r>
    </w:p>
    <w:p w:rsidR="004E507B" w:rsidP="004E507B" w:rsidRDefault="008B7756" w14:paraId="405DAFA5" w14:textId="55F1534F">
      <w:pPr>
        <w:rPr>
          <w:rFonts w:cs="Arial"/>
        </w:rPr>
      </w:pPr>
      <w:r>
        <w:rPr>
          <w:rFonts w:cs="Arial"/>
        </w:rPr>
        <w:t xml:space="preserve">Ing. Milan Kubín, </w:t>
      </w:r>
      <w:hyperlink w:history="1" r:id="rId7">
        <w:r w:rsidRPr="001E06D0">
          <w:rPr>
            <w:rStyle w:val="Hypertextovodkaz"/>
            <w:rFonts w:cs="Arial"/>
          </w:rPr>
          <w:t>milan.kubin@cvut.cz</w:t>
        </w:r>
      </w:hyperlink>
      <w:r>
        <w:rPr>
          <w:rFonts w:cs="Arial"/>
        </w:rPr>
        <w:t xml:space="preserve">, </w:t>
      </w:r>
      <w:r w:rsidRPr="008B7756">
        <w:rPr>
          <w:rFonts w:cs="Arial"/>
        </w:rPr>
        <w:t>+420 22435 9777</w:t>
      </w:r>
    </w:p>
    <w:p w:rsidRPr="00554CAB" w:rsidR="008B7756" w:rsidP="004E507B" w:rsidRDefault="008B7756" w14:paraId="4E703379" w14:textId="100CE866">
      <w:pPr>
        <w:rPr>
          <w:rFonts w:cs="Arial"/>
        </w:rPr>
      </w:pPr>
      <w:r w:rsidRPr="008B7756">
        <w:rPr>
          <w:rFonts w:cs="Arial"/>
        </w:rPr>
        <w:t>Ing. Herbert Šípek</w:t>
      </w:r>
      <w:r>
        <w:rPr>
          <w:rFonts w:cs="Arial"/>
        </w:rPr>
        <w:t xml:space="preserve">, </w:t>
      </w:r>
      <w:hyperlink w:history="1" r:id="rId8">
        <w:r>
          <w:rPr>
            <w:rStyle w:val="Hypertextovodkaz"/>
            <w:rFonts w:eastAsiaTheme="majorEastAsia"/>
          </w:rPr>
          <w:t>herbert.sipek@cvut.cz</w:t>
        </w:r>
      </w:hyperlink>
      <w:r>
        <w:t xml:space="preserve">, </w:t>
      </w:r>
      <w:r w:rsidRPr="008B7756">
        <w:t>+420 22435 9803</w:t>
      </w:r>
    </w:p>
    <w:p w:rsidR="004E507B" w:rsidP="004E507B" w:rsidRDefault="008B7756" w14:paraId="6528365D" w14:textId="4A1969D4">
      <w:pPr>
        <w:rPr>
          <w:rFonts w:cs="Arial"/>
        </w:rPr>
      </w:pPr>
      <w:r w:rsidRPr="008B7756">
        <w:rPr>
          <w:rFonts w:cs="Arial"/>
        </w:rPr>
        <w:t>Ing. Marek Kalika, Ph.D.</w:t>
      </w:r>
      <w:r>
        <w:rPr>
          <w:rFonts w:cs="Arial"/>
        </w:rPr>
        <w:t xml:space="preserve">, </w:t>
      </w:r>
      <w:hyperlink w:history="1" r:id="rId9">
        <w:r>
          <w:rPr>
            <w:rStyle w:val="Hypertextovodkaz"/>
            <w:rFonts w:eastAsiaTheme="majorEastAsia"/>
          </w:rPr>
          <w:t>marek.kalika@cvut.cz</w:t>
        </w:r>
      </w:hyperlink>
      <w:r>
        <w:t xml:space="preserve">, </w:t>
      </w:r>
      <w:r w:rsidRPr="008B7756">
        <w:t>+420</w:t>
      </w:r>
      <w:r>
        <w:t xml:space="preserve"> </w:t>
      </w:r>
      <w:r w:rsidRPr="008B7756">
        <w:t>22435</w:t>
      </w:r>
      <w:r>
        <w:t xml:space="preserve"> </w:t>
      </w:r>
      <w:r w:rsidRPr="008B7756">
        <w:t>8456</w:t>
      </w:r>
    </w:p>
    <w:p w:rsidR="004E507B" w:rsidP="004E507B" w:rsidRDefault="004E507B" w14:paraId="52BA7D6D" w14:textId="77777777">
      <w:pPr>
        <w:rPr>
          <w:rFonts w:cs="Arial"/>
        </w:rPr>
      </w:pPr>
    </w:p>
    <w:p w:rsidR="004E507B" w:rsidP="004E507B" w:rsidRDefault="004E507B" w14:paraId="576AB129" w14:textId="77777777">
      <w:pPr>
        <w:rPr>
          <w:rFonts w:cs="Arial"/>
        </w:rPr>
      </w:pPr>
    </w:p>
    <w:p w:rsidRPr="00554CAB" w:rsidR="004E507B" w:rsidP="004E507B" w:rsidRDefault="004E507B" w14:paraId="331B67AF" w14:textId="77777777">
      <w:pPr>
        <w:rPr>
          <w:rFonts w:cs="Arial"/>
        </w:rPr>
      </w:pPr>
    </w:p>
    <w:p w:rsidRPr="00554CAB" w:rsidR="004E507B" w:rsidP="004E507B" w:rsidRDefault="004E507B" w14:paraId="3D656CBB" w14:textId="77777777">
      <w:pPr>
        <w:rPr>
          <w:rFonts w:cs="Arial"/>
        </w:rPr>
      </w:pPr>
    </w:p>
    <w:p w:rsidRPr="00554CAB" w:rsidR="004E507B" w:rsidP="004E507B" w:rsidRDefault="004E507B" w14:paraId="770918B3" w14:textId="77777777">
      <w:pPr>
        <w:rPr>
          <w:rFonts w:cs="Arial"/>
          <w:b/>
          <w:szCs w:val="22"/>
        </w:rPr>
      </w:pPr>
      <w:r w:rsidRPr="00554CAB">
        <w:rPr>
          <w:rFonts w:cs="Arial"/>
          <w:b/>
          <w:szCs w:val="22"/>
        </w:rPr>
        <w:t xml:space="preserve">2. </w:t>
      </w:r>
      <w:r w:rsidRPr="00554CAB">
        <w:rPr>
          <w:rFonts w:cs="Arial"/>
          <w:b/>
          <w:szCs w:val="22"/>
          <w:u w:val="single"/>
        </w:rPr>
        <w:t>Kontaktní osoby Objednatele</w:t>
      </w:r>
    </w:p>
    <w:p w:rsidR="004E507B" w:rsidP="00DE0A90" w:rsidRDefault="00DE0A90" w14:paraId="72EF93E4" w14:textId="150F7797">
      <w:r>
        <w:t xml:space="preserve">Oldřich Vlček, </w:t>
      </w:r>
      <w:hyperlink w:history="1" r:id="rId10">
        <w:r w:rsidRPr="0065242A">
          <w:rPr>
            <w:rStyle w:val="Hypertextovodkaz"/>
          </w:rPr>
          <w:t>oldrich.vlcek@amu.cz</w:t>
        </w:r>
      </w:hyperlink>
      <w:r>
        <w:t xml:space="preserve">, +420 </w:t>
      </w:r>
      <w:r w:rsidRPr="00DE0A90">
        <w:t>234 244</w:t>
      </w:r>
      <w:r>
        <w:t> </w:t>
      </w:r>
      <w:r w:rsidRPr="00DE0A90">
        <w:t>546</w:t>
      </w:r>
    </w:p>
    <w:p w:rsidR="00DE0A90" w:rsidP="00DE0A90" w:rsidRDefault="00DE0A90" w14:paraId="12FAACB1" w14:textId="06ECBB76">
      <w:r>
        <w:t xml:space="preserve">Bc. Jakub Ivanov, </w:t>
      </w:r>
      <w:hyperlink w:history="1" r:id="rId11">
        <w:r w:rsidRPr="0065242A">
          <w:rPr>
            <w:rStyle w:val="Hypertextovodkaz"/>
          </w:rPr>
          <w:t>jakub.ivanov@amu.cz</w:t>
        </w:r>
      </w:hyperlink>
      <w:r>
        <w:t xml:space="preserve">, +420 </w:t>
      </w:r>
      <w:r w:rsidRPr="00DE0A90">
        <w:t>234 244</w:t>
      </w:r>
      <w:r>
        <w:t> </w:t>
      </w:r>
      <w:r w:rsidRPr="00DE0A90">
        <w:t>540</w:t>
      </w:r>
    </w:p>
    <w:p w:rsidRPr="00DE0A90" w:rsidR="00DE0A90" w:rsidP="00DE0A90" w:rsidRDefault="00DE0A90" w14:paraId="51C80703" w14:textId="3F3BDD26">
      <w:r>
        <w:t xml:space="preserve">Ing. Václav </w:t>
      </w:r>
      <w:proofErr w:type="spellStart"/>
      <w:r>
        <w:t>Obadálek</w:t>
      </w:r>
      <w:proofErr w:type="spellEnd"/>
      <w:r>
        <w:t xml:space="preserve">, </w:t>
      </w:r>
      <w:hyperlink w:history="1" r:id="rId12">
        <w:r w:rsidRPr="0065242A">
          <w:rPr>
            <w:rStyle w:val="Hypertextovodkaz"/>
          </w:rPr>
          <w:t>vaclav.obadalek@amu.cz</w:t>
        </w:r>
      </w:hyperlink>
      <w:r>
        <w:t xml:space="preserve">, +420 </w:t>
      </w:r>
      <w:r w:rsidRPr="00DE0A90">
        <w:t>234 244 545</w:t>
      </w:r>
    </w:p>
    <w:p w:rsidRPr="004E507B" w:rsidR="001B488E" w:rsidP="004E507B" w:rsidRDefault="001B488E" w14:paraId="6C097E06" w14:textId="77777777">
      <w:pPr>
        <w:rPr>
          <w:rFonts w:cs="Arial"/>
          <w:lang w:val="pl-PL"/>
        </w:rPr>
      </w:pPr>
    </w:p>
    <w:sectPr w:rsidRPr="004E507B" w:rsidR="001B488E" w:rsidSect="001E3685">
      <w:headerReference w:type="default" r:id="rId13"/>
      <w:footerReference w:type="default" r:id="rId14"/>
      <w:pgSz w:w="11906" w:h="16838" w:orient="portrait"/>
      <w:pgMar w:top="2269" w:right="1417" w:bottom="1276" w:left="1417"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AB84" w16cex:dateUtc="2022-10-04T10:54:00Z"/>
  <w16cex:commentExtensible w16cex:durableId="26F035DA" w16cex:dateUtc="2022-10-11T16:35:00Z"/>
  <w16cex:commentExtensible w16cex:durableId="26F036ED" w16cex:dateUtc="2022-10-11T16:39:00Z"/>
  <w16cex:commentExtensible w16cex:durableId="26E6AD11" w16cex:dateUtc="2022-10-04T11:01:00Z"/>
  <w16cex:commentExtensible w16cex:durableId="26F03EEF" w16cex:dateUtc="2022-10-11T17:13:00Z"/>
  <w16cex:commentExtensible w16cex:durableId="26F04174" w16cex:dateUtc="2022-10-11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CD0" w:rsidP="00E2509E" w:rsidRDefault="00497CD0" w14:paraId="6D5DD48A" w14:textId="77777777">
      <w:r>
        <w:separator/>
      </w:r>
    </w:p>
  </w:endnote>
  <w:endnote w:type="continuationSeparator" w:id="0">
    <w:p w:rsidR="00497CD0" w:rsidP="00E2509E" w:rsidRDefault="00497CD0" w14:paraId="4273EB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226722"/>
      <w:docPartObj>
        <w:docPartGallery w:val="Page Numbers (Bottom of Page)"/>
        <w:docPartUnique/>
      </w:docPartObj>
    </w:sdtPr>
    <w:sdtEndPr/>
    <w:sdtContent>
      <w:sdt>
        <w:sdtPr>
          <w:id w:val="-1769616900"/>
          <w:docPartObj>
            <w:docPartGallery w:val="Page Numbers (Top of Page)"/>
            <w:docPartUnique/>
          </w:docPartObj>
        </w:sdtPr>
        <w:sdtEndPr/>
        <w:sdtContent>
          <w:p w:rsidR="001E3685" w:rsidRDefault="001E3685" w14:paraId="376B8999" w14:textId="77777777">
            <w:pPr>
              <w:pStyle w:val="Zpat"/>
              <w:jc w:val="right"/>
            </w:pPr>
            <w:r w:rsidRPr="009C2D7F">
              <w:rPr>
                <w:color w:val="A6A6A6" w:themeColor="background1" w:themeShade="A6"/>
                <w:sz w:val="20"/>
                <w:szCs w:val="20"/>
              </w:rPr>
              <w:t xml:space="preserve">Stránka </w:t>
            </w:r>
            <w:r w:rsidRPr="009C2D7F">
              <w:rPr>
                <w:bCs/>
                <w:color w:val="A6A6A6" w:themeColor="background1" w:themeShade="A6"/>
                <w:sz w:val="20"/>
                <w:szCs w:val="20"/>
              </w:rPr>
              <w:fldChar w:fldCharType="begin"/>
            </w:r>
            <w:r w:rsidRPr="009C2D7F">
              <w:rPr>
                <w:bCs/>
                <w:color w:val="A6A6A6" w:themeColor="background1" w:themeShade="A6"/>
                <w:sz w:val="20"/>
                <w:szCs w:val="20"/>
              </w:rPr>
              <w:instrText>PAGE</w:instrText>
            </w:r>
            <w:r w:rsidRPr="009C2D7F">
              <w:rPr>
                <w:bCs/>
                <w:color w:val="A6A6A6" w:themeColor="background1" w:themeShade="A6"/>
                <w:sz w:val="20"/>
                <w:szCs w:val="20"/>
              </w:rPr>
              <w:fldChar w:fldCharType="separate"/>
            </w:r>
            <w:r w:rsidRPr="009C2D7F">
              <w:rPr>
                <w:bCs/>
                <w:color w:val="A6A6A6" w:themeColor="background1" w:themeShade="A6"/>
                <w:sz w:val="20"/>
                <w:szCs w:val="20"/>
              </w:rPr>
              <w:t>2</w:t>
            </w:r>
            <w:r w:rsidRPr="009C2D7F">
              <w:rPr>
                <w:bCs/>
                <w:color w:val="A6A6A6" w:themeColor="background1" w:themeShade="A6"/>
                <w:sz w:val="20"/>
                <w:szCs w:val="20"/>
              </w:rPr>
              <w:fldChar w:fldCharType="end"/>
            </w:r>
            <w:r w:rsidRPr="009C2D7F">
              <w:rPr>
                <w:color w:val="A6A6A6" w:themeColor="background1" w:themeShade="A6"/>
                <w:sz w:val="20"/>
                <w:szCs w:val="20"/>
              </w:rPr>
              <w:t xml:space="preserve"> z </w:t>
            </w:r>
            <w:r w:rsidRPr="009C2D7F">
              <w:rPr>
                <w:bCs/>
                <w:color w:val="A6A6A6" w:themeColor="background1" w:themeShade="A6"/>
                <w:sz w:val="20"/>
                <w:szCs w:val="20"/>
              </w:rPr>
              <w:fldChar w:fldCharType="begin"/>
            </w:r>
            <w:r w:rsidRPr="009C2D7F">
              <w:rPr>
                <w:bCs/>
                <w:color w:val="A6A6A6" w:themeColor="background1" w:themeShade="A6"/>
                <w:sz w:val="20"/>
                <w:szCs w:val="20"/>
              </w:rPr>
              <w:instrText>NUMPAGES</w:instrText>
            </w:r>
            <w:r w:rsidRPr="009C2D7F">
              <w:rPr>
                <w:bCs/>
                <w:color w:val="A6A6A6" w:themeColor="background1" w:themeShade="A6"/>
                <w:sz w:val="20"/>
                <w:szCs w:val="20"/>
              </w:rPr>
              <w:fldChar w:fldCharType="separate"/>
            </w:r>
            <w:r w:rsidRPr="009C2D7F">
              <w:rPr>
                <w:bCs/>
                <w:color w:val="A6A6A6" w:themeColor="background1" w:themeShade="A6"/>
                <w:sz w:val="20"/>
                <w:szCs w:val="20"/>
              </w:rPr>
              <w:t>2</w:t>
            </w:r>
            <w:r w:rsidRPr="009C2D7F">
              <w:rPr>
                <w:bCs/>
                <w:color w:val="A6A6A6" w:themeColor="background1" w:themeShade="A6"/>
                <w:sz w:val="20"/>
                <w:szCs w:val="20"/>
              </w:rPr>
              <w:fldChar w:fldCharType="end"/>
            </w:r>
          </w:p>
        </w:sdtContent>
      </w:sdt>
    </w:sdtContent>
  </w:sdt>
  <w:p w:rsidR="001E3685" w:rsidRDefault="001E3685" w14:paraId="338A8E98"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CD0" w:rsidP="00E2509E" w:rsidRDefault="00497CD0" w14:paraId="0473C8C6" w14:textId="77777777">
      <w:r>
        <w:separator/>
      </w:r>
    </w:p>
  </w:footnote>
  <w:footnote w:type="continuationSeparator" w:id="0">
    <w:p w:rsidR="00497CD0" w:rsidP="00E2509E" w:rsidRDefault="00497CD0" w14:paraId="747E7A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2509E" w:rsidRDefault="00E2509E" w14:paraId="52AFAC6C" w14:textId="77777777">
    <w:pPr>
      <w:pStyle w:val="Zhlav"/>
    </w:pPr>
    <w:r>
      <w:rPr>
        <w:noProof/>
      </w:rPr>
      <w:drawing>
        <wp:anchor distT="0" distB="0" distL="114300" distR="114300" simplePos="0" relativeHeight="251659264" behindDoc="1" locked="0" layoutInCell="1" allowOverlap="1" wp14:anchorId="4582715A" wp14:editId="384364A9">
          <wp:simplePos x="0" y="0"/>
          <wp:positionH relativeFrom="margin">
            <wp:posOffset>4238625</wp:posOffset>
          </wp:positionH>
          <wp:positionV relativeFrom="paragraph">
            <wp:posOffset>43180</wp:posOffset>
          </wp:positionV>
          <wp:extent cx="1513205" cy="737870"/>
          <wp:effectExtent l="0" t="0" r="0" b="5080"/>
          <wp:wrapTight wrapText="bothSides">
            <wp:wrapPolygon edited="0">
              <wp:start x="0" y="0"/>
              <wp:lineTo x="0" y="21191"/>
              <wp:lineTo x="21210" y="21191"/>
              <wp:lineTo x="2121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7D698D1A" wp14:editId="55571DF9">
          <wp:extent cx="1176338" cy="89919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5383" cy="929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1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3E1BAB"/>
    <w:multiLevelType w:val="hybridMultilevel"/>
    <w:tmpl w:val="424E1C5E"/>
    <w:lvl w:ilvl="0" w:tplc="4094CCB4">
      <w:numFmt w:val="bullet"/>
      <w:lvlText w:val="‒"/>
      <w:lvlJc w:val="left"/>
      <w:pPr>
        <w:ind w:left="720" w:hanging="360"/>
      </w:pPr>
      <w:rPr>
        <w:rFonts w:hint="default" w:ascii="Arial" w:hAnsi="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0BE807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D2AF4"/>
    <w:multiLevelType w:val="multilevel"/>
    <w:tmpl w:val="4E28B5D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884F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B772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AA4E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D97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5072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23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331845"/>
    <w:multiLevelType w:val="hybridMultilevel"/>
    <w:tmpl w:val="9E38752E"/>
    <w:lvl w:ilvl="0" w:tplc="4094CCB4">
      <w:numFmt w:val="bullet"/>
      <w:lvlText w:val="‒"/>
      <w:lvlJc w:val="left"/>
      <w:pPr>
        <w:ind w:left="720" w:hanging="360"/>
      </w:pPr>
      <w:rPr>
        <w:rFonts w:hint="default" w:ascii="Arial" w:hAnsi="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40DB4A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C96C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BE2C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097EF1"/>
    <w:multiLevelType w:val="multilevel"/>
    <w:tmpl w:val="8418187E"/>
    <w:lvl w:ilvl="0">
      <w:start w:val="1"/>
      <w:numFmt w:val="decimal"/>
      <w:lvlText w:val="%1."/>
      <w:lvlJc w:val="left"/>
      <w:pPr>
        <w:tabs>
          <w:tab w:val="num" w:pos="705"/>
        </w:tabs>
        <w:ind w:left="705" w:hanging="705"/>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5" w15:restartNumberingAfterBreak="0">
    <w:nsid w:val="572C0B30"/>
    <w:multiLevelType w:val="hybridMultilevel"/>
    <w:tmpl w:val="CA3E392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5BCB4773"/>
    <w:multiLevelType w:val="hybridMultilevel"/>
    <w:tmpl w:val="B00AFFBC"/>
    <w:lvl w:ilvl="0" w:tplc="4094CCB4">
      <w:numFmt w:val="bullet"/>
      <w:lvlText w:val="‒"/>
      <w:lvlJc w:val="left"/>
      <w:pPr>
        <w:ind w:left="1571" w:hanging="360"/>
      </w:pPr>
      <w:rPr>
        <w:rFonts w:hint="default" w:ascii="Arial" w:hAnsi="Arial" w:eastAsiaTheme="minorHAnsi"/>
      </w:rPr>
    </w:lvl>
    <w:lvl w:ilvl="1" w:tplc="04050003" w:tentative="1">
      <w:start w:val="1"/>
      <w:numFmt w:val="bullet"/>
      <w:lvlText w:val="o"/>
      <w:lvlJc w:val="left"/>
      <w:pPr>
        <w:ind w:left="2291" w:hanging="360"/>
      </w:pPr>
      <w:rPr>
        <w:rFonts w:hint="default" w:ascii="Courier New" w:hAnsi="Courier New" w:cs="Courier New"/>
      </w:rPr>
    </w:lvl>
    <w:lvl w:ilvl="2" w:tplc="04050005" w:tentative="1">
      <w:start w:val="1"/>
      <w:numFmt w:val="bullet"/>
      <w:lvlText w:val=""/>
      <w:lvlJc w:val="left"/>
      <w:pPr>
        <w:ind w:left="3011" w:hanging="360"/>
      </w:pPr>
      <w:rPr>
        <w:rFonts w:hint="default" w:ascii="Wingdings" w:hAnsi="Wingdings"/>
      </w:rPr>
    </w:lvl>
    <w:lvl w:ilvl="3" w:tplc="04050001" w:tentative="1">
      <w:start w:val="1"/>
      <w:numFmt w:val="bullet"/>
      <w:lvlText w:val=""/>
      <w:lvlJc w:val="left"/>
      <w:pPr>
        <w:ind w:left="3731" w:hanging="360"/>
      </w:pPr>
      <w:rPr>
        <w:rFonts w:hint="default" w:ascii="Symbol" w:hAnsi="Symbol"/>
      </w:rPr>
    </w:lvl>
    <w:lvl w:ilvl="4" w:tplc="04050003" w:tentative="1">
      <w:start w:val="1"/>
      <w:numFmt w:val="bullet"/>
      <w:lvlText w:val="o"/>
      <w:lvlJc w:val="left"/>
      <w:pPr>
        <w:ind w:left="4451" w:hanging="360"/>
      </w:pPr>
      <w:rPr>
        <w:rFonts w:hint="default" w:ascii="Courier New" w:hAnsi="Courier New" w:cs="Courier New"/>
      </w:rPr>
    </w:lvl>
    <w:lvl w:ilvl="5" w:tplc="04050005" w:tentative="1">
      <w:start w:val="1"/>
      <w:numFmt w:val="bullet"/>
      <w:lvlText w:val=""/>
      <w:lvlJc w:val="left"/>
      <w:pPr>
        <w:ind w:left="5171" w:hanging="360"/>
      </w:pPr>
      <w:rPr>
        <w:rFonts w:hint="default" w:ascii="Wingdings" w:hAnsi="Wingdings"/>
      </w:rPr>
    </w:lvl>
    <w:lvl w:ilvl="6" w:tplc="04050001" w:tentative="1">
      <w:start w:val="1"/>
      <w:numFmt w:val="bullet"/>
      <w:lvlText w:val=""/>
      <w:lvlJc w:val="left"/>
      <w:pPr>
        <w:ind w:left="5891" w:hanging="360"/>
      </w:pPr>
      <w:rPr>
        <w:rFonts w:hint="default" w:ascii="Symbol" w:hAnsi="Symbol"/>
      </w:rPr>
    </w:lvl>
    <w:lvl w:ilvl="7" w:tplc="04050003" w:tentative="1">
      <w:start w:val="1"/>
      <w:numFmt w:val="bullet"/>
      <w:lvlText w:val="o"/>
      <w:lvlJc w:val="left"/>
      <w:pPr>
        <w:ind w:left="6611" w:hanging="360"/>
      </w:pPr>
      <w:rPr>
        <w:rFonts w:hint="default" w:ascii="Courier New" w:hAnsi="Courier New" w:cs="Courier New"/>
      </w:rPr>
    </w:lvl>
    <w:lvl w:ilvl="8" w:tplc="04050005" w:tentative="1">
      <w:start w:val="1"/>
      <w:numFmt w:val="bullet"/>
      <w:lvlText w:val=""/>
      <w:lvlJc w:val="left"/>
      <w:pPr>
        <w:ind w:left="7331" w:hanging="360"/>
      </w:pPr>
      <w:rPr>
        <w:rFonts w:hint="default" w:ascii="Wingdings" w:hAnsi="Wingdings"/>
      </w:rPr>
    </w:lvl>
  </w:abstractNum>
  <w:abstractNum w:abstractNumId="17" w15:restartNumberingAfterBreak="0">
    <w:nsid w:val="5C7F30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2A1584"/>
    <w:multiLevelType w:val="hybridMultilevel"/>
    <w:tmpl w:val="47DC2FA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9" w15:restartNumberingAfterBreak="0">
    <w:nsid w:val="64D504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9675F9"/>
    <w:multiLevelType w:val="multilevel"/>
    <w:tmpl w:val="989C39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A56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EB273A"/>
    <w:multiLevelType w:val="hybridMultilevel"/>
    <w:tmpl w:val="3F38B0E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3" w15:restartNumberingAfterBreak="0">
    <w:nsid w:val="72DE6C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BB09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9A4E24"/>
    <w:multiLevelType w:val="multilevel"/>
    <w:tmpl w:val="C456B6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B874FA"/>
    <w:multiLevelType w:val="hybridMultilevel"/>
    <w:tmpl w:val="CE1485D8"/>
    <w:lvl w:ilvl="0" w:tplc="04050017">
      <w:start w:val="1"/>
      <w:numFmt w:val="lowerLetter"/>
      <w:lvlText w:val="%1)"/>
      <w:lvlJc w:val="left"/>
      <w:pPr>
        <w:ind w:left="1158" w:hanging="360"/>
      </w:pPr>
    </w:lvl>
    <w:lvl w:ilvl="1" w:tplc="04050019" w:tentative="1">
      <w:start w:val="1"/>
      <w:numFmt w:val="lowerLetter"/>
      <w:lvlText w:val="%2."/>
      <w:lvlJc w:val="left"/>
      <w:pPr>
        <w:ind w:left="1878" w:hanging="360"/>
      </w:pPr>
    </w:lvl>
    <w:lvl w:ilvl="2" w:tplc="0405001B" w:tentative="1">
      <w:start w:val="1"/>
      <w:numFmt w:val="lowerRoman"/>
      <w:lvlText w:val="%3."/>
      <w:lvlJc w:val="right"/>
      <w:pPr>
        <w:ind w:left="2598" w:hanging="180"/>
      </w:pPr>
    </w:lvl>
    <w:lvl w:ilvl="3" w:tplc="0405000F" w:tentative="1">
      <w:start w:val="1"/>
      <w:numFmt w:val="decimal"/>
      <w:lvlText w:val="%4."/>
      <w:lvlJc w:val="left"/>
      <w:pPr>
        <w:ind w:left="3318" w:hanging="360"/>
      </w:pPr>
    </w:lvl>
    <w:lvl w:ilvl="4" w:tplc="04050019" w:tentative="1">
      <w:start w:val="1"/>
      <w:numFmt w:val="lowerLetter"/>
      <w:lvlText w:val="%5."/>
      <w:lvlJc w:val="left"/>
      <w:pPr>
        <w:ind w:left="4038" w:hanging="360"/>
      </w:pPr>
    </w:lvl>
    <w:lvl w:ilvl="5" w:tplc="0405001B" w:tentative="1">
      <w:start w:val="1"/>
      <w:numFmt w:val="lowerRoman"/>
      <w:lvlText w:val="%6."/>
      <w:lvlJc w:val="right"/>
      <w:pPr>
        <w:ind w:left="4758" w:hanging="180"/>
      </w:pPr>
    </w:lvl>
    <w:lvl w:ilvl="6" w:tplc="0405000F" w:tentative="1">
      <w:start w:val="1"/>
      <w:numFmt w:val="decimal"/>
      <w:lvlText w:val="%7."/>
      <w:lvlJc w:val="left"/>
      <w:pPr>
        <w:ind w:left="5478" w:hanging="360"/>
      </w:pPr>
    </w:lvl>
    <w:lvl w:ilvl="7" w:tplc="04050019" w:tentative="1">
      <w:start w:val="1"/>
      <w:numFmt w:val="lowerLetter"/>
      <w:lvlText w:val="%8."/>
      <w:lvlJc w:val="left"/>
      <w:pPr>
        <w:ind w:left="6198" w:hanging="360"/>
      </w:pPr>
    </w:lvl>
    <w:lvl w:ilvl="8" w:tplc="0405001B" w:tentative="1">
      <w:start w:val="1"/>
      <w:numFmt w:val="lowerRoman"/>
      <w:lvlText w:val="%9."/>
      <w:lvlJc w:val="right"/>
      <w:pPr>
        <w:ind w:left="6918" w:hanging="180"/>
      </w:pPr>
    </w:lvl>
  </w:abstractNum>
  <w:num w:numId="1">
    <w:abstractNumId w:val="5"/>
  </w:num>
  <w:num w:numId="2">
    <w:abstractNumId w:val="3"/>
  </w:num>
  <w:num w:numId="3">
    <w:abstractNumId w:val="23"/>
  </w:num>
  <w:num w:numId="4">
    <w:abstractNumId w:val="0"/>
  </w:num>
  <w:num w:numId="5">
    <w:abstractNumId w:val="24"/>
  </w:num>
  <w:num w:numId="6">
    <w:abstractNumId w:val="9"/>
  </w:num>
  <w:num w:numId="7">
    <w:abstractNumId w:val="4"/>
  </w:num>
  <w:num w:numId="8">
    <w:abstractNumId w:val="20"/>
  </w:num>
  <w:num w:numId="9">
    <w:abstractNumId w:val="2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14"/>
  </w:num>
  <w:num w:numId="14">
    <w:abstractNumId w:val="22"/>
  </w:num>
  <w:num w:numId="15">
    <w:abstractNumId w:val="10"/>
  </w:num>
  <w:num w:numId="16">
    <w:abstractNumId w:val="2"/>
  </w:num>
  <w:num w:numId="17">
    <w:abstractNumId w:val="7"/>
  </w:num>
  <w:num w:numId="18">
    <w:abstractNumId w:val="6"/>
  </w:num>
  <w:num w:numId="19">
    <w:abstractNumId w:val="13"/>
  </w:num>
  <w:num w:numId="20">
    <w:abstractNumId w:val="19"/>
  </w:num>
  <w:num w:numId="21">
    <w:abstractNumId w:val="16"/>
  </w:num>
  <w:num w:numId="22">
    <w:abstractNumId w:val="11"/>
  </w:num>
  <w:num w:numId="23">
    <w:abstractNumId w:val="12"/>
  </w:num>
  <w:num w:numId="24">
    <w:abstractNumId w:val="26"/>
  </w:num>
  <w:num w:numId="25">
    <w:abstractNumId w:val="8"/>
  </w:num>
  <w:num w:numId="26">
    <w:abstractNumId w:val="21"/>
  </w:num>
  <w:num w:numId="27">
    <w:abstractNumId w:val="18"/>
  </w:num>
  <w:num w:numId="2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9E"/>
    <w:rsid w:val="00004374"/>
    <w:rsid w:val="00022775"/>
    <w:rsid w:val="0002379C"/>
    <w:rsid w:val="000576AC"/>
    <w:rsid w:val="00071FAA"/>
    <w:rsid w:val="00072B8E"/>
    <w:rsid w:val="000A5FEA"/>
    <w:rsid w:val="000F2B88"/>
    <w:rsid w:val="00111684"/>
    <w:rsid w:val="0018670B"/>
    <w:rsid w:val="00187E8C"/>
    <w:rsid w:val="001A4B96"/>
    <w:rsid w:val="001B488E"/>
    <w:rsid w:val="001C16EB"/>
    <w:rsid w:val="001D08CF"/>
    <w:rsid w:val="001E0285"/>
    <w:rsid w:val="001E3685"/>
    <w:rsid w:val="00233DC5"/>
    <w:rsid w:val="0023471D"/>
    <w:rsid w:val="00235CC4"/>
    <w:rsid w:val="00266964"/>
    <w:rsid w:val="002A1E56"/>
    <w:rsid w:val="002F7380"/>
    <w:rsid w:val="00314A4A"/>
    <w:rsid w:val="00324657"/>
    <w:rsid w:val="00324FD7"/>
    <w:rsid w:val="0034170C"/>
    <w:rsid w:val="003A0851"/>
    <w:rsid w:val="003A3240"/>
    <w:rsid w:val="003B5972"/>
    <w:rsid w:val="003B5A36"/>
    <w:rsid w:val="003C7411"/>
    <w:rsid w:val="003E184B"/>
    <w:rsid w:val="00423F8B"/>
    <w:rsid w:val="00437B87"/>
    <w:rsid w:val="004416FB"/>
    <w:rsid w:val="004743BD"/>
    <w:rsid w:val="00476DD0"/>
    <w:rsid w:val="004824C6"/>
    <w:rsid w:val="00497CD0"/>
    <w:rsid w:val="004E447B"/>
    <w:rsid w:val="004E507B"/>
    <w:rsid w:val="0052382C"/>
    <w:rsid w:val="00543B36"/>
    <w:rsid w:val="00544388"/>
    <w:rsid w:val="00552CFD"/>
    <w:rsid w:val="00571854"/>
    <w:rsid w:val="00584C7E"/>
    <w:rsid w:val="005C2EEA"/>
    <w:rsid w:val="005E61C3"/>
    <w:rsid w:val="005F62E2"/>
    <w:rsid w:val="006016D7"/>
    <w:rsid w:val="0061013F"/>
    <w:rsid w:val="00663F7F"/>
    <w:rsid w:val="00672AF4"/>
    <w:rsid w:val="006C20E7"/>
    <w:rsid w:val="00714F1C"/>
    <w:rsid w:val="00726CF4"/>
    <w:rsid w:val="00744EA9"/>
    <w:rsid w:val="00753D9E"/>
    <w:rsid w:val="00770E38"/>
    <w:rsid w:val="007764DC"/>
    <w:rsid w:val="0079428C"/>
    <w:rsid w:val="007A51CE"/>
    <w:rsid w:val="007C3FD5"/>
    <w:rsid w:val="007E7050"/>
    <w:rsid w:val="00801524"/>
    <w:rsid w:val="0081543A"/>
    <w:rsid w:val="008218B1"/>
    <w:rsid w:val="00822C60"/>
    <w:rsid w:val="00824C8E"/>
    <w:rsid w:val="008618D6"/>
    <w:rsid w:val="00891A03"/>
    <w:rsid w:val="008A1335"/>
    <w:rsid w:val="008B4C56"/>
    <w:rsid w:val="008B7756"/>
    <w:rsid w:val="00927523"/>
    <w:rsid w:val="00947EA3"/>
    <w:rsid w:val="00962FE0"/>
    <w:rsid w:val="0097397F"/>
    <w:rsid w:val="009A4CC4"/>
    <w:rsid w:val="009B4316"/>
    <w:rsid w:val="009C06E8"/>
    <w:rsid w:val="009C2D7F"/>
    <w:rsid w:val="00A466F4"/>
    <w:rsid w:val="00A5673B"/>
    <w:rsid w:val="00A83800"/>
    <w:rsid w:val="00A8661B"/>
    <w:rsid w:val="00A9783E"/>
    <w:rsid w:val="00AB6BA0"/>
    <w:rsid w:val="00B21510"/>
    <w:rsid w:val="00BC4092"/>
    <w:rsid w:val="00BE0CFC"/>
    <w:rsid w:val="00BE2A2E"/>
    <w:rsid w:val="00C7213E"/>
    <w:rsid w:val="00CA4BBE"/>
    <w:rsid w:val="00CB6285"/>
    <w:rsid w:val="00CC0B3A"/>
    <w:rsid w:val="00CC289B"/>
    <w:rsid w:val="00D13610"/>
    <w:rsid w:val="00D22233"/>
    <w:rsid w:val="00DE0A90"/>
    <w:rsid w:val="00DF37E3"/>
    <w:rsid w:val="00E15213"/>
    <w:rsid w:val="00E2509E"/>
    <w:rsid w:val="00E506A4"/>
    <w:rsid w:val="00E61536"/>
    <w:rsid w:val="00EB4712"/>
    <w:rsid w:val="00F260FE"/>
    <w:rsid w:val="00F36D9D"/>
    <w:rsid w:val="00F37115"/>
    <w:rsid w:val="00F62D0F"/>
    <w:rsid w:val="0214721E"/>
    <w:rsid w:val="0B332CEE"/>
    <w:rsid w:val="1220594B"/>
    <w:rsid w:val="1A913668"/>
    <w:rsid w:val="1FA2FA48"/>
    <w:rsid w:val="2014A27F"/>
    <w:rsid w:val="3EB0C42A"/>
    <w:rsid w:val="40CBE30F"/>
    <w:rsid w:val="4D75A8B0"/>
    <w:rsid w:val="50A980FD"/>
    <w:rsid w:val="575EC027"/>
    <w:rsid w:val="639253F0"/>
    <w:rsid w:val="677CD177"/>
    <w:rsid w:val="76ACC530"/>
    <w:rsid w:val="7DBD6779"/>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E403"/>
  <w15:chartTrackingRefBased/>
  <w15:docId w15:val="{0AC30582-E497-47D3-B17E-1B0A01A16E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cs-CZ" w:eastAsia="en-US" w:bidi="ar-SA"/>
      </w:rPr>
    </w:rPrDefault>
    <w:pPrDefault>
      <w:pPr>
        <w:spacing w:after="100" w:line="276" w:lineRule="auto"/>
        <w:ind w:left="45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rsid w:val="00E2509E"/>
    <w:pPr>
      <w:spacing w:after="0" w:line="240" w:lineRule="auto"/>
      <w:ind w:left="0"/>
    </w:pPr>
    <w:rPr>
      <w:rFonts w:ascii="Arial" w:hAnsi="Arial" w:eastAsia="Times New Roman" w:cs="Times New Roman"/>
      <w:sz w:val="24"/>
      <w:szCs w:val="24"/>
      <w:lang w:eastAsia="cs-CZ"/>
    </w:rPr>
  </w:style>
  <w:style w:type="paragraph" w:styleId="Nadpis1">
    <w:name w:val="heading 1"/>
    <w:basedOn w:val="Normln"/>
    <w:next w:val="Normln"/>
    <w:link w:val="Nadpis1Char"/>
    <w:uiPriority w:val="9"/>
    <w:qFormat/>
    <w:rsid w:val="00E2509E"/>
    <w:pPr>
      <w:keepNext/>
      <w:keepLines/>
      <w:spacing w:before="480" w:after="360" w:line="276" w:lineRule="auto"/>
      <w:outlineLvl w:val="0"/>
    </w:pPr>
    <w:rPr>
      <w:rFonts w:eastAsiaTheme="majorEastAsia" w:cstheme="majorBidi"/>
      <w:b/>
      <w:bCs/>
      <w:sz w:val="32"/>
      <w:szCs w:val="28"/>
      <w:lang w:eastAsia="en-US"/>
    </w:rPr>
  </w:style>
  <w:style w:type="paragraph" w:styleId="Nadpis2">
    <w:name w:val="heading 2"/>
    <w:basedOn w:val="Normln"/>
    <w:next w:val="Normln"/>
    <w:link w:val="Nadpis2Char"/>
    <w:uiPriority w:val="9"/>
    <w:unhideWhenUsed/>
    <w:qFormat/>
    <w:rsid w:val="00E2509E"/>
    <w:pPr>
      <w:keepNext/>
      <w:keepLines/>
      <w:spacing w:before="480" w:after="240" w:line="276" w:lineRule="auto"/>
      <w:outlineLvl w:val="1"/>
    </w:pPr>
    <w:rPr>
      <w:rFonts w:eastAsiaTheme="majorEastAsia" w:cstheme="majorBidi"/>
      <w:b/>
      <w:bCs/>
      <w:szCs w:val="26"/>
      <w:lang w:eastAsia="en-US"/>
    </w:rPr>
  </w:style>
  <w:style w:type="paragraph" w:styleId="Nadpis3">
    <w:name w:val="heading 3"/>
    <w:basedOn w:val="Normln"/>
    <w:next w:val="Normln"/>
    <w:link w:val="Nadpis3Char"/>
    <w:autoRedefine/>
    <w:uiPriority w:val="9"/>
    <w:unhideWhenUsed/>
    <w:qFormat/>
    <w:rsid w:val="00324FD7"/>
    <w:pPr>
      <w:keepNext/>
      <w:keepLines/>
      <w:spacing w:before="240"/>
      <w:outlineLvl w:val="2"/>
    </w:pPr>
    <w:rPr>
      <w:rFonts w:eastAsiaTheme="majorEastAsia" w:cstheme="majorBidi"/>
      <w:b/>
      <w:color w:val="1F3763" w:themeColor="accent1" w:themeShade="7F"/>
      <w:sz w:val="2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2Char" w:customStyle="1">
    <w:name w:val="Nadpis 2 Char"/>
    <w:basedOn w:val="Standardnpsmoodstavce"/>
    <w:link w:val="Nadpis2"/>
    <w:uiPriority w:val="9"/>
    <w:rsid w:val="00E2509E"/>
    <w:rPr>
      <w:rFonts w:ascii="Arial" w:hAnsi="Arial" w:eastAsiaTheme="majorEastAsia" w:cstheme="majorBidi"/>
      <w:b/>
      <w:bCs/>
      <w:sz w:val="24"/>
      <w:szCs w:val="26"/>
    </w:rPr>
  </w:style>
  <w:style w:type="character" w:styleId="Nadpis1Char" w:customStyle="1">
    <w:name w:val="Nadpis 1 Char"/>
    <w:basedOn w:val="Standardnpsmoodstavce"/>
    <w:link w:val="Nadpis1"/>
    <w:uiPriority w:val="9"/>
    <w:rsid w:val="00E2509E"/>
    <w:rPr>
      <w:rFonts w:ascii="Arial" w:hAnsi="Arial" w:eastAsiaTheme="majorEastAsia" w:cstheme="majorBidi"/>
      <w:b/>
      <w:bCs/>
      <w:sz w:val="32"/>
      <w:szCs w:val="28"/>
    </w:rPr>
  </w:style>
  <w:style w:type="character" w:styleId="Nadpis3Char" w:customStyle="1">
    <w:name w:val="Nadpis 3 Char"/>
    <w:basedOn w:val="Standardnpsmoodstavce"/>
    <w:link w:val="Nadpis3"/>
    <w:uiPriority w:val="9"/>
    <w:rsid w:val="00324FD7"/>
    <w:rPr>
      <w:rFonts w:ascii="Arial" w:hAnsi="Arial" w:eastAsiaTheme="majorEastAsia" w:cstheme="majorBidi"/>
      <w:b/>
      <w:color w:val="1F3763" w:themeColor="accent1" w:themeShade="7F"/>
      <w:sz w:val="28"/>
      <w:szCs w:val="24"/>
    </w:rPr>
  </w:style>
  <w:style w:type="paragraph" w:styleId="Zhlav">
    <w:name w:val="header"/>
    <w:basedOn w:val="Normln"/>
    <w:link w:val="ZhlavChar"/>
    <w:uiPriority w:val="99"/>
    <w:unhideWhenUsed/>
    <w:rsid w:val="00E2509E"/>
    <w:pPr>
      <w:tabs>
        <w:tab w:val="center" w:pos="4536"/>
        <w:tab w:val="right" w:pos="9072"/>
      </w:tabs>
    </w:pPr>
  </w:style>
  <w:style w:type="character" w:styleId="ZhlavChar" w:customStyle="1">
    <w:name w:val="Záhlaví Char"/>
    <w:basedOn w:val="Standardnpsmoodstavce"/>
    <w:link w:val="Zhlav"/>
    <w:uiPriority w:val="99"/>
    <w:rsid w:val="00E2509E"/>
    <w:rPr>
      <w:rFonts w:ascii="Arial" w:hAnsi="Arial"/>
    </w:rPr>
  </w:style>
  <w:style w:type="paragraph" w:styleId="Zpat">
    <w:name w:val="footer"/>
    <w:basedOn w:val="Normln"/>
    <w:link w:val="ZpatChar"/>
    <w:uiPriority w:val="99"/>
    <w:unhideWhenUsed/>
    <w:rsid w:val="00E2509E"/>
    <w:pPr>
      <w:tabs>
        <w:tab w:val="center" w:pos="4536"/>
        <w:tab w:val="right" w:pos="9072"/>
      </w:tabs>
    </w:pPr>
  </w:style>
  <w:style w:type="character" w:styleId="ZpatChar" w:customStyle="1">
    <w:name w:val="Zápatí Char"/>
    <w:basedOn w:val="Standardnpsmoodstavce"/>
    <w:link w:val="Zpat"/>
    <w:uiPriority w:val="99"/>
    <w:rsid w:val="00E2509E"/>
    <w:rPr>
      <w:rFonts w:ascii="Arial" w:hAnsi="Arial"/>
    </w:rPr>
  </w:style>
  <w:style w:type="paragraph" w:styleId="Odstavecseseznamem">
    <w:name w:val="List Paragraph"/>
    <w:aliases w:val="List Paragraph (Czech Tourism),Odstavec cíl se seznamem,Odstavec se seznamem1,Odrážky 1,seznam písmena,Odstavec_muj,A-Odrážky1,Nad,_Odstavec se seznamem,Odstavec_muj1,Odstavec_muj2,Odstavec_muj3,Nad1,Odstavec_muj4"/>
    <w:basedOn w:val="Normln"/>
    <w:link w:val="OdstavecseseznamemChar"/>
    <w:uiPriority w:val="34"/>
    <w:qFormat/>
    <w:rsid w:val="00E2509E"/>
    <w:pPr>
      <w:ind w:left="720"/>
      <w:contextualSpacing/>
    </w:pPr>
  </w:style>
  <w:style w:type="character" w:styleId="OdstavecseseznamemChar" w:customStyle="1">
    <w:name w:val="Odstavec se seznamem Char"/>
    <w:aliases w:val="List Paragraph (Czech Tourism) Char,Odstavec cíl se seznamem Char,Odstavec se seznamem1 Char,Odrážky 1 Char,seznam písmena Char,Odstavec_muj Char,A-Odrážky1 Char,Nad Char,_Odstavec se seznamem Char,Odstavec_muj1 Char,Nad1 Char"/>
    <w:link w:val="Odstavecseseznamem"/>
    <w:uiPriority w:val="34"/>
    <w:qFormat/>
    <w:locked/>
    <w:rsid w:val="004E507B"/>
    <w:rPr>
      <w:rFonts w:ascii="Arial" w:hAnsi="Arial" w:eastAsia="Times New Roman" w:cs="Times New Roman"/>
      <w:sz w:val="24"/>
      <w:szCs w:val="24"/>
      <w:lang w:eastAsia="cs-CZ"/>
    </w:rPr>
  </w:style>
  <w:style w:type="character" w:styleId="Odkaznakoment">
    <w:name w:val="annotation reference"/>
    <w:basedOn w:val="Standardnpsmoodstavce"/>
    <w:uiPriority w:val="99"/>
    <w:semiHidden/>
    <w:unhideWhenUsed/>
    <w:rsid w:val="00BE2A2E"/>
    <w:rPr>
      <w:sz w:val="16"/>
      <w:szCs w:val="16"/>
    </w:rPr>
  </w:style>
  <w:style w:type="paragraph" w:styleId="Textkomente">
    <w:name w:val="annotation text"/>
    <w:basedOn w:val="Normln"/>
    <w:link w:val="TextkomenteChar"/>
    <w:uiPriority w:val="99"/>
    <w:unhideWhenUsed/>
    <w:rsid w:val="00BE2A2E"/>
    <w:rPr>
      <w:sz w:val="20"/>
      <w:szCs w:val="20"/>
    </w:rPr>
  </w:style>
  <w:style w:type="character" w:styleId="TextkomenteChar" w:customStyle="1">
    <w:name w:val="Text komentáře Char"/>
    <w:basedOn w:val="Standardnpsmoodstavce"/>
    <w:link w:val="Textkomente"/>
    <w:uiPriority w:val="99"/>
    <w:rsid w:val="00BE2A2E"/>
    <w:rPr>
      <w:rFonts w:ascii="Arial" w:hAnsi="Arial"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2A2E"/>
    <w:rPr>
      <w:b/>
      <w:bCs/>
    </w:rPr>
  </w:style>
  <w:style w:type="character" w:styleId="PedmtkomenteChar" w:customStyle="1">
    <w:name w:val="Předmět komentáře Char"/>
    <w:basedOn w:val="TextkomenteChar"/>
    <w:link w:val="Pedmtkomente"/>
    <w:uiPriority w:val="99"/>
    <w:semiHidden/>
    <w:rsid w:val="00BE2A2E"/>
    <w:rPr>
      <w:rFonts w:ascii="Arial" w:hAnsi="Arial" w:eastAsia="Times New Roman" w:cs="Times New Roman"/>
      <w:b/>
      <w:bCs/>
      <w:sz w:val="20"/>
      <w:szCs w:val="20"/>
      <w:lang w:eastAsia="cs-CZ"/>
    </w:rPr>
  </w:style>
  <w:style w:type="paragraph" w:styleId="Revize">
    <w:name w:val="Revision"/>
    <w:hidden/>
    <w:uiPriority w:val="99"/>
    <w:semiHidden/>
    <w:rsid w:val="00324657"/>
    <w:pPr>
      <w:spacing w:after="0" w:line="240" w:lineRule="auto"/>
      <w:ind w:left="0"/>
      <w:jc w:val="left"/>
    </w:pPr>
    <w:rPr>
      <w:rFonts w:ascii="Arial" w:hAnsi="Arial" w:eastAsia="Times New Roman" w:cs="Times New Roman"/>
      <w:sz w:val="24"/>
      <w:szCs w:val="24"/>
      <w:lang w:eastAsia="cs-CZ"/>
    </w:rPr>
  </w:style>
  <w:style w:type="paragraph" w:styleId="Textbubliny">
    <w:name w:val="Balloon Text"/>
    <w:basedOn w:val="Normln"/>
    <w:link w:val="TextbublinyChar"/>
    <w:uiPriority w:val="99"/>
    <w:semiHidden/>
    <w:unhideWhenUsed/>
    <w:rsid w:val="00663F7F"/>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663F7F"/>
    <w:rPr>
      <w:rFonts w:ascii="Segoe UI" w:hAnsi="Segoe UI" w:eastAsia="Times New Roman" w:cs="Segoe UI"/>
      <w:sz w:val="18"/>
      <w:szCs w:val="18"/>
      <w:lang w:eastAsia="cs-CZ"/>
    </w:rPr>
  </w:style>
  <w:style w:type="character" w:styleId="Hypertextovodkaz">
    <w:name w:val="Hyperlink"/>
    <w:basedOn w:val="Standardnpsmoodstavce"/>
    <w:uiPriority w:val="99"/>
    <w:unhideWhenUsed/>
    <w:rsid w:val="00DE0A90"/>
    <w:rPr>
      <w:color w:val="0563C1" w:themeColor="hyperlink"/>
      <w:u w:val="single"/>
    </w:rPr>
  </w:style>
  <w:style w:type="character" w:styleId="Nevyeenzmnka">
    <w:name w:val="Unresolved Mention"/>
    <w:basedOn w:val="Standardnpsmoodstavce"/>
    <w:uiPriority w:val="99"/>
    <w:semiHidden/>
    <w:unhideWhenUsed/>
    <w:rsid w:val="00DE0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erbert.sipek@cvut.cz" TargetMode="External" Id="rId8" /><Relationship Type="http://schemas.openxmlformats.org/officeDocument/2006/relationships/header" Target="header1.xml" Id="rId13" /><Relationship Type="http://schemas.openxmlformats.org/officeDocument/2006/relationships/settings" Target="settings.xml" Id="rId3" /><Relationship Type="http://schemas.microsoft.com/office/2018/08/relationships/commentsExtensible" Target="commentsExtensible.xml" Id="rId21" /><Relationship Type="http://schemas.openxmlformats.org/officeDocument/2006/relationships/hyperlink" Target="mailto:milan.kubin@cvut.cz" TargetMode="External" Id="rId7" /><Relationship Type="http://schemas.openxmlformats.org/officeDocument/2006/relationships/hyperlink" Target="mailto:vaclav.obadalek@amu.cz" TargetMode="Externa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jakub.ivanov@amu.cz"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mailto:oldrich.vlcek@amu.cz" TargetMode="External" Id="rId10" /><Relationship Type="http://schemas.openxmlformats.org/officeDocument/2006/relationships/webSettings" Target="webSettings.xml" Id="rId4" /><Relationship Type="http://schemas.openxmlformats.org/officeDocument/2006/relationships/hyperlink" Target="mailto:marek.kalika@cvut.cz" TargetMode="External" Id="rId9" /><Relationship Type="http://schemas.openxmlformats.org/officeDocument/2006/relationships/footer" Target="footer1.xml" Id="rId14" /><Relationship Type="http://schemas.openxmlformats.org/officeDocument/2006/relationships/glossaryDocument" Target="glossary/document.xml" Id="Re5874881f4fb441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86e4e51-7e16-4e82-b63f-9f11ff1157aa}"/>
      </w:docPartPr>
      <w:docPartBody>
        <w:p w14:paraId="7CD32515">
          <w:r>
            <w:rPr>
              <w:rStyle w:val="PlaceholderText"/>
            </w:rPr>
            <w:t/>
          </w:r>
        </w:p>
      </w:docPartBody>
    </w:docPart>
  </w:docParts>
</w:glossaryDocument>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Kalika, Marek</dc:creator>
  <keywords/>
  <dc:description/>
  <lastModifiedBy>Tomáš LANGER</lastModifiedBy>
  <revision>27</revision>
  <dcterms:created xsi:type="dcterms:W3CDTF">2022-10-12T08:19:00.0000000Z</dcterms:created>
  <dcterms:modified xsi:type="dcterms:W3CDTF">2022-10-24T05:08:01.8977671Z</dcterms:modified>
</coreProperties>
</file>