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FCB86" w14:textId="4A1D6AC4" w:rsidR="00820C31" w:rsidRDefault="00820C31" w:rsidP="000B1CA9">
      <w:pPr>
        <w:pStyle w:val="Nadpis1"/>
      </w:pPr>
      <w:r>
        <w:t>Dodatek č. 2 ke smlouvě o poskytování servisních a konzultačních služeb (dále jen „Dodatek č. 2“)</w:t>
      </w:r>
    </w:p>
    <w:p w14:paraId="20F87965" w14:textId="77777777" w:rsidR="000B1CA9" w:rsidRDefault="000B1CA9" w:rsidP="000B1CA9">
      <w:pPr>
        <w:rPr>
          <w:rFonts w:cs="Arial"/>
          <w:b/>
          <w:bCs/>
          <w:sz w:val="22"/>
          <w:szCs w:val="22"/>
        </w:rPr>
      </w:pPr>
      <w:r>
        <w:rPr>
          <w:rFonts w:cs="Arial"/>
          <w:b/>
          <w:bCs/>
          <w:sz w:val="22"/>
          <w:szCs w:val="22"/>
        </w:rPr>
        <w:t>S</w:t>
      </w:r>
      <w:r w:rsidRPr="00976DF7">
        <w:rPr>
          <w:rFonts w:cs="Arial"/>
          <w:b/>
          <w:bCs/>
          <w:sz w:val="22"/>
          <w:szCs w:val="22"/>
        </w:rPr>
        <w:t>mluvní stran</w:t>
      </w:r>
      <w:r>
        <w:rPr>
          <w:rFonts w:cs="Arial"/>
          <w:b/>
          <w:bCs/>
          <w:sz w:val="22"/>
          <w:szCs w:val="22"/>
        </w:rPr>
        <w:t>y</w:t>
      </w:r>
      <w:r w:rsidRPr="00976DF7">
        <w:rPr>
          <w:rFonts w:cs="Arial"/>
          <w:b/>
          <w:bCs/>
          <w:sz w:val="22"/>
          <w:szCs w:val="22"/>
        </w:rPr>
        <w:t>:</w:t>
      </w:r>
    </w:p>
    <w:p w14:paraId="321DB9C2" w14:textId="77777777" w:rsidR="000B1CA9" w:rsidRPr="00976DF7" w:rsidRDefault="000B1CA9" w:rsidP="000B1CA9">
      <w:pPr>
        <w:rPr>
          <w:rFonts w:cs="Arial"/>
          <w:b/>
          <w:bCs/>
          <w:sz w:val="14"/>
          <w:szCs w:val="22"/>
        </w:rPr>
      </w:pPr>
    </w:p>
    <w:p w14:paraId="396C1D6C" w14:textId="77777777" w:rsidR="000B1CA9" w:rsidRPr="00976DF7" w:rsidRDefault="000B1CA9" w:rsidP="000B1CA9">
      <w:pPr>
        <w:rPr>
          <w:rFonts w:cs="Arial"/>
          <w:b/>
          <w:iCs/>
          <w:sz w:val="22"/>
          <w:szCs w:val="22"/>
        </w:rPr>
      </w:pPr>
    </w:p>
    <w:tbl>
      <w:tblPr>
        <w:tblW w:w="9923" w:type="dxa"/>
        <w:tblLook w:val="01E0" w:firstRow="1" w:lastRow="1" w:firstColumn="1" w:lastColumn="1" w:noHBand="0" w:noVBand="0"/>
      </w:tblPr>
      <w:tblGrid>
        <w:gridCol w:w="3260"/>
        <w:gridCol w:w="6663"/>
      </w:tblGrid>
      <w:tr w:rsidR="000B1CA9" w:rsidRPr="00976DF7" w14:paraId="0593DFA4" w14:textId="77777777" w:rsidTr="00A41156">
        <w:tc>
          <w:tcPr>
            <w:tcW w:w="3260" w:type="dxa"/>
            <w:vAlign w:val="center"/>
          </w:tcPr>
          <w:p w14:paraId="03B178D4" w14:textId="77777777" w:rsidR="000B1CA9" w:rsidRPr="00976DF7" w:rsidRDefault="000B1CA9" w:rsidP="00A41156">
            <w:pPr>
              <w:spacing w:before="20" w:after="20"/>
              <w:rPr>
                <w:rFonts w:cs="Arial"/>
                <w:sz w:val="22"/>
                <w:szCs w:val="22"/>
              </w:rPr>
            </w:pPr>
            <w:r w:rsidRPr="00976DF7">
              <w:rPr>
                <w:rFonts w:cs="Arial"/>
                <w:sz w:val="22"/>
                <w:szCs w:val="22"/>
              </w:rPr>
              <w:t>Název:</w:t>
            </w:r>
          </w:p>
        </w:tc>
        <w:tc>
          <w:tcPr>
            <w:tcW w:w="6663" w:type="dxa"/>
            <w:vAlign w:val="center"/>
          </w:tcPr>
          <w:p w14:paraId="4A750028" w14:textId="77777777" w:rsidR="000B1CA9" w:rsidRPr="00976DF7" w:rsidRDefault="000B1CA9" w:rsidP="00A41156">
            <w:pPr>
              <w:spacing w:before="20" w:after="20"/>
              <w:rPr>
                <w:rFonts w:cs="Arial"/>
                <w:b/>
                <w:bCs/>
                <w:sz w:val="22"/>
                <w:szCs w:val="22"/>
              </w:rPr>
            </w:pPr>
            <w:r w:rsidRPr="002A25E0">
              <w:rPr>
                <w:rFonts w:cs="Arial"/>
                <w:b/>
                <w:bCs/>
              </w:rPr>
              <w:t>Akademie múzických umění v Praze</w:t>
            </w:r>
          </w:p>
        </w:tc>
      </w:tr>
      <w:tr w:rsidR="000B1CA9" w:rsidRPr="00976DF7" w14:paraId="7D52111F" w14:textId="77777777" w:rsidTr="00A41156">
        <w:tc>
          <w:tcPr>
            <w:tcW w:w="3260" w:type="dxa"/>
          </w:tcPr>
          <w:p w14:paraId="14F759A4" w14:textId="77777777" w:rsidR="000B1CA9" w:rsidRPr="00976DF7" w:rsidRDefault="000B1CA9" w:rsidP="00A41156">
            <w:pPr>
              <w:spacing w:before="20" w:after="20"/>
              <w:rPr>
                <w:rFonts w:cs="Arial"/>
                <w:sz w:val="22"/>
                <w:szCs w:val="22"/>
              </w:rPr>
            </w:pPr>
            <w:r w:rsidRPr="00976DF7">
              <w:rPr>
                <w:rFonts w:cs="Arial"/>
                <w:sz w:val="22"/>
                <w:szCs w:val="22"/>
              </w:rPr>
              <w:t>Se sídlem:</w:t>
            </w:r>
          </w:p>
        </w:tc>
        <w:tc>
          <w:tcPr>
            <w:tcW w:w="6663" w:type="dxa"/>
          </w:tcPr>
          <w:p w14:paraId="7036B1DB" w14:textId="77777777" w:rsidR="000B1CA9" w:rsidRPr="00976DF7" w:rsidRDefault="000B1CA9" w:rsidP="00A41156">
            <w:pPr>
              <w:spacing w:before="20" w:after="20"/>
              <w:rPr>
                <w:rFonts w:cs="Arial"/>
                <w:bCs/>
                <w:sz w:val="22"/>
                <w:szCs w:val="22"/>
              </w:rPr>
            </w:pPr>
            <w:r w:rsidRPr="00940612">
              <w:rPr>
                <w:rFonts w:cs="Arial"/>
                <w:bCs/>
                <w:sz w:val="22"/>
                <w:szCs w:val="22"/>
              </w:rPr>
              <w:t>Malostranské náměstí 12, 118 00 Praha 1</w:t>
            </w:r>
          </w:p>
        </w:tc>
      </w:tr>
      <w:tr w:rsidR="000B1CA9" w:rsidRPr="00976DF7" w14:paraId="05917245" w14:textId="77777777" w:rsidTr="00A41156">
        <w:tc>
          <w:tcPr>
            <w:tcW w:w="3260" w:type="dxa"/>
          </w:tcPr>
          <w:p w14:paraId="5067C820" w14:textId="77777777" w:rsidR="000B1CA9" w:rsidRPr="00976DF7" w:rsidRDefault="000B1CA9" w:rsidP="00A41156">
            <w:pPr>
              <w:spacing w:before="20" w:after="20"/>
              <w:rPr>
                <w:rFonts w:cs="Arial"/>
                <w:sz w:val="22"/>
                <w:szCs w:val="22"/>
              </w:rPr>
            </w:pPr>
            <w:r w:rsidRPr="00976DF7">
              <w:rPr>
                <w:rFonts w:cs="Arial"/>
                <w:sz w:val="22"/>
                <w:szCs w:val="22"/>
              </w:rPr>
              <w:t>IČ:</w:t>
            </w:r>
          </w:p>
        </w:tc>
        <w:tc>
          <w:tcPr>
            <w:tcW w:w="6663" w:type="dxa"/>
          </w:tcPr>
          <w:p w14:paraId="387542D3" w14:textId="77777777" w:rsidR="000B1CA9" w:rsidRPr="00976DF7" w:rsidRDefault="000B1CA9" w:rsidP="00A41156">
            <w:pPr>
              <w:spacing w:before="20" w:after="20"/>
              <w:rPr>
                <w:rFonts w:cs="Arial"/>
                <w:bCs/>
                <w:sz w:val="22"/>
                <w:szCs w:val="22"/>
              </w:rPr>
            </w:pPr>
            <w:r w:rsidRPr="00940612">
              <w:rPr>
                <w:rFonts w:cs="Arial"/>
                <w:bCs/>
                <w:sz w:val="22"/>
                <w:szCs w:val="22"/>
              </w:rPr>
              <w:t>61384984</w:t>
            </w:r>
          </w:p>
        </w:tc>
      </w:tr>
      <w:tr w:rsidR="000B1CA9" w:rsidRPr="00976DF7" w14:paraId="7C00F374" w14:textId="77777777" w:rsidTr="00A41156">
        <w:tc>
          <w:tcPr>
            <w:tcW w:w="3260" w:type="dxa"/>
          </w:tcPr>
          <w:p w14:paraId="37D97DD6" w14:textId="77777777" w:rsidR="000B1CA9" w:rsidRPr="00976DF7" w:rsidRDefault="000B1CA9" w:rsidP="00A41156">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14:paraId="2DBD3A22" w14:textId="77777777" w:rsidR="000B1CA9" w:rsidRPr="00940612" w:rsidRDefault="000B1CA9" w:rsidP="00A41156">
            <w:pPr>
              <w:spacing w:before="20" w:after="20"/>
              <w:rPr>
                <w:rFonts w:cs="Arial"/>
                <w:bCs/>
                <w:sz w:val="22"/>
                <w:szCs w:val="22"/>
              </w:rPr>
            </w:pPr>
            <w:r w:rsidRPr="00940612">
              <w:rPr>
                <w:rFonts w:cs="Arial"/>
                <w:bCs/>
                <w:sz w:val="22"/>
                <w:szCs w:val="22"/>
              </w:rPr>
              <w:t xml:space="preserve">Komerční banka, a.s., </w:t>
            </w:r>
          </w:p>
          <w:p w14:paraId="4F6BF774" w14:textId="77777777" w:rsidR="000B1CA9" w:rsidRPr="00940612" w:rsidRDefault="000B1CA9" w:rsidP="00A41156">
            <w:pPr>
              <w:spacing w:before="20" w:after="20"/>
              <w:rPr>
                <w:rFonts w:cs="Arial"/>
                <w:bCs/>
                <w:sz w:val="22"/>
                <w:szCs w:val="22"/>
              </w:rPr>
            </w:pPr>
            <w:r>
              <w:rPr>
                <w:rFonts w:cs="Arial"/>
                <w:bCs/>
                <w:sz w:val="22"/>
                <w:szCs w:val="22"/>
              </w:rPr>
              <w:t>Č</w:t>
            </w:r>
            <w:r w:rsidRPr="00940612">
              <w:rPr>
                <w:rFonts w:cs="Arial"/>
                <w:bCs/>
                <w:sz w:val="22"/>
                <w:szCs w:val="22"/>
              </w:rPr>
              <w:t xml:space="preserve">. </w:t>
            </w:r>
            <w:proofErr w:type="spellStart"/>
            <w:r w:rsidRPr="00940612">
              <w:rPr>
                <w:rFonts w:cs="Arial"/>
                <w:bCs/>
                <w:sz w:val="22"/>
                <w:szCs w:val="22"/>
              </w:rPr>
              <w:t>ú.</w:t>
            </w:r>
            <w:proofErr w:type="spellEnd"/>
            <w:r w:rsidRPr="00940612">
              <w:rPr>
                <w:rFonts w:cs="Arial"/>
                <w:bCs/>
                <w:sz w:val="22"/>
                <w:szCs w:val="22"/>
              </w:rPr>
              <w:t>: 19-5373180297/0100</w:t>
            </w:r>
          </w:p>
        </w:tc>
      </w:tr>
      <w:tr w:rsidR="000B1CA9" w:rsidRPr="00976DF7" w14:paraId="3D074CD8" w14:textId="77777777" w:rsidTr="00A41156">
        <w:tc>
          <w:tcPr>
            <w:tcW w:w="3260" w:type="dxa"/>
          </w:tcPr>
          <w:p w14:paraId="4B88B2EF" w14:textId="77777777" w:rsidR="000B1CA9" w:rsidRPr="00976DF7" w:rsidRDefault="000B1CA9" w:rsidP="00A41156">
            <w:pPr>
              <w:spacing w:before="20" w:after="20"/>
              <w:rPr>
                <w:rFonts w:cs="Arial"/>
                <w:sz w:val="22"/>
                <w:szCs w:val="22"/>
              </w:rPr>
            </w:pPr>
            <w:r w:rsidRPr="00976DF7">
              <w:rPr>
                <w:rFonts w:cs="Arial"/>
                <w:sz w:val="22"/>
                <w:szCs w:val="22"/>
              </w:rPr>
              <w:t>Zastoupen</w:t>
            </w:r>
            <w:r>
              <w:rPr>
                <w:rFonts w:cs="Arial"/>
                <w:sz w:val="22"/>
                <w:szCs w:val="22"/>
              </w:rPr>
              <w:t>a</w:t>
            </w:r>
            <w:r w:rsidRPr="00976DF7">
              <w:rPr>
                <w:rFonts w:cs="Arial"/>
                <w:sz w:val="22"/>
                <w:szCs w:val="22"/>
              </w:rPr>
              <w:t>:</w:t>
            </w:r>
          </w:p>
        </w:tc>
        <w:tc>
          <w:tcPr>
            <w:tcW w:w="6663" w:type="dxa"/>
          </w:tcPr>
          <w:p w14:paraId="56455629" w14:textId="77777777" w:rsidR="000B1CA9" w:rsidRPr="00976DF7" w:rsidRDefault="000B1CA9" w:rsidP="00A41156">
            <w:pPr>
              <w:spacing w:before="20" w:after="20"/>
              <w:rPr>
                <w:rFonts w:cs="Arial"/>
                <w:bCs/>
                <w:sz w:val="22"/>
                <w:szCs w:val="22"/>
              </w:rPr>
            </w:pPr>
            <w:r w:rsidRPr="009C2D7F">
              <w:rPr>
                <w:rFonts w:cs="Arial"/>
                <w:bCs/>
                <w:sz w:val="22"/>
                <w:szCs w:val="22"/>
              </w:rPr>
              <w:t>Ing. Tomáš Langer, Ph.D., kvestor</w:t>
            </w:r>
          </w:p>
        </w:tc>
      </w:tr>
    </w:tbl>
    <w:p w14:paraId="5C1BCE2A" w14:textId="77777777" w:rsidR="000B1CA9" w:rsidRPr="00976DF7" w:rsidRDefault="000B1CA9" w:rsidP="000B1CA9">
      <w:pPr>
        <w:rPr>
          <w:rFonts w:cs="Arial"/>
          <w:iCs/>
          <w:sz w:val="22"/>
          <w:szCs w:val="22"/>
        </w:rPr>
      </w:pPr>
    </w:p>
    <w:p w14:paraId="31C0F6FA" w14:textId="77777777" w:rsidR="000B1CA9" w:rsidRPr="00976DF7" w:rsidRDefault="000B1CA9" w:rsidP="000B1CA9">
      <w:pPr>
        <w:ind w:firstLine="142"/>
        <w:rPr>
          <w:rFonts w:cs="Arial"/>
          <w:iCs/>
          <w:sz w:val="22"/>
          <w:szCs w:val="22"/>
        </w:rPr>
      </w:pPr>
      <w:r w:rsidRPr="00976DF7">
        <w:rPr>
          <w:rFonts w:cs="Arial"/>
          <w:iCs/>
          <w:sz w:val="22"/>
          <w:szCs w:val="22"/>
        </w:rPr>
        <w:t xml:space="preserve">dále jako „Objednatel“  </w:t>
      </w:r>
    </w:p>
    <w:p w14:paraId="52CFA6DE" w14:textId="77777777" w:rsidR="000B1CA9" w:rsidRPr="00976DF7" w:rsidRDefault="000B1CA9" w:rsidP="000B1CA9">
      <w:pPr>
        <w:ind w:firstLine="142"/>
        <w:rPr>
          <w:rFonts w:cs="Arial"/>
          <w:iCs/>
          <w:sz w:val="22"/>
          <w:szCs w:val="22"/>
        </w:rPr>
      </w:pPr>
    </w:p>
    <w:p w14:paraId="03416885" w14:textId="77777777" w:rsidR="000B1CA9" w:rsidRPr="00976DF7" w:rsidRDefault="000B1CA9" w:rsidP="000B1CA9">
      <w:pPr>
        <w:ind w:firstLine="142"/>
        <w:rPr>
          <w:rFonts w:cs="Arial"/>
          <w:iCs/>
          <w:sz w:val="22"/>
          <w:szCs w:val="22"/>
        </w:rPr>
      </w:pPr>
      <w:r w:rsidRPr="00976DF7">
        <w:rPr>
          <w:rFonts w:cs="Arial"/>
          <w:iCs/>
          <w:sz w:val="22"/>
          <w:szCs w:val="22"/>
        </w:rPr>
        <w:t>a</w:t>
      </w:r>
    </w:p>
    <w:p w14:paraId="7F536FEF" w14:textId="77777777" w:rsidR="000B1CA9" w:rsidRPr="00976DF7" w:rsidRDefault="000B1CA9" w:rsidP="000B1CA9">
      <w:pPr>
        <w:rPr>
          <w:rFonts w:cs="Arial"/>
          <w:iCs/>
          <w:sz w:val="22"/>
          <w:szCs w:val="22"/>
        </w:rPr>
      </w:pPr>
    </w:p>
    <w:tbl>
      <w:tblPr>
        <w:tblW w:w="9923" w:type="dxa"/>
        <w:tblLook w:val="01E0" w:firstRow="1" w:lastRow="1" w:firstColumn="1" w:lastColumn="1" w:noHBand="0" w:noVBand="0"/>
      </w:tblPr>
      <w:tblGrid>
        <w:gridCol w:w="3260"/>
        <w:gridCol w:w="6663"/>
      </w:tblGrid>
      <w:tr w:rsidR="000B1CA9" w:rsidRPr="00976DF7" w14:paraId="161ABD03" w14:textId="77777777" w:rsidTr="00A41156">
        <w:tc>
          <w:tcPr>
            <w:tcW w:w="3260" w:type="dxa"/>
            <w:vAlign w:val="center"/>
          </w:tcPr>
          <w:p w14:paraId="3EFA17D1" w14:textId="77777777" w:rsidR="000B1CA9" w:rsidRPr="00976DF7" w:rsidRDefault="000B1CA9" w:rsidP="00A41156">
            <w:pPr>
              <w:spacing w:before="20" w:after="20"/>
              <w:rPr>
                <w:rFonts w:cs="Arial"/>
                <w:sz w:val="22"/>
                <w:szCs w:val="22"/>
              </w:rPr>
            </w:pPr>
            <w:r w:rsidRPr="00976DF7">
              <w:rPr>
                <w:rFonts w:cs="Arial"/>
                <w:sz w:val="22"/>
                <w:szCs w:val="22"/>
              </w:rPr>
              <w:t>Název:</w:t>
            </w:r>
          </w:p>
        </w:tc>
        <w:tc>
          <w:tcPr>
            <w:tcW w:w="6663" w:type="dxa"/>
            <w:vAlign w:val="center"/>
          </w:tcPr>
          <w:p w14:paraId="1B707E60" w14:textId="77777777" w:rsidR="000B1CA9" w:rsidRPr="00976DF7" w:rsidRDefault="000B1CA9" w:rsidP="00A41156">
            <w:pPr>
              <w:spacing w:before="20" w:after="20"/>
              <w:rPr>
                <w:rFonts w:cs="Arial"/>
                <w:b/>
                <w:bCs/>
                <w:sz w:val="22"/>
                <w:szCs w:val="22"/>
              </w:rPr>
            </w:pPr>
            <w:r w:rsidRPr="00976DF7">
              <w:rPr>
                <w:rFonts w:cs="Arial"/>
                <w:b/>
                <w:bCs/>
                <w:sz w:val="22"/>
                <w:szCs w:val="22"/>
              </w:rPr>
              <w:t>ČESKÉ VYSOKÉ UČENÍ TECHNICKÉ V PRAZE</w:t>
            </w:r>
          </w:p>
          <w:p w14:paraId="45ACED5C" w14:textId="77777777" w:rsidR="000B1CA9" w:rsidRPr="00976DF7" w:rsidRDefault="000B1CA9" w:rsidP="00A41156">
            <w:pPr>
              <w:spacing w:before="20" w:after="20"/>
              <w:rPr>
                <w:rFonts w:cs="Arial"/>
                <w:b/>
                <w:bCs/>
                <w:sz w:val="22"/>
                <w:szCs w:val="22"/>
              </w:rPr>
            </w:pPr>
            <w:r w:rsidRPr="00976DF7">
              <w:rPr>
                <w:rFonts w:cs="Arial"/>
                <w:b/>
                <w:bCs/>
                <w:sz w:val="22"/>
                <w:szCs w:val="22"/>
              </w:rPr>
              <w:t>Výpočetní a informační centrum</w:t>
            </w:r>
          </w:p>
        </w:tc>
      </w:tr>
      <w:tr w:rsidR="000B1CA9" w:rsidRPr="00976DF7" w14:paraId="17FB62F0" w14:textId="77777777" w:rsidTr="00A41156">
        <w:tc>
          <w:tcPr>
            <w:tcW w:w="3260" w:type="dxa"/>
          </w:tcPr>
          <w:p w14:paraId="1AD1E6B9" w14:textId="77777777" w:rsidR="000B1CA9" w:rsidRPr="00976DF7" w:rsidRDefault="000B1CA9" w:rsidP="00A41156">
            <w:pPr>
              <w:spacing w:before="20" w:after="20"/>
              <w:rPr>
                <w:rFonts w:cs="Arial"/>
                <w:sz w:val="22"/>
                <w:szCs w:val="22"/>
              </w:rPr>
            </w:pPr>
            <w:r w:rsidRPr="00976DF7">
              <w:rPr>
                <w:rFonts w:cs="Arial"/>
                <w:sz w:val="22"/>
                <w:szCs w:val="22"/>
              </w:rPr>
              <w:t>Se sídlem:</w:t>
            </w:r>
          </w:p>
        </w:tc>
        <w:tc>
          <w:tcPr>
            <w:tcW w:w="6663" w:type="dxa"/>
          </w:tcPr>
          <w:p w14:paraId="018CF764" w14:textId="77777777" w:rsidR="000B1CA9" w:rsidRPr="00976DF7" w:rsidRDefault="000B1CA9" w:rsidP="00A41156">
            <w:pPr>
              <w:spacing w:before="20" w:after="20"/>
              <w:rPr>
                <w:rFonts w:cs="Arial"/>
                <w:bCs/>
                <w:sz w:val="22"/>
                <w:szCs w:val="22"/>
              </w:rPr>
            </w:pPr>
            <w:r w:rsidRPr="00976DF7">
              <w:rPr>
                <w:rFonts w:cs="Arial"/>
                <w:bCs/>
                <w:sz w:val="22"/>
                <w:szCs w:val="22"/>
              </w:rPr>
              <w:t>Jugoslávských partyzánů 1580/3, 160 00 Praha 6</w:t>
            </w:r>
          </w:p>
        </w:tc>
      </w:tr>
      <w:tr w:rsidR="000B1CA9" w:rsidRPr="00976DF7" w14:paraId="10BD987C" w14:textId="77777777" w:rsidTr="00A41156">
        <w:tc>
          <w:tcPr>
            <w:tcW w:w="3260" w:type="dxa"/>
          </w:tcPr>
          <w:p w14:paraId="220F6017" w14:textId="77777777" w:rsidR="000B1CA9" w:rsidRPr="00976DF7" w:rsidRDefault="000B1CA9" w:rsidP="00A41156">
            <w:pPr>
              <w:spacing w:before="20" w:after="20"/>
              <w:rPr>
                <w:rFonts w:cs="Arial"/>
                <w:sz w:val="22"/>
                <w:szCs w:val="22"/>
              </w:rPr>
            </w:pPr>
            <w:r w:rsidRPr="00976DF7">
              <w:rPr>
                <w:rFonts w:cs="Arial"/>
                <w:sz w:val="22"/>
                <w:szCs w:val="22"/>
              </w:rPr>
              <w:t>IČ:</w:t>
            </w:r>
          </w:p>
        </w:tc>
        <w:tc>
          <w:tcPr>
            <w:tcW w:w="6663" w:type="dxa"/>
          </w:tcPr>
          <w:p w14:paraId="42E61B99" w14:textId="77777777" w:rsidR="000B1CA9" w:rsidRPr="00976DF7" w:rsidRDefault="000B1CA9" w:rsidP="00A41156">
            <w:pPr>
              <w:spacing w:before="20" w:after="20"/>
              <w:rPr>
                <w:rFonts w:cs="Arial"/>
                <w:bCs/>
                <w:sz w:val="22"/>
                <w:szCs w:val="22"/>
              </w:rPr>
            </w:pPr>
            <w:r w:rsidRPr="00976DF7">
              <w:rPr>
                <w:rFonts w:cs="Arial"/>
                <w:bCs/>
                <w:sz w:val="22"/>
                <w:szCs w:val="22"/>
              </w:rPr>
              <w:t>68407700</w:t>
            </w:r>
          </w:p>
        </w:tc>
      </w:tr>
      <w:tr w:rsidR="000B1CA9" w:rsidRPr="00976DF7" w14:paraId="2E0EDB9F" w14:textId="77777777" w:rsidTr="00A41156">
        <w:tc>
          <w:tcPr>
            <w:tcW w:w="3260" w:type="dxa"/>
          </w:tcPr>
          <w:p w14:paraId="548F8B63" w14:textId="77777777" w:rsidR="000B1CA9" w:rsidRPr="00976DF7" w:rsidRDefault="000B1CA9" w:rsidP="00A41156">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14:paraId="21E3339A" w14:textId="77777777" w:rsidR="000B1CA9" w:rsidRDefault="000B1CA9" w:rsidP="00A41156">
            <w:pPr>
              <w:spacing w:before="20" w:after="20"/>
              <w:rPr>
                <w:rFonts w:cs="Arial"/>
                <w:bCs/>
                <w:sz w:val="22"/>
                <w:szCs w:val="22"/>
              </w:rPr>
            </w:pPr>
            <w:r w:rsidRPr="00940612">
              <w:rPr>
                <w:rFonts w:cs="Arial"/>
                <w:bCs/>
                <w:sz w:val="22"/>
                <w:szCs w:val="22"/>
              </w:rPr>
              <w:t xml:space="preserve">Komerční banka, a.s., </w:t>
            </w:r>
          </w:p>
          <w:p w14:paraId="243F5E3C" w14:textId="77777777" w:rsidR="000B1CA9" w:rsidRPr="00976DF7" w:rsidRDefault="000B1CA9" w:rsidP="00A41156">
            <w:pPr>
              <w:spacing w:before="20" w:after="20"/>
              <w:rPr>
                <w:rFonts w:cs="Arial"/>
                <w:bCs/>
                <w:sz w:val="22"/>
                <w:szCs w:val="22"/>
              </w:rPr>
            </w:pPr>
            <w:proofErr w:type="spellStart"/>
            <w:r>
              <w:rPr>
                <w:rFonts w:cs="Arial"/>
                <w:bCs/>
                <w:sz w:val="22"/>
                <w:szCs w:val="22"/>
              </w:rPr>
              <w:t>Č.ú</w:t>
            </w:r>
            <w:proofErr w:type="spellEnd"/>
            <w:r>
              <w:rPr>
                <w:rFonts w:cs="Arial"/>
                <w:bCs/>
                <w:sz w:val="22"/>
                <w:szCs w:val="22"/>
              </w:rPr>
              <w:t xml:space="preserve">. </w:t>
            </w:r>
            <w:r w:rsidRPr="00940612">
              <w:rPr>
                <w:rFonts w:cs="Arial"/>
                <w:bCs/>
                <w:sz w:val="22"/>
                <w:szCs w:val="22"/>
              </w:rPr>
              <w:t>19-5505450237/0100</w:t>
            </w:r>
          </w:p>
        </w:tc>
      </w:tr>
      <w:tr w:rsidR="000B1CA9" w:rsidRPr="00976DF7" w14:paraId="4AA24BBA" w14:textId="77777777" w:rsidTr="00A41156">
        <w:tc>
          <w:tcPr>
            <w:tcW w:w="3260" w:type="dxa"/>
          </w:tcPr>
          <w:p w14:paraId="0B0C229B" w14:textId="77777777" w:rsidR="000B1CA9" w:rsidRPr="00976DF7" w:rsidRDefault="000B1CA9" w:rsidP="00A41156">
            <w:pPr>
              <w:spacing w:before="20" w:after="20"/>
              <w:rPr>
                <w:rFonts w:cs="Arial"/>
                <w:sz w:val="22"/>
                <w:szCs w:val="22"/>
              </w:rPr>
            </w:pPr>
            <w:r w:rsidRPr="00976DF7">
              <w:rPr>
                <w:rFonts w:cs="Arial"/>
                <w:sz w:val="22"/>
                <w:szCs w:val="22"/>
              </w:rPr>
              <w:t>Zastoupen</w:t>
            </w:r>
            <w:r>
              <w:rPr>
                <w:rFonts w:cs="Arial"/>
                <w:sz w:val="22"/>
                <w:szCs w:val="22"/>
              </w:rPr>
              <w:t>a</w:t>
            </w:r>
            <w:r w:rsidRPr="00976DF7">
              <w:rPr>
                <w:rFonts w:cs="Arial"/>
                <w:sz w:val="22"/>
                <w:szCs w:val="22"/>
              </w:rPr>
              <w:t>:</w:t>
            </w:r>
          </w:p>
        </w:tc>
        <w:tc>
          <w:tcPr>
            <w:tcW w:w="6663" w:type="dxa"/>
          </w:tcPr>
          <w:p w14:paraId="6B983E7E" w14:textId="77777777" w:rsidR="000B1CA9" w:rsidRPr="00976DF7" w:rsidRDefault="000B1CA9" w:rsidP="00A41156">
            <w:pPr>
              <w:spacing w:before="20" w:after="20"/>
              <w:rPr>
                <w:rFonts w:cs="Arial"/>
                <w:bCs/>
                <w:sz w:val="22"/>
                <w:szCs w:val="22"/>
              </w:rPr>
            </w:pPr>
            <w:r w:rsidRPr="00976DF7">
              <w:rPr>
                <w:rFonts w:cs="Arial"/>
                <w:bCs/>
                <w:sz w:val="22"/>
                <w:szCs w:val="22"/>
              </w:rPr>
              <w:t>Ing. Marek Kalika, Ph.D., ředitel VIC ČVUT</w:t>
            </w:r>
          </w:p>
        </w:tc>
      </w:tr>
    </w:tbl>
    <w:p w14:paraId="4F400466" w14:textId="77777777" w:rsidR="000B1CA9" w:rsidRDefault="000B1CA9" w:rsidP="000B1CA9">
      <w:pPr>
        <w:rPr>
          <w:rFonts w:cs="Arial"/>
          <w:iCs/>
          <w:sz w:val="22"/>
          <w:szCs w:val="22"/>
        </w:rPr>
      </w:pPr>
    </w:p>
    <w:p w14:paraId="65F5911F" w14:textId="77777777" w:rsidR="000B1CA9" w:rsidRPr="00976DF7" w:rsidRDefault="000B1CA9" w:rsidP="000B1CA9">
      <w:pPr>
        <w:ind w:firstLine="708"/>
        <w:rPr>
          <w:rFonts w:cs="Arial"/>
          <w:iCs/>
          <w:sz w:val="22"/>
          <w:szCs w:val="22"/>
        </w:rPr>
      </w:pPr>
    </w:p>
    <w:p w14:paraId="18CD4AD3" w14:textId="77777777" w:rsidR="000B1CA9" w:rsidRDefault="000B1CA9" w:rsidP="000B1CA9">
      <w:r w:rsidRPr="00976DF7">
        <w:rPr>
          <w:rFonts w:cs="Arial"/>
          <w:iCs/>
          <w:sz w:val="22"/>
          <w:szCs w:val="22"/>
        </w:rPr>
        <w:t>dále jako „</w:t>
      </w:r>
      <w:r>
        <w:rPr>
          <w:rFonts w:cs="Arial"/>
          <w:iCs/>
          <w:sz w:val="22"/>
          <w:szCs w:val="22"/>
        </w:rPr>
        <w:t>Poskytovatel</w:t>
      </w:r>
      <w:r w:rsidRPr="00976DF7">
        <w:rPr>
          <w:rFonts w:cs="Arial"/>
          <w:iCs/>
          <w:sz w:val="22"/>
          <w:szCs w:val="22"/>
        </w:rPr>
        <w:t>“.</w:t>
      </w:r>
    </w:p>
    <w:p w14:paraId="16BC3E19" w14:textId="6694B12D" w:rsidR="000B1CA9" w:rsidRDefault="000B1CA9"/>
    <w:p w14:paraId="715DE93B" w14:textId="77777777" w:rsidR="005D67FC" w:rsidRDefault="005D67FC"/>
    <w:p w14:paraId="4EA6F676" w14:textId="77777777" w:rsidR="00442698" w:rsidRPr="005D67FC" w:rsidRDefault="00442698">
      <w:pPr>
        <w:rPr>
          <w:sz w:val="22"/>
          <w:szCs w:val="22"/>
        </w:rPr>
      </w:pPr>
      <w:r w:rsidRPr="005D67FC">
        <w:rPr>
          <w:sz w:val="22"/>
          <w:szCs w:val="22"/>
        </w:rPr>
        <w:t xml:space="preserve">uzavřely níže uvedeného dne, měsíce a roku tento dodatek č. 1 Smlouvy o poskytování servisních a konzultačních služeb uzavřené dne 30. 6. 2010 mezi Objednatelem a Poskytovatelem. </w:t>
      </w:r>
    </w:p>
    <w:p w14:paraId="7649DB3D" w14:textId="77777777" w:rsidR="00442698" w:rsidRPr="00442698" w:rsidRDefault="00442698">
      <w:pPr>
        <w:rPr>
          <w:sz w:val="22"/>
        </w:rPr>
      </w:pPr>
    </w:p>
    <w:p w14:paraId="0A6CB337" w14:textId="77777777" w:rsidR="00442698" w:rsidRPr="00442698" w:rsidRDefault="00442698" w:rsidP="00442698">
      <w:pPr>
        <w:spacing w:after="240"/>
        <w:jc w:val="center"/>
        <w:rPr>
          <w:b/>
          <w:sz w:val="22"/>
        </w:rPr>
      </w:pPr>
      <w:r w:rsidRPr="00442698">
        <w:rPr>
          <w:b/>
          <w:sz w:val="22"/>
        </w:rPr>
        <w:t>Čl. I Preambule</w:t>
      </w:r>
    </w:p>
    <w:p w14:paraId="072408CB" w14:textId="77777777" w:rsidR="00442698" w:rsidRPr="00442698" w:rsidRDefault="00442698" w:rsidP="00FA0B58">
      <w:pPr>
        <w:spacing w:after="120"/>
        <w:rPr>
          <w:sz w:val="22"/>
        </w:rPr>
      </w:pPr>
      <w:r w:rsidRPr="00442698">
        <w:rPr>
          <w:sz w:val="22"/>
        </w:rPr>
        <w:t>Vzhledem k tomu, že</w:t>
      </w:r>
    </w:p>
    <w:p w14:paraId="0C7215FC" w14:textId="77777777" w:rsidR="00442698" w:rsidRPr="00442698" w:rsidRDefault="00442698" w:rsidP="00FA0B58">
      <w:pPr>
        <w:pStyle w:val="Odstavecseseznamem"/>
        <w:numPr>
          <w:ilvl w:val="0"/>
          <w:numId w:val="15"/>
        </w:numPr>
        <w:spacing w:after="120"/>
        <w:contextualSpacing w:val="0"/>
        <w:rPr>
          <w:sz w:val="22"/>
        </w:rPr>
      </w:pPr>
      <w:r w:rsidRPr="00442698">
        <w:rPr>
          <w:sz w:val="22"/>
        </w:rPr>
        <w:t>Objednatel a Poskytovatel uzavřeli dne 30. 6. 2010 Smlouvu o poskytování servisních a konzultačních služeb (dále jen „Smlouva“), jejímž předmětem je závazek Poskytovatele poskytovat za úplatu a stanovených podmínek servisní a konzultační služby,</w:t>
      </w:r>
    </w:p>
    <w:p w14:paraId="0FC22DE8" w14:textId="77777777" w:rsidR="00442698" w:rsidRPr="00442698" w:rsidRDefault="00442698" w:rsidP="00FA0B58">
      <w:pPr>
        <w:pStyle w:val="Odstavecseseznamem"/>
        <w:numPr>
          <w:ilvl w:val="0"/>
          <w:numId w:val="15"/>
        </w:numPr>
        <w:spacing w:after="120"/>
        <w:contextualSpacing w:val="0"/>
        <w:rPr>
          <w:sz w:val="22"/>
        </w:rPr>
      </w:pPr>
      <w:r w:rsidRPr="00442698">
        <w:rPr>
          <w:sz w:val="22"/>
        </w:rPr>
        <w:t>Smluvní strany se dohodly na úpravě podmínek a údajů specifikovaných ve Smlouvě,</w:t>
      </w:r>
    </w:p>
    <w:p w14:paraId="2767CA17" w14:textId="77777777" w:rsidR="00442698" w:rsidRPr="00442698" w:rsidRDefault="00442698" w:rsidP="00FA0B58">
      <w:pPr>
        <w:pStyle w:val="Odstavecseseznamem"/>
        <w:numPr>
          <w:ilvl w:val="0"/>
          <w:numId w:val="15"/>
        </w:numPr>
        <w:spacing w:after="120"/>
        <w:contextualSpacing w:val="0"/>
        <w:rPr>
          <w:sz w:val="22"/>
        </w:rPr>
      </w:pPr>
      <w:r w:rsidRPr="00442698">
        <w:rPr>
          <w:sz w:val="22"/>
        </w:rPr>
        <w:t xml:space="preserve">Smluvní strany učinily ústní dohody, v jejichž intencích je tento Dodatek č. </w:t>
      </w:r>
      <w:r w:rsidR="00B80376">
        <w:rPr>
          <w:sz w:val="22"/>
        </w:rPr>
        <w:t>2</w:t>
      </w:r>
      <w:r w:rsidRPr="00442698">
        <w:rPr>
          <w:sz w:val="22"/>
        </w:rPr>
        <w:t>,</w:t>
      </w:r>
    </w:p>
    <w:p w14:paraId="53C09FA8" w14:textId="77777777" w:rsidR="00442698" w:rsidRPr="00442698" w:rsidRDefault="00442698" w:rsidP="00442698">
      <w:pPr>
        <w:rPr>
          <w:sz w:val="22"/>
        </w:rPr>
      </w:pPr>
    </w:p>
    <w:p w14:paraId="192028D0" w14:textId="77777777" w:rsidR="005D67FC" w:rsidRDefault="005D67FC" w:rsidP="00442698">
      <w:pPr>
        <w:rPr>
          <w:sz w:val="22"/>
        </w:rPr>
      </w:pPr>
    </w:p>
    <w:p w14:paraId="1FB9DEED" w14:textId="40B9207D" w:rsidR="00442698" w:rsidRPr="00442698" w:rsidRDefault="00442698" w:rsidP="00442698">
      <w:pPr>
        <w:rPr>
          <w:sz w:val="22"/>
        </w:rPr>
      </w:pPr>
      <w:r w:rsidRPr="00442698">
        <w:rPr>
          <w:sz w:val="22"/>
        </w:rPr>
        <w:t>dohodly se smluvní strany následovně:</w:t>
      </w:r>
    </w:p>
    <w:p w14:paraId="38A9FD58" w14:textId="77777777" w:rsidR="00442698" w:rsidRDefault="00442698"/>
    <w:p w14:paraId="6C68EB3D" w14:textId="7F7D7499" w:rsidR="006F170D" w:rsidRPr="00026404" w:rsidRDefault="00026404" w:rsidP="00181786">
      <w:pPr>
        <w:spacing w:after="160" w:line="259" w:lineRule="auto"/>
        <w:jc w:val="center"/>
        <w:rPr>
          <w:b/>
          <w:sz w:val="22"/>
        </w:rPr>
      </w:pPr>
      <w:r w:rsidRPr="00026404">
        <w:rPr>
          <w:b/>
          <w:sz w:val="22"/>
        </w:rPr>
        <w:t>Čl. II Předmět dodatku</w:t>
      </w:r>
    </w:p>
    <w:p w14:paraId="10156DF0" w14:textId="77777777" w:rsidR="00026404" w:rsidRPr="00B80376" w:rsidRDefault="00B80376" w:rsidP="421659AD">
      <w:pPr>
        <w:pStyle w:val="Odstavecseseznamem"/>
        <w:numPr>
          <w:ilvl w:val="0"/>
          <w:numId w:val="16"/>
        </w:numPr>
        <w:spacing w:after="120" w:line="259" w:lineRule="auto"/>
        <w:rPr>
          <w:sz w:val="22"/>
          <w:szCs w:val="22"/>
        </w:rPr>
      </w:pPr>
      <w:r w:rsidRPr="421659AD">
        <w:rPr>
          <w:sz w:val="22"/>
          <w:szCs w:val="22"/>
        </w:rPr>
        <w:t xml:space="preserve">Smlouva ve znění podle Dodatku č. 1 Smlouvy se mění v části Příloha </w:t>
      </w:r>
      <w:r w:rsidR="00DF48C1" w:rsidRPr="421659AD">
        <w:rPr>
          <w:sz w:val="22"/>
          <w:szCs w:val="22"/>
        </w:rPr>
        <w:t xml:space="preserve">č. </w:t>
      </w:r>
      <w:r w:rsidRPr="421659AD">
        <w:rPr>
          <w:sz w:val="22"/>
          <w:szCs w:val="22"/>
        </w:rPr>
        <w:t xml:space="preserve">1, Příloha </w:t>
      </w:r>
      <w:r w:rsidR="00DF48C1" w:rsidRPr="421659AD">
        <w:rPr>
          <w:sz w:val="22"/>
          <w:szCs w:val="22"/>
        </w:rPr>
        <w:t>č. </w:t>
      </w:r>
      <w:r w:rsidRPr="421659AD">
        <w:rPr>
          <w:sz w:val="22"/>
          <w:szCs w:val="22"/>
        </w:rPr>
        <w:t>2 a Příloha č. 3 a tyto jsou k tomuto Dodatku č. 2 přiloženy v kompletním znění.</w:t>
      </w:r>
    </w:p>
    <w:p w14:paraId="1C975860" w14:textId="048AF15E" w:rsidR="74DA7B1E" w:rsidRDefault="74DA7B1E" w:rsidP="421659AD">
      <w:pPr>
        <w:pStyle w:val="Odstavecseseznamem"/>
        <w:numPr>
          <w:ilvl w:val="0"/>
          <w:numId w:val="16"/>
        </w:numPr>
        <w:spacing w:after="120" w:line="259" w:lineRule="auto"/>
        <w:rPr>
          <w:sz w:val="22"/>
          <w:szCs w:val="22"/>
        </w:rPr>
      </w:pPr>
      <w:r w:rsidRPr="421659AD">
        <w:rPr>
          <w:sz w:val="22"/>
          <w:szCs w:val="22"/>
        </w:rPr>
        <w:t>Čl</w:t>
      </w:r>
      <w:r w:rsidR="4015E014" w:rsidRPr="421659AD">
        <w:rPr>
          <w:sz w:val="22"/>
          <w:szCs w:val="22"/>
        </w:rPr>
        <w:t>.</w:t>
      </w:r>
      <w:r w:rsidR="0C6B3C85" w:rsidRPr="421659AD">
        <w:rPr>
          <w:sz w:val="22"/>
          <w:szCs w:val="22"/>
        </w:rPr>
        <w:t xml:space="preserve"> 4 Smlouvy </w:t>
      </w:r>
      <w:r w:rsidR="09FA324A" w:rsidRPr="421659AD">
        <w:rPr>
          <w:sz w:val="22"/>
          <w:szCs w:val="22"/>
        </w:rPr>
        <w:t xml:space="preserve">je </w:t>
      </w:r>
      <w:r w:rsidR="71D147C0" w:rsidRPr="421659AD">
        <w:rPr>
          <w:sz w:val="22"/>
          <w:szCs w:val="22"/>
        </w:rPr>
        <w:t xml:space="preserve">rozšířen o </w:t>
      </w:r>
      <w:r w:rsidR="0C6B3C85" w:rsidRPr="421659AD">
        <w:rPr>
          <w:sz w:val="22"/>
          <w:szCs w:val="22"/>
        </w:rPr>
        <w:t>odst. 4.</w:t>
      </w:r>
      <w:r w:rsidR="7ABCDF60" w:rsidRPr="421659AD">
        <w:rPr>
          <w:sz w:val="22"/>
          <w:szCs w:val="22"/>
        </w:rPr>
        <w:t>9</w:t>
      </w:r>
      <w:r w:rsidR="0C6B3C85" w:rsidRPr="421659AD">
        <w:rPr>
          <w:sz w:val="22"/>
          <w:szCs w:val="22"/>
        </w:rPr>
        <w:t xml:space="preserve"> v následujícím znění: “Zvýšení cen o míru inflace podle bodu 4.</w:t>
      </w:r>
      <w:r w:rsidR="3493ED04" w:rsidRPr="421659AD">
        <w:rPr>
          <w:sz w:val="22"/>
          <w:szCs w:val="22"/>
        </w:rPr>
        <w:t>8</w:t>
      </w:r>
      <w:r w:rsidR="0C6B3C85" w:rsidRPr="421659AD">
        <w:rPr>
          <w:sz w:val="22"/>
          <w:szCs w:val="22"/>
        </w:rPr>
        <w:t xml:space="preserve"> smí činit maximálně 5 % bez ohledu na skutečnou zveřejněnou míru inflace, je-li tato vyšší.”</w:t>
      </w:r>
    </w:p>
    <w:p w14:paraId="21273D85" w14:textId="77777777" w:rsidR="00B80376" w:rsidRPr="00B80376" w:rsidRDefault="00B80376" w:rsidP="00EC4FD6">
      <w:pPr>
        <w:spacing w:before="360" w:after="240"/>
        <w:rPr>
          <w:b/>
          <w:sz w:val="22"/>
          <w:szCs w:val="22"/>
        </w:rPr>
      </w:pPr>
      <w:r w:rsidRPr="00B80376">
        <w:rPr>
          <w:b/>
          <w:sz w:val="22"/>
          <w:szCs w:val="22"/>
        </w:rPr>
        <w:t>Čl. III Závěrečná ujednání</w:t>
      </w:r>
    </w:p>
    <w:p w14:paraId="796FED08" w14:textId="3BA37808" w:rsidR="00B80376" w:rsidRDefault="00B80376" w:rsidP="421659AD">
      <w:pPr>
        <w:pStyle w:val="Odstavecseseznamem"/>
        <w:numPr>
          <w:ilvl w:val="0"/>
          <w:numId w:val="17"/>
        </w:numPr>
        <w:spacing w:after="120" w:line="259" w:lineRule="auto"/>
        <w:rPr>
          <w:sz w:val="22"/>
          <w:szCs w:val="22"/>
        </w:rPr>
      </w:pPr>
      <w:r w:rsidRPr="421659AD">
        <w:rPr>
          <w:sz w:val="22"/>
          <w:szCs w:val="22"/>
        </w:rPr>
        <w:t>Ostatní ustanovení Smlouvy, která nejsou tímto Dodatkem č. 2 dotčena, zůstávají nezměněn</w:t>
      </w:r>
      <w:r w:rsidR="4EC78B39" w:rsidRPr="421659AD">
        <w:rPr>
          <w:sz w:val="22"/>
          <w:szCs w:val="22"/>
        </w:rPr>
        <w:t>a</w:t>
      </w:r>
      <w:r w:rsidRPr="421659AD">
        <w:rPr>
          <w:sz w:val="22"/>
          <w:szCs w:val="22"/>
        </w:rPr>
        <w:t xml:space="preserve"> v platnosti.</w:t>
      </w:r>
    </w:p>
    <w:p w14:paraId="55E54451" w14:textId="77777777" w:rsidR="00B80376" w:rsidRDefault="00050BD4" w:rsidP="00EC4FD6">
      <w:pPr>
        <w:pStyle w:val="Odstavecseseznamem"/>
        <w:numPr>
          <w:ilvl w:val="0"/>
          <w:numId w:val="17"/>
        </w:numPr>
        <w:spacing w:after="120" w:line="259" w:lineRule="auto"/>
        <w:contextualSpacing w:val="0"/>
        <w:rPr>
          <w:sz w:val="22"/>
          <w:szCs w:val="22"/>
        </w:rPr>
      </w:pPr>
      <w:r>
        <w:rPr>
          <w:sz w:val="22"/>
          <w:szCs w:val="22"/>
        </w:rPr>
        <w:t>Smluvní strany berou na vědomí, že tento Dodatek č. 2 naplňuje požadavky uvedené v zákoně č. 340/2015 Sb., ve znění pozdějších předpisů, podléhá povinnosti uveřejnění v registru smluv dle uvedeného právního předpisu (dále jen „registr smluv“) a smluvní strany s uveřejněním v zákonném rozsahu souhlasí. V registru smluv nebudou uveřejněny informace, které nelze poskytnout v souladu s předpisy upravujícími svobodný přístup k informacím (zejm. zákon 106/1999 Sb.), stejně jako obchodní tajemství smluvních stran.</w:t>
      </w:r>
    </w:p>
    <w:p w14:paraId="577AAD5E" w14:textId="77777777" w:rsidR="00050BD4" w:rsidRDefault="002160C9" w:rsidP="00EC4FD6">
      <w:pPr>
        <w:pStyle w:val="Odstavecseseznamem"/>
        <w:numPr>
          <w:ilvl w:val="0"/>
          <w:numId w:val="17"/>
        </w:numPr>
        <w:spacing w:after="120" w:line="259" w:lineRule="auto"/>
        <w:contextualSpacing w:val="0"/>
        <w:rPr>
          <w:sz w:val="22"/>
          <w:szCs w:val="22"/>
        </w:rPr>
      </w:pPr>
      <w:r>
        <w:rPr>
          <w:sz w:val="22"/>
          <w:szCs w:val="22"/>
        </w:rPr>
        <w:t>Tento Dodatek č. 2 je uzavřen a nabývá platnosti dnem podpisu oběma smluvními stranami a účinnosti dnem uveřejnění v registru smluv.</w:t>
      </w:r>
    </w:p>
    <w:p w14:paraId="1859D61A" w14:textId="3030DCCB" w:rsidR="002160C9" w:rsidRDefault="002160C9" w:rsidP="00EC4FD6">
      <w:pPr>
        <w:pStyle w:val="Odstavecseseznamem"/>
        <w:numPr>
          <w:ilvl w:val="0"/>
          <w:numId w:val="17"/>
        </w:numPr>
        <w:spacing w:after="120" w:line="259" w:lineRule="auto"/>
        <w:contextualSpacing w:val="0"/>
        <w:rPr>
          <w:sz w:val="22"/>
          <w:szCs w:val="22"/>
        </w:rPr>
      </w:pPr>
      <w:r>
        <w:rPr>
          <w:sz w:val="22"/>
          <w:szCs w:val="22"/>
        </w:rPr>
        <w:t>Tento Dodatek č. 2 je vyhotoven ve dvou stejnopisech, z nichž Poskytovatel a</w:t>
      </w:r>
      <w:r w:rsidR="00EC4FD6">
        <w:rPr>
          <w:sz w:val="22"/>
          <w:szCs w:val="22"/>
        </w:rPr>
        <w:t> </w:t>
      </w:r>
      <w:r>
        <w:rPr>
          <w:sz w:val="22"/>
          <w:szCs w:val="22"/>
        </w:rPr>
        <w:t>Objednatel obdrží po jednom vyhotovení.</w:t>
      </w:r>
    </w:p>
    <w:p w14:paraId="49776CF3" w14:textId="77777777" w:rsidR="002160C9" w:rsidRDefault="002160C9" w:rsidP="00EC4FD6">
      <w:pPr>
        <w:pStyle w:val="Odstavecseseznamem"/>
        <w:numPr>
          <w:ilvl w:val="0"/>
          <w:numId w:val="17"/>
        </w:numPr>
        <w:spacing w:after="120" w:line="259" w:lineRule="auto"/>
        <w:contextualSpacing w:val="0"/>
        <w:rPr>
          <w:sz w:val="22"/>
          <w:szCs w:val="22"/>
        </w:rPr>
      </w:pPr>
      <w:r>
        <w:rPr>
          <w:sz w:val="22"/>
          <w:szCs w:val="22"/>
        </w:rPr>
        <w:t>Smluvní strany prohlašují, že tento Dodatek č. 2 odpovídá jejich svobodné a pravé vůli, že jej neuzavřely v tísni, ani za nápadně nevýhodných podmínek, že si jej po jeho sepsání řádně přečetly a na důkaz souhlasu s jeho obsahem připojují své podpisy.</w:t>
      </w:r>
    </w:p>
    <w:p w14:paraId="059B8763" w14:textId="77777777" w:rsidR="00493347" w:rsidRDefault="00493347" w:rsidP="00986238">
      <w:pPr>
        <w:spacing w:after="120" w:line="259" w:lineRule="auto"/>
        <w:jc w:val="left"/>
        <w:rPr>
          <w:sz w:val="22"/>
          <w:szCs w:val="22"/>
        </w:rPr>
      </w:pPr>
    </w:p>
    <w:p w14:paraId="3AA5A407" w14:textId="77777777" w:rsidR="002160C9" w:rsidRDefault="002160C9" w:rsidP="00986238">
      <w:pPr>
        <w:spacing w:after="120" w:line="259" w:lineRule="auto"/>
        <w:jc w:val="left"/>
        <w:rPr>
          <w:sz w:val="22"/>
          <w:szCs w:val="22"/>
        </w:rPr>
      </w:pPr>
      <w:r>
        <w:rPr>
          <w:sz w:val="22"/>
          <w:szCs w:val="22"/>
        </w:rPr>
        <w:t>Přílohy:</w:t>
      </w:r>
    </w:p>
    <w:p w14:paraId="7F9269D2" w14:textId="0A43D31C" w:rsidR="002160C9" w:rsidRDefault="002160C9" w:rsidP="00986238">
      <w:pPr>
        <w:pStyle w:val="Odstavecseseznamem"/>
        <w:numPr>
          <w:ilvl w:val="0"/>
          <w:numId w:val="18"/>
        </w:numPr>
        <w:spacing w:after="120" w:line="259" w:lineRule="auto"/>
        <w:contextualSpacing w:val="0"/>
        <w:jc w:val="left"/>
        <w:rPr>
          <w:sz w:val="22"/>
          <w:szCs w:val="22"/>
        </w:rPr>
      </w:pPr>
      <w:r>
        <w:rPr>
          <w:sz w:val="22"/>
          <w:szCs w:val="22"/>
        </w:rPr>
        <w:t>Příloha č. 1 Smlouvy</w:t>
      </w:r>
      <w:r w:rsidR="00D31612" w:rsidRPr="00D31612">
        <w:t xml:space="preserve"> </w:t>
      </w:r>
      <w:r w:rsidR="007F523E">
        <w:t>–</w:t>
      </w:r>
      <w:r w:rsidR="00D31612">
        <w:t xml:space="preserve"> </w:t>
      </w:r>
      <w:r w:rsidR="00D31612" w:rsidRPr="00D31612">
        <w:rPr>
          <w:sz w:val="22"/>
          <w:szCs w:val="22"/>
        </w:rPr>
        <w:t>Parametry</w:t>
      </w:r>
      <w:r w:rsidR="007F523E">
        <w:rPr>
          <w:sz w:val="22"/>
          <w:szCs w:val="22"/>
        </w:rPr>
        <w:t xml:space="preserve"> </w:t>
      </w:r>
      <w:r w:rsidR="00D31612" w:rsidRPr="00D31612">
        <w:rPr>
          <w:sz w:val="22"/>
          <w:szCs w:val="22"/>
        </w:rPr>
        <w:t>poskytovaných služeb</w:t>
      </w:r>
      <w:r w:rsidR="00D31612">
        <w:rPr>
          <w:sz w:val="22"/>
          <w:szCs w:val="22"/>
        </w:rPr>
        <w:t xml:space="preserve"> </w:t>
      </w:r>
      <w:r>
        <w:rPr>
          <w:sz w:val="22"/>
          <w:szCs w:val="22"/>
        </w:rPr>
        <w:t>(kompletní znění)</w:t>
      </w:r>
    </w:p>
    <w:p w14:paraId="2EF28FDB" w14:textId="02642626" w:rsidR="002160C9" w:rsidRPr="002160C9" w:rsidRDefault="002160C9" w:rsidP="00986238">
      <w:pPr>
        <w:pStyle w:val="Odstavecseseznamem"/>
        <w:numPr>
          <w:ilvl w:val="0"/>
          <w:numId w:val="18"/>
        </w:numPr>
        <w:spacing w:after="120" w:line="259" w:lineRule="auto"/>
        <w:contextualSpacing w:val="0"/>
        <w:jc w:val="left"/>
        <w:rPr>
          <w:sz w:val="22"/>
          <w:szCs w:val="22"/>
        </w:rPr>
      </w:pPr>
      <w:r>
        <w:rPr>
          <w:sz w:val="22"/>
          <w:szCs w:val="22"/>
        </w:rPr>
        <w:t xml:space="preserve">Příloha č. 2 Smlouvy </w:t>
      </w:r>
      <w:r w:rsidR="007F523E">
        <w:rPr>
          <w:sz w:val="22"/>
          <w:szCs w:val="22"/>
        </w:rPr>
        <w:t xml:space="preserve">– </w:t>
      </w:r>
      <w:r w:rsidR="007F523E" w:rsidRPr="007F523E">
        <w:rPr>
          <w:sz w:val="22"/>
          <w:szCs w:val="22"/>
        </w:rPr>
        <w:t>Cena</w:t>
      </w:r>
      <w:r w:rsidR="007F523E">
        <w:rPr>
          <w:sz w:val="22"/>
          <w:szCs w:val="22"/>
        </w:rPr>
        <w:t xml:space="preserve"> </w:t>
      </w:r>
      <w:r w:rsidR="007F523E" w:rsidRPr="007F523E">
        <w:rPr>
          <w:sz w:val="22"/>
          <w:szCs w:val="22"/>
        </w:rPr>
        <w:t xml:space="preserve">servisních a konzultačních služeb </w:t>
      </w:r>
      <w:r>
        <w:rPr>
          <w:sz w:val="22"/>
          <w:szCs w:val="22"/>
        </w:rPr>
        <w:t>(kompletní znění)</w:t>
      </w:r>
    </w:p>
    <w:p w14:paraId="2A85940F" w14:textId="1A0BFABC" w:rsidR="002160C9" w:rsidRPr="002160C9" w:rsidRDefault="002160C9" w:rsidP="00986238">
      <w:pPr>
        <w:pStyle w:val="Odstavecseseznamem"/>
        <w:numPr>
          <w:ilvl w:val="0"/>
          <w:numId w:val="18"/>
        </w:numPr>
        <w:spacing w:after="120" w:line="259" w:lineRule="auto"/>
        <w:contextualSpacing w:val="0"/>
        <w:jc w:val="left"/>
        <w:rPr>
          <w:sz w:val="22"/>
          <w:szCs w:val="22"/>
        </w:rPr>
      </w:pPr>
      <w:r>
        <w:rPr>
          <w:sz w:val="22"/>
          <w:szCs w:val="22"/>
        </w:rPr>
        <w:t xml:space="preserve">Příloha č. 3 Smlouvy </w:t>
      </w:r>
      <w:r w:rsidR="007F523E">
        <w:rPr>
          <w:sz w:val="22"/>
          <w:szCs w:val="22"/>
        </w:rPr>
        <w:t xml:space="preserve">– Kontaktní osoby pro jednání </w:t>
      </w:r>
      <w:r>
        <w:rPr>
          <w:sz w:val="22"/>
          <w:szCs w:val="22"/>
        </w:rPr>
        <w:t>(kompletní znění)</w:t>
      </w:r>
    </w:p>
    <w:p w14:paraId="618DD292" w14:textId="77777777" w:rsidR="00026404" w:rsidRDefault="00026404">
      <w:pPr>
        <w:spacing w:after="160" w:line="259" w:lineRule="auto"/>
        <w:jc w:val="left"/>
      </w:pPr>
    </w:p>
    <w:p w14:paraId="18D4240D" w14:textId="77777777" w:rsidR="00342D8E" w:rsidRPr="009B4316" w:rsidRDefault="00342D8E" w:rsidP="00342D8E">
      <w:pPr>
        <w:rPr>
          <w:rFonts w:cs="Arial"/>
        </w:rPr>
      </w:pPr>
    </w:p>
    <w:tbl>
      <w:tblPr>
        <w:tblW w:w="9781" w:type="dxa"/>
        <w:tblLook w:val="01E0" w:firstRow="1" w:lastRow="1" w:firstColumn="1" w:lastColumn="1" w:noHBand="0" w:noVBand="0"/>
      </w:tblPr>
      <w:tblGrid>
        <w:gridCol w:w="4820"/>
        <w:gridCol w:w="4961"/>
      </w:tblGrid>
      <w:tr w:rsidR="00342D8E" w:rsidRPr="009B4316" w14:paraId="25546E63" w14:textId="77777777" w:rsidTr="421659AD">
        <w:trPr>
          <w:trHeight w:val="382"/>
        </w:trPr>
        <w:tc>
          <w:tcPr>
            <w:tcW w:w="4820" w:type="dxa"/>
          </w:tcPr>
          <w:p w14:paraId="1D77C79D" w14:textId="2D85335A" w:rsidR="00342D8E" w:rsidRPr="009B4316" w:rsidRDefault="1B497F53" w:rsidP="00A41156">
            <w:pPr>
              <w:rPr>
                <w:rFonts w:cs="Arial"/>
              </w:rPr>
            </w:pPr>
            <w:r w:rsidRPr="421659AD">
              <w:rPr>
                <w:rFonts w:cs="Arial"/>
              </w:rPr>
              <w:t xml:space="preserve">V Praze dne </w:t>
            </w:r>
            <w:r w:rsidR="08F707A7" w:rsidRPr="421659AD">
              <w:rPr>
                <w:rFonts w:cs="Arial"/>
              </w:rPr>
              <w:t>1. 10. 2022</w:t>
            </w:r>
          </w:p>
          <w:p w14:paraId="1731910D" w14:textId="77777777" w:rsidR="00342D8E" w:rsidRPr="009B4316" w:rsidRDefault="00342D8E" w:rsidP="00A41156">
            <w:pPr>
              <w:rPr>
                <w:rFonts w:cs="Arial"/>
              </w:rPr>
            </w:pPr>
          </w:p>
        </w:tc>
        <w:tc>
          <w:tcPr>
            <w:tcW w:w="4961" w:type="dxa"/>
          </w:tcPr>
          <w:p w14:paraId="63967058" w14:textId="1DB48568" w:rsidR="00342D8E" w:rsidRPr="009B4316" w:rsidRDefault="1B497F53" w:rsidP="00A41156">
            <w:pPr>
              <w:rPr>
                <w:rFonts w:cs="Arial"/>
              </w:rPr>
            </w:pPr>
            <w:r w:rsidRPr="421659AD">
              <w:rPr>
                <w:rFonts w:cs="Arial"/>
              </w:rPr>
              <w:t xml:space="preserve">V Praze dne </w:t>
            </w:r>
            <w:r w:rsidR="75C01B2B" w:rsidRPr="421659AD">
              <w:rPr>
                <w:rFonts w:cs="Arial"/>
              </w:rPr>
              <w:t>1. 10. 2022</w:t>
            </w:r>
          </w:p>
          <w:p w14:paraId="1D60CAE5" w14:textId="77777777" w:rsidR="00342D8E" w:rsidRPr="009B4316" w:rsidRDefault="00342D8E" w:rsidP="00A41156">
            <w:pPr>
              <w:rPr>
                <w:rFonts w:cs="Arial"/>
              </w:rPr>
            </w:pPr>
          </w:p>
        </w:tc>
      </w:tr>
    </w:tbl>
    <w:p w14:paraId="331B9279" w14:textId="77777777" w:rsidR="00342D8E" w:rsidRPr="009B4316" w:rsidRDefault="00342D8E" w:rsidP="00342D8E">
      <w:pPr>
        <w:rPr>
          <w:rFonts w:cs="Arial"/>
        </w:rPr>
      </w:pPr>
    </w:p>
    <w:p w14:paraId="43CF02E0" w14:textId="77777777" w:rsidR="00342D8E" w:rsidRPr="009B4316" w:rsidRDefault="00342D8E" w:rsidP="00342D8E">
      <w:pPr>
        <w:rPr>
          <w:rFonts w:cs="Arial"/>
        </w:rPr>
      </w:pPr>
    </w:p>
    <w:tbl>
      <w:tblPr>
        <w:tblW w:w="0" w:type="auto"/>
        <w:tblLook w:val="01E0" w:firstRow="1" w:lastRow="1" w:firstColumn="1" w:lastColumn="1" w:noHBand="0" w:noVBand="0"/>
      </w:tblPr>
      <w:tblGrid>
        <w:gridCol w:w="4688"/>
        <w:gridCol w:w="4384"/>
      </w:tblGrid>
      <w:tr w:rsidR="00342D8E" w:rsidRPr="009B4316" w14:paraId="04B20EAD" w14:textId="77777777" w:rsidTr="00A41156">
        <w:tc>
          <w:tcPr>
            <w:tcW w:w="4781" w:type="dxa"/>
          </w:tcPr>
          <w:p w14:paraId="77AE19D2" w14:textId="77777777" w:rsidR="00342D8E" w:rsidRPr="009B4316" w:rsidRDefault="00342D8E" w:rsidP="00A41156">
            <w:pPr>
              <w:rPr>
                <w:rFonts w:cs="Arial"/>
              </w:rPr>
            </w:pPr>
            <w:r w:rsidRPr="009B4316">
              <w:rPr>
                <w:rFonts w:cs="Arial"/>
              </w:rPr>
              <w:t>_______________________</w:t>
            </w:r>
          </w:p>
        </w:tc>
        <w:tc>
          <w:tcPr>
            <w:tcW w:w="4466" w:type="dxa"/>
          </w:tcPr>
          <w:p w14:paraId="6D21944F" w14:textId="77777777" w:rsidR="00342D8E" w:rsidRPr="009B4316" w:rsidRDefault="00342D8E" w:rsidP="00A41156">
            <w:pPr>
              <w:rPr>
                <w:rFonts w:cs="Arial"/>
              </w:rPr>
            </w:pPr>
            <w:r w:rsidRPr="009B4316">
              <w:rPr>
                <w:rFonts w:cs="Arial"/>
              </w:rPr>
              <w:t>______________________</w:t>
            </w:r>
          </w:p>
          <w:p w14:paraId="3C4380D4" w14:textId="77777777" w:rsidR="00342D8E" w:rsidRPr="009B4316" w:rsidRDefault="00342D8E" w:rsidP="00A41156">
            <w:pPr>
              <w:rPr>
                <w:rFonts w:cs="Arial"/>
              </w:rPr>
            </w:pPr>
          </w:p>
        </w:tc>
      </w:tr>
      <w:tr w:rsidR="00342D8E" w:rsidRPr="009B4316" w14:paraId="027CE60A" w14:textId="77777777" w:rsidTr="00A41156">
        <w:tc>
          <w:tcPr>
            <w:tcW w:w="4781" w:type="dxa"/>
          </w:tcPr>
          <w:p w14:paraId="3DE9A52A" w14:textId="77777777" w:rsidR="00342D8E" w:rsidRPr="009B4316" w:rsidRDefault="00342D8E" w:rsidP="00A41156">
            <w:pPr>
              <w:rPr>
                <w:rFonts w:cs="Arial"/>
              </w:rPr>
            </w:pPr>
            <w:r w:rsidRPr="009B4316">
              <w:rPr>
                <w:rFonts w:cs="Arial"/>
              </w:rPr>
              <w:t xml:space="preserve">za Objednatele </w:t>
            </w:r>
          </w:p>
          <w:p w14:paraId="47721D71" w14:textId="77777777" w:rsidR="00342D8E" w:rsidRPr="009B4316" w:rsidRDefault="00342D8E" w:rsidP="00A41156">
            <w:pPr>
              <w:rPr>
                <w:rFonts w:cs="Arial"/>
              </w:rPr>
            </w:pPr>
          </w:p>
        </w:tc>
        <w:tc>
          <w:tcPr>
            <w:tcW w:w="4466" w:type="dxa"/>
          </w:tcPr>
          <w:p w14:paraId="7FE04214" w14:textId="77777777" w:rsidR="00342D8E" w:rsidRPr="009B4316" w:rsidRDefault="00342D8E" w:rsidP="00A41156">
            <w:pPr>
              <w:rPr>
                <w:rFonts w:cs="Arial"/>
              </w:rPr>
            </w:pPr>
            <w:r w:rsidRPr="009B4316">
              <w:rPr>
                <w:rFonts w:cs="Arial"/>
              </w:rPr>
              <w:t>za Poskytovatele</w:t>
            </w:r>
          </w:p>
          <w:p w14:paraId="5953E4C9" w14:textId="77777777" w:rsidR="00342D8E" w:rsidRPr="009B4316" w:rsidRDefault="00342D8E" w:rsidP="00A41156">
            <w:pPr>
              <w:rPr>
                <w:rFonts w:cs="Arial"/>
              </w:rPr>
            </w:pPr>
          </w:p>
        </w:tc>
      </w:tr>
    </w:tbl>
    <w:p w14:paraId="0C91BA25" w14:textId="27DBF191" w:rsidR="00342D8E" w:rsidRPr="009B4316" w:rsidRDefault="00342D8E" w:rsidP="00342D8E">
      <w:pPr>
        <w:rPr>
          <w:rFonts w:cs="Arial"/>
        </w:rPr>
      </w:pPr>
    </w:p>
    <w:p w14:paraId="483356D5" w14:textId="77777777" w:rsidR="009C3206" w:rsidRDefault="006F170D" w:rsidP="006F170D">
      <w:pPr>
        <w:jc w:val="left"/>
        <w:rPr>
          <w:rFonts w:ascii="Franklin Gothic Medium" w:hAnsi="Franklin Gothic Medium"/>
          <w:sz w:val="36"/>
          <w:szCs w:val="36"/>
        </w:rPr>
      </w:pPr>
      <w:r>
        <w:rPr>
          <w:rFonts w:ascii="Franklin Gothic Medium" w:hAnsi="Franklin Gothic Medium"/>
          <w:sz w:val="36"/>
          <w:szCs w:val="36"/>
        </w:rPr>
        <w:lastRenderedPageBreak/>
        <w:t>Příloha č. 1</w:t>
      </w:r>
      <w:r w:rsidR="00D31612">
        <w:rPr>
          <w:rFonts w:ascii="Franklin Gothic Medium" w:hAnsi="Franklin Gothic Medium"/>
          <w:sz w:val="36"/>
          <w:szCs w:val="36"/>
        </w:rPr>
        <w:t xml:space="preserve"> </w:t>
      </w:r>
    </w:p>
    <w:p w14:paraId="60267705" w14:textId="5A389830" w:rsidR="006F170D" w:rsidRPr="009C3206" w:rsidRDefault="00D31612" w:rsidP="009C3206">
      <w:pPr>
        <w:rPr>
          <w:b/>
        </w:rPr>
      </w:pPr>
      <w:r w:rsidRPr="009C3206">
        <w:rPr>
          <w:b/>
        </w:rPr>
        <w:t>Parametry poskytovaných služeb</w:t>
      </w:r>
    </w:p>
    <w:p w14:paraId="3EB0DA93" w14:textId="77777777" w:rsidR="006F170D" w:rsidRDefault="006F170D" w:rsidP="006F170D">
      <w:pPr>
        <w:jc w:val="left"/>
        <w:rPr>
          <w:rFonts w:ascii="Franklin Gothic Medium" w:hAnsi="Franklin Gothic Medium"/>
        </w:rPr>
      </w:pPr>
    </w:p>
    <w:p w14:paraId="21BE187D" w14:textId="77777777" w:rsidR="006F170D" w:rsidRPr="00D31612" w:rsidRDefault="006F170D" w:rsidP="006F170D">
      <w:pPr>
        <w:pStyle w:val="Nadpis1"/>
        <w:keepLines w:val="0"/>
        <w:numPr>
          <w:ilvl w:val="0"/>
          <w:numId w:val="7"/>
        </w:numPr>
        <w:spacing w:before="240" w:after="120" w:line="240" w:lineRule="auto"/>
        <w:jc w:val="left"/>
        <w:rPr>
          <w:rFonts w:cs="Arial"/>
          <w:sz w:val="28"/>
        </w:rPr>
      </w:pPr>
      <w:r w:rsidRPr="00D31612">
        <w:rPr>
          <w:rFonts w:cs="Arial"/>
          <w:sz w:val="28"/>
        </w:rPr>
        <w:t>Vysvětlení pojmů</w:t>
      </w:r>
    </w:p>
    <w:p w14:paraId="14BE3A25" w14:textId="77777777" w:rsidR="006F170D" w:rsidRDefault="006F170D" w:rsidP="006F170D">
      <w:pPr>
        <w:jc w:val="left"/>
        <w:rPr>
          <w:rFonts w:ascii="Franklin Gothic Medium" w:hAnsi="Franklin Gothic Medium"/>
        </w:rPr>
      </w:pPr>
    </w:p>
    <w:p w14:paraId="60C962E6" w14:textId="77777777" w:rsidR="006F170D" w:rsidRPr="00930EFE" w:rsidRDefault="006F170D" w:rsidP="006F170D">
      <w:pPr>
        <w:rPr>
          <w:sz w:val="22"/>
          <w:szCs w:val="22"/>
        </w:rPr>
      </w:pPr>
      <w:r w:rsidRPr="00930EFE">
        <w:rPr>
          <w:sz w:val="22"/>
          <w:szCs w:val="22"/>
        </w:rPr>
        <w:t>Společné pojmy</w:t>
      </w:r>
    </w:p>
    <w:p w14:paraId="28E3FA02" w14:textId="77777777" w:rsidR="006F170D" w:rsidRPr="00930EFE" w:rsidRDefault="006F170D" w:rsidP="006F170D">
      <w:pPr>
        <w:rPr>
          <w:sz w:val="22"/>
          <w:szCs w:val="22"/>
        </w:rPr>
      </w:pPr>
    </w:p>
    <w:p w14:paraId="4CFADA25" w14:textId="77777777" w:rsidR="006F170D" w:rsidRPr="00930EFE" w:rsidRDefault="006F170D" w:rsidP="006F170D">
      <w:pPr>
        <w:numPr>
          <w:ilvl w:val="0"/>
          <w:numId w:val="3"/>
        </w:numPr>
        <w:tabs>
          <w:tab w:val="clear" w:pos="360"/>
          <w:tab w:val="num" w:pos="540"/>
        </w:tabs>
        <w:ind w:left="540"/>
        <w:rPr>
          <w:sz w:val="22"/>
          <w:szCs w:val="22"/>
        </w:rPr>
      </w:pPr>
      <w:r w:rsidRPr="00930EFE">
        <w:rPr>
          <w:b/>
          <w:sz w:val="22"/>
          <w:szCs w:val="22"/>
        </w:rPr>
        <w:t>Dostupnost</w:t>
      </w:r>
      <w:r w:rsidRPr="00930EFE">
        <w:rPr>
          <w:sz w:val="22"/>
          <w:szCs w:val="22"/>
        </w:rPr>
        <w:t>: dostupností se rozumí časový interval, kdy je služba poskytována Objednateli. Mimo interval dostupnosti nelze aplikovat ani případné lhůty na reakci nebo na vyřešení, pokud se smluvní strany pro daný konkrétní případ nedohodnou jinak.</w:t>
      </w:r>
    </w:p>
    <w:p w14:paraId="4E8F98DA" w14:textId="77777777" w:rsidR="006F170D" w:rsidRPr="00930EFE" w:rsidRDefault="006F170D" w:rsidP="006F170D">
      <w:pPr>
        <w:ind w:left="540"/>
        <w:rPr>
          <w:sz w:val="22"/>
          <w:szCs w:val="22"/>
        </w:rPr>
      </w:pPr>
    </w:p>
    <w:p w14:paraId="75E7D41C" w14:textId="77777777" w:rsidR="006F170D" w:rsidRPr="00930EFE" w:rsidRDefault="006F170D" w:rsidP="006F170D">
      <w:pPr>
        <w:numPr>
          <w:ilvl w:val="0"/>
          <w:numId w:val="3"/>
        </w:numPr>
        <w:tabs>
          <w:tab w:val="clear" w:pos="360"/>
          <w:tab w:val="num" w:pos="540"/>
        </w:tabs>
        <w:ind w:left="540"/>
        <w:rPr>
          <w:sz w:val="22"/>
          <w:szCs w:val="22"/>
        </w:rPr>
      </w:pPr>
      <w:r w:rsidRPr="00930EFE">
        <w:rPr>
          <w:b/>
          <w:sz w:val="22"/>
          <w:szCs w:val="22"/>
        </w:rPr>
        <w:t>Čas na reakci (</w:t>
      </w:r>
      <w:proofErr w:type="spellStart"/>
      <w:r w:rsidRPr="00930EFE">
        <w:rPr>
          <w:b/>
          <w:sz w:val="22"/>
          <w:szCs w:val="22"/>
        </w:rPr>
        <w:t>Reaction</w:t>
      </w:r>
      <w:proofErr w:type="spellEnd"/>
      <w:r w:rsidRPr="00930EFE">
        <w:rPr>
          <w:b/>
          <w:sz w:val="22"/>
          <w:szCs w:val="22"/>
        </w:rPr>
        <w:t xml:space="preserve"> </w:t>
      </w:r>
      <w:proofErr w:type="spellStart"/>
      <w:r w:rsidRPr="00930EFE">
        <w:rPr>
          <w:b/>
          <w:sz w:val="22"/>
          <w:szCs w:val="22"/>
        </w:rPr>
        <w:t>Time</w:t>
      </w:r>
      <w:proofErr w:type="spellEnd"/>
      <w:r w:rsidRPr="00930EFE">
        <w:rPr>
          <w:b/>
          <w:sz w:val="22"/>
          <w:szCs w:val="22"/>
        </w:rPr>
        <w:t>):</w:t>
      </w:r>
      <w:r w:rsidRPr="00930EFE">
        <w:rPr>
          <w:sz w:val="22"/>
          <w:szCs w:val="22"/>
        </w:rPr>
        <w:t xml:space="preserve"> je definován jako interval mezi zadáním případu (incident, problém, požadavek) do Portálu podpory Objednatelem a zahájením poskytování služby Poskytovatelem. (Poznámka: v Portálu podpory identifikováno nastavením stavu In </w:t>
      </w:r>
      <w:proofErr w:type="spellStart"/>
      <w:r w:rsidRPr="00930EFE">
        <w:rPr>
          <w:sz w:val="22"/>
          <w:szCs w:val="22"/>
        </w:rPr>
        <w:t>Progress</w:t>
      </w:r>
      <w:proofErr w:type="spellEnd"/>
      <w:r w:rsidRPr="00930EFE">
        <w:rPr>
          <w:sz w:val="22"/>
          <w:szCs w:val="22"/>
        </w:rPr>
        <w:t>)</w:t>
      </w:r>
    </w:p>
    <w:p w14:paraId="59C12C1C" w14:textId="77777777" w:rsidR="006F170D" w:rsidRPr="00930EFE" w:rsidRDefault="006F170D" w:rsidP="006F170D">
      <w:pPr>
        <w:rPr>
          <w:sz w:val="22"/>
          <w:szCs w:val="22"/>
        </w:rPr>
      </w:pPr>
    </w:p>
    <w:p w14:paraId="62C6046A" w14:textId="77777777" w:rsidR="006F170D" w:rsidRPr="00930EFE" w:rsidRDefault="006F170D" w:rsidP="006F170D">
      <w:pPr>
        <w:rPr>
          <w:sz w:val="22"/>
          <w:szCs w:val="22"/>
        </w:rPr>
      </w:pPr>
      <w:bookmarkStart w:id="0" w:name="_Toc205189689"/>
      <w:bookmarkStart w:id="1" w:name="_Toc219545180"/>
      <w:bookmarkStart w:id="2" w:name="_Toc202767640"/>
      <w:bookmarkStart w:id="3" w:name="_Toc203807089"/>
      <w:r w:rsidRPr="00930EFE">
        <w:rPr>
          <w:sz w:val="22"/>
          <w:szCs w:val="22"/>
        </w:rPr>
        <w:t>Pojmy Incident Managementu</w:t>
      </w:r>
      <w:bookmarkEnd w:id="0"/>
      <w:bookmarkEnd w:id="1"/>
    </w:p>
    <w:p w14:paraId="61A432F8" w14:textId="77777777" w:rsidR="006F170D" w:rsidRPr="00930EFE" w:rsidRDefault="006F170D" w:rsidP="006F170D">
      <w:pPr>
        <w:rPr>
          <w:b/>
          <w:sz w:val="22"/>
          <w:szCs w:val="22"/>
        </w:rPr>
      </w:pPr>
    </w:p>
    <w:p w14:paraId="7344337A" w14:textId="77777777" w:rsidR="006F170D" w:rsidRPr="00930EFE" w:rsidRDefault="006F170D" w:rsidP="006F170D">
      <w:pPr>
        <w:numPr>
          <w:ilvl w:val="0"/>
          <w:numId w:val="3"/>
        </w:numPr>
        <w:tabs>
          <w:tab w:val="clear" w:pos="360"/>
          <w:tab w:val="num" w:pos="540"/>
        </w:tabs>
        <w:ind w:left="540"/>
        <w:rPr>
          <w:sz w:val="22"/>
          <w:szCs w:val="22"/>
        </w:rPr>
      </w:pPr>
      <w:r w:rsidRPr="00930EFE">
        <w:rPr>
          <w:b/>
          <w:sz w:val="22"/>
          <w:szCs w:val="22"/>
        </w:rPr>
        <w:t>Incident</w:t>
      </w:r>
      <w:r w:rsidRPr="00930EFE">
        <w:rPr>
          <w:sz w:val="22"/>
          <w:szCs w:val="22"/>
        </w:rPr>
        <w:t>: událost, která není součástí standardních operací služby (aplikace) a která způsobuje nebo může způsobit přerušení nebo snížení poskytovaných funkcionalit služby (aplikace).</w:t>
      </w:r>
    </w:p>
    <w:p w14:paraId="1A77B1EE" w14:textId="77777777" w:rsidR="006F170D" w:rsidRPr="00930EFE" w:rsidRDefault="006F170D" w:rsidP="006F170D">
      <w:pPr>
        <w:rPr>
          <w:sz w:val="22"/>
          <w:szCs w:val="22"/>
        </w:rPr>
      </w:pPr>
    </w:p>
    <w:p w14:paraId="7CF1AC6F" w14:textId="77777777" w:rsidR="006F170D" w:rsidRPr="00930EFE" w:rsidRDefault="006F170D" w:rsidP="006F170D">
      <w:pPr>
        <w:numPr>
          <w:ilvl w:val="0"/>
          <w:numId w:val="3"/>
        </w:numPr>
        <w:tabs>
          <w:tab w:val="clear" w:pos="360"/>
          <w:tab w:val="num" w:pos="540"/>
        </w:tabs>
        <w:ind w:left="540"/>
        <w:rPr>
          <w:sz w:val="22"/>
          <w:szCs w:val="22"/>
        </w:rPr>
      </w:pPr>
      <w:r w:rsidRPr="00930EFE">
        <w:rPr>
          <w:b/>
          <w:sz w:val="22"/>
          <w:szCs w:val="22"/>
        </w:rPr>
        <w:t>Dočasné vyřešení incidentu (</w:t>
      </w:r>
      <w:proofErr w:type="spellStart"/>
      <w:r w:rsidRPr="00930EFE">
        <w:rPr>
          <w:b/>
          <w:sz w:val="22"/>
          <w:szCs w:val="22"/>
        </w:rPr>
        <w:t>Workaround</w:t>
      </w:r>
      <w:proofErr w:type="spellEnd"/>
      <w:r w:rsidRPr="00930EFE">
        <w:rPr>
          <w:b/>
          <w:sz w:val="22"/>
          <w:szCs w:val="22"/>
        </w:rPr>
        <w:t>):</w:t>
      </w:r>
      <w:r w:rsidRPr="00930EFE">
        <w:rPr>
          <w:sz w:val="22"/>
          <w:szCs w:val="22"/>
        </w:rPr>
        <w:t xml:space="preserve"> dočasným vyřešením incidentu se rozumí takové odstranění incidentu nebo nalezení takového postupu, které odstraňuje technické komplikace spojené s užíváním aplikací a součástí řešení uvedených v dokumentu Specifikace poskytovaných služeb, ale s určitými technickými nebo organizačními dopady.</w:t>
      </w:r>
      <w:bookmarkEnd w:id="2"/>
      <w:bookmarkEnd w:id="3"/>
    </w:p>
    <w:p w14:paraId="5E710845" w14:textId="77777777" w:rsidR="006F170D" w:rsidRPr="00930EFE" w:rsidRDefault="006F170D" w:rsidP="006F170D">
      <w:pPr>
        <w:rPr>
          <w:sz w:val="22"/>
          <w:szCs w:val="22"/>
        </w:rPr>
      </w:pPr>
    </w:p>
    <w:p w14:paraId="31573947" w14:textId="4C671783" w:rsidR="006F170D" w:rsidRPr="00930EFE" w:rsidRDefault="006F170D" w:rsidP="006F170D">
      <w:pPr>
        <w:numPr>
          <w:ilvl w:val="0"/>
          <w:numId w:val="3"/>
        </w:numPr>
        <w:tabs>
          <w:tab w:val="clear" w:pos="360"/>
          <w:tab w:val="num" w:pos="540"/>
        </w:tabs>
        <w:ind w:left="540"/>
        <w:rPr>
          <w:sz w:val="22"/>
          <w:szCs w:val="22"/>
        </w:rPr>
      </w:pPr>
      <w:bookmarkStart w:id="4" w:name="_Toc202767641"/>
      <w:bookmarkStart w:id="5" w:name="_Toc203807090"/>
      <w:r w:rsidRPr="00930EFE">
        <w:rPr>
          <w:b/>
          <w:sz w:val="22"/>
          <w:szCs w:val="22"/>
        </w:rPr>
        <w:t>Vyřešení incidentu</w:t>
      </w:r>
      <w:r w:rsidRPr="00930EFE">
        <w:rPr>
          <w:sz w:val="22"/>
          <w:szCs w:val="22"/>
        </w:rPr>
        <w:t>: vyřešením se rozumí takové odstranění incidentu nebo nalezení takového postupu, které odstraňuje technické komplikace spojené s užíváním aplikací a</w:t>
      </w:r>
      <w:r w:rsidR="00346690">
        <w:rPr>
          <w:sz w:val="22"/>
          <w:szCs w:val="22"/>
        </w:rPr>
        <w:t> </w:t>
      </w:r>
      <w:r w:rsidRPr="00930EFE">
        <w:rPr>
          <w:sz w:val="22"/>
          <w:szCs w:val="22"/>
        </w:rPr>
        <w:t>součástí řešení uvedených v dokumentu Specifikace poskytovaných služeb. Za Vyřešení incidentu je rovněž považováno ukončení řešení incidentu na základě požadavku ze strany Objednatele.</w:t>
      </w:r>
      <w:bookmarkEnd w:id="4"/>
      <w:bookmarkEnd w:id="5"/>
    </w:p>
    <w:p w14:paraId="7A3D1615" w14:textId="77777777" w:rsidR="006F170D" w:rsidRDefault="006F170D" w:rsidP="006F170D"/>
    <w:p w14:paraId="148513CD" w14:textId="77777777" w:rsidR="006F170D" w:rsidRPr="004267A8" w:rsidRDefault="006F170D" w:rsidP="006F170D"/>
    <w:p w14:paraId="50554FCD" w14:textId="77777777" w:rsidR="006F170D" w:rsidRDefault="006F170D" w:rsidP="006F170D"/>
    <w:p w14:paraId="73E34B61" w14:textId="77777777" w:rsidR="006F170D" w:rsidRDefault="006F170D" w:rsidP="006F170D"/>
    <w:p w14:paraId="71CFB542" w14:textId="77777777" w:rsidR="006F170D" w:rsidRPr="00D31612" w:rsidRDefault="006F170D" w:rsidP="006F170D">
      <w:pPr>
        <w:pStyle w:val="Nadpis1"/>
        <w:keepLines w:val="0"/>
        <w:numPr>
          <w:ilvl w:val="0"/>
          <w:numId w:val="2"/>
        </w:numPr>
        <w:spacing w:before="240" w:after="120" w:line="240" w:lineRule="auto"/>
        <w:jc w:val="left"/>
        <w:rPr>
          <w:sz w:val="28"/>
        </w:rPr>
      </w:pPr>
      <w:r>
        <w:rPr>
          <w:b w:val="0"/>
        </w:rPr>
        <w:br w:type="page"/>
      </w:r>
      <w:r w:rsidRPr="00D31612">
        <w:rPr>
          <w:rFonts w:cs="Arial"/>
          <w:sz w:val="28"/>
        </w:rPr>
        <w:lastRenderedPageBreak/>
        <w:t>Parametry poskytovaných služeb</w:t>
      </w:r>
    </w:p>
    <w:p w14:paraId="486989E8" w14:textId="77777777" w:rsidR="006F170D" w:rsidRDefault="006F170D" w:rsidP="006F170D">
      <w:pPr>
        <w:rPr>
          <w:b/>
        </w:rPr>
      </w:pPr>
    </w:p>
    <w:p w14:paraId="13DC5689" w14:textId="58B2C6EA" w:rsidR="006F170D" w:rsidRPr="00930EFE" w:rsidRDefault="006F170D" w:rsidP="421659AD">
      <w:pPr>
        <w:numPr>
          <w:ilvl w:val="0"/>
          <w:numId w:val="4"/>
        </w:numPr>
        <w:rPr>
          <w:b/>
          <w:bCs/>
          <w:sz w:val="22"/>
          <w:szCs w:val="22"/>
        </w:rPr>
      </w:pPr>
      <w:r w:rsidRPr="421659AD">
        <w:rPr>
          <w:b/>
          <w:bCs/>
          <w:sz w:val="22"/>
          <w:szCs w:val="22"/>
        </w:rPr>
        <w:t>Služba zajištění připravenosti poskytovat podporu a konzultace pro studijní systém KOS</w:t>
      </w:r>
      <w:r w:rsidR="00BE3528" w:rsidRPr="421659AD">
        <w:rPr>
          <w:b/>
          <w:bCs/>
          <w:sz w:val="22"/>
          <w:szCs w:val="22"/>
        </w:rPr>
        <w:t xml:space="preserve">, </w:t>
      </w:r>
      <w:proofErr w:type="spellStart"/>
      <w:r w:rsidR="00BE3528" w:rsidRPr="421659AD">
        <w:rPr>
          <w:b/>
          <w:bCs/>
          <w:sz w:val="22"/>
          <w:szCs w:val="22"/>
        </w:rPr>
        <w:t>W</w:t>
      </w:r>
      <w:r w:rsidR="000A68E9" w:rsidRPr="421659AD">
        <w:rPr>
          <w:b/>
          <w:bCs/>
          <w:sz w:val="22"/>
          <w:szCs w:val="22"/>
        </w:rPr>
        <w:t>eb</w:t>
      </w:r>
      <w:r w:rsidR="00BE3528" w:rsidRPr="421659AD">
        <w:rPr>
          <w:b/>
          <w:bCs/>
          <w:sz w:val="22"/>
          <w:szCs w:val="22"/>
        </w:rPr>
        <w:t>KOSI</w:t>
      </w:r>
      <w:proofErr w:type="spellEnd"/>
      <w:r w:rsidR="00BE3528" w:rsidRPr="421659AD">
        <w:rPr>
          <w:b/>
          <w:bCs/>
          <w:sz w:val="22"/>
          <w:szCs w:val="22"/>
        </w:rPr>
        <w:t>,</w:t>
      </w:r>
      <w:r w:rsidR="00BE3528" w:rsidRPr="421659AD">
        <w:rPr>
          <w:rFonts w:cs="Arial"/>
          <w:b/>
          <w:bCs/>
          <w:sz w:val="22"/>
          <w:szCs w:val="22"/>
        </w:rPr>
        <w:t xml:space="preserve"> přihláška (prihlaska.amu.cz)</w:t>
      </w:r>
    </w:p>
    <w:p w14:paraId="06F083AA" w14:textId="77777777" w:rsidR="006F170D" w:rsidRPr="00930EFE" w:rsidRDefault="006F170D" w:rsidP="006F170D">
      <w:pPr>
        <w:rPr>
          <w:b/>
          <w:sz w:val="22"/>
          <w:szCs w:val="22"/>
        </w:rPr>
      </w:pPr>
    </w:p>
    <w:p w14:paraId="53F7C595" w14:textId="77777777" w:rsidR="006F170D" w:rsidRPr="00930EFE" w:rsidRDefault="006F170D" w:rsidP="006F170D">
      <w:pPr>
        <w:rPr>
          <w:b/>
          <w:sz w:val="22"/>
          <w:szCs w:val="22"/>
        </w:rPr>
      </w:pPr>
      <w:r w:rsidRPr="00930EFE">
        <w:rPr>
          <w:b/>
          <w:sz w:val="22"/>
          <w:szCs w:val="22"/>
        </w:rPr>
        <w:t>Služba obsahuje následující činnosti:</w:t>
      </w:r>
    </w:p>
    <w:p w14:paraId="6363C124" w14:textId="46F4D772" w:rsidR="006F170D" w:rsidRPr="00930EFE" w:rsidRDefault="006F170D" w:rsidP="006F170D">
      <w:pPr>
        <w:numPr>
          <w:ilvl w:val="0"/>
          <w:numId w:val="5"/>
        </w:numPr>
        <w:spacing w:before="240"/>
        <w:rPr>
          <w:sz w:val="22"/>
          <w:szCs w:val="22"/>
        </w:rPr>
      </w:pPr>
      <w:r w:rsidRPr="421659AD">
        <w:rPr>
          <w:sz w:val="22"/>
          <w:szCs w:val="22"/>
        </w:rPr>
        <w:t>Připravenost řešit incidenty Objednatele prostřednictvím portálu podpory support.trask.cz</w:t>
      </w:r>
      <w:r w:rsidR="0C42C89B" w:rsidRPr="421659AD">
        <w:rPr>
          <w:sz w:val="22"/>
          <w:szCs w:val="22"/>
        </w:rPr>
        <w:t>.</w:t>
      </w:r>
    </w:p>
    <w:p w14:paraId="04F55E05" w14:textId="77777777" w:rsidR="006F170D" w:rsidRPr="00930EFE" w:rsidRDefault="006F170D" w:rsidP="006F170D">
      <w:pPr>
        <w:numPr>
          <w:ilvl w:val="0"/>
          <w:numId w:val="5"/>
        </w:numPr>
        <w:rPr>
          <w:sz w:val="22"/>
          <w:szCs w:val="22"/>
        </w:rPr>
      </w:pPr>
      <w:r w:rsidRPr="00930EFE">
        <w:rPr>
          <w:sz w:val="22"/>
          <w:szCs w:val="22"/>
        </w:rPr>
        <w:t>Dokumentace a udržování znalostí prostředí a aplikace pro tým podpory.</w:t>
      </w:r>
    </w:p>
    <w:p w14:paraId="5424946C" w14:textId="77777777" w:rsidR="006F170D" w:rsidRPr="00930EFE" w:rsidRDefault="006F170D" w:rsidP="006F170D">
      <w:pPr>
        <w:numPr>
          <w:ilvl w:val="0"/>
          <w:numId w:val="5"/>
        </w:numPr>
        <w:rPr>
          <w:sz w:val="22"/>
          <w:szCs w:val="22"/>
        </w:rPr>
      </w:pPr>
      <w:r w:rsidRPr="00930EFE">
        <w:rPr>
          <w:sz w:val="22"/>
          <w:szCs w:val="22"/>
        </w:rPr>
        <w:t xml:space="preserve">Činnosti spojené s podporou projektu (kontrola a vedení </w:t>
      </w:r>
      <w:proofErr w:type="spellStart"/>
      <w:r w:rsidRPr="00930EFE">
        <w:rPr>
          <w:sz w:val="22"/>
          <w:szCs w:val="22"/>
        </w:rPr>
        <w:t>issue</w:t>
      </w:r>
      <w:proofErr w:type="spellEnd"/>
      <w:r w:rsidRPr="00930EFE">
        <w:rPr>
          <w:sz w:val="22"/>
          <w:szCs w:val="22"/>
        </w:rPr>
        <w:t xml:space="preserve">, </w:t>
      </w:r>
      <w:proofErr w:type="spellStart"/>
      <w:r w:rsidRPr="00930EFE">
        <w:rPr>
          <w:sz w:val="22"/>
          <w:szCs w:val="22"/>
        </w:rPr>
        <w:t>project</w:t>
      </w:r>
      <w:proofErr w:type="spellEnd"/>
      <w:r w:rsidRPr="00930EFE">
        <w:rPr>
          <w:sz w:val="22"/>
          <w:szCs w:val="22"/>
        </w:rPr>
        <w:t xml:space="preserve"> management, účast na schůzkách řídících výborů).</w:t>
      </w:r>
    </w:p>
    <w:p w14:paraId="1A5ECC54" w14:textId="77777777" w:rsidR="006F170D" w:rsidRPr="00930EFE" w:rsidRDefault="006F170D" w:rsidP="006F170D">
      <w:pPr>
        <w:rPr>
          <w:sz w:val="22"/>
          <w:szCs w:val="22"/>
        </w:rPr>
      </w:pPr>
    </w:p>
    <w:p w14:paraId="41D164DE" w14:textId="77777777" w:rsidR="006F170D" w:rsidRPr="00930EFE" w:rsidRDefault="006F170D" w:rsidP="006F170D">
      <w:pPr>
        <w:rPr>
          <w:b/>
          <w:sz w:val="22"/>
          <w:szCs w:val="22"/>
        </w:rPr>
      </w:pPr>
      <w:r w:rsidRPr="00930EFE">
        <w:rPr>
          <w:b/>
          <w:sz w:val="22"/>
          <w:szCs w:val="22"/>
        </w:rPr>
        <w:t>Parametry poskytování služby:</w:t>
      </w:r>
    </w:p>
    <w:p w14:paraId="191774E3" w14:textId="77777777" w:rsidR="006F170D" w:rsidRDefault="006F170D" w:rsidP="006F170D"/>
    <w:tbl>
      <w:tblPr>
        <w:tblW w:w="5000" w:type="pct"/>
        <w:tblCellMar>
          <w:left w:w="70" w:type="dxa"/>
          <w:right w:w="70" w:type="dxa"/>
        </w:tblCellMar>
        <w:tblLook w:val="04A0" w:firstRow="1" w:lastRow="0" w:firstColumn="1" w:lastColumn="0" w:noHBand="0" w:noVBand="1"/>
      </w:tblPr>
      <w:tblGrid>
        <w:gridCol w:w="3561"/>
        <w:gridCol w:w="1254"/>
        <w:gridCol w:w="2094"/>
        <w:gridCol w:w="2163"/>
      </w:tblGrid>
      <w:tr w:rsidR="006F170D" w:rsidRPr="006E7A25" w14:paraId="6AE31BBB" w14:textId="77777777" w:rsidTr="421659AD">
        <w:trPr>
          <w:trHeight w:val="300"/>
        </w:trPr>
        <w:tc>
          <w:tcPr>
            <w:tcW w:w="1963" w:type="pct"/>
            <w:tcBorders>
              <w:top w:val="single" w:sz="4" w:space="0" w:color="auto"/>
              <w:left w:val="nil"/>
              <w:bottom w:val="single" w:sz="4" w:space="0" w:color="auto"/>
              <w:right w:val="nil"/>
            </w:tcBorders>
            <w:shd w:val="clear" w:color="auto" w:fill="D8D8D8"/>
            <w:noWrap/>
            <w:vAlign w:val="bottom"/>
          </w:tcPr>
          <w:p w14:paraId="33EBF2F2" w14:textId="77777777" w:rsidR="006F170D" w:rsidRPr="006E7A25" w:rsidRDefault="006F170D" w:rsidP="00A41156">
            <w:pPr>
              <w:jc w:val="left"/>
              <w:rPr>
                <w:rFonts w:ascii="Calibri" w:hAnsi="Calibri" w:cs="Calibri"/>
                <w:b/>
                <w:bCs/>
                <w:color w:val="000000"/>
                <w:sz w:val="22"/>
                <w:szCs w:val="22"/>
              </w:rPr>
            </w:pPr>
            <w:r w:rsidRPr="006E7A25">
              <w:rPr>
                <w:rFonts w:ascii="Calibri" w:hAnsi="Calibri" w:cs="Calibri"/>
                <w:b/>
                <w:bCs/>
                <w:color w:val="000000"/>
                <w:sz w:val="22"/>
                <w:szCs w:val="22"/>
              </w:rPr>
              <w:t>Položka</w:t>
            </w:r>
          </w:p>
        </w:tc>
        <w:tc>
          <w:tcPr>
            <w:tcW w:w="691" w:type="pct"/>
            <w:tcBorders>
              <w:top w:val="single" w:sz="4" w:space="0" w:color="auto"/>
              <w:left w:val="nil"/>
              <w:bottom w:val="single" w:sz="4" w:space="0" w:color="auto"/>
              <w:right w:val="nil"/>
            </w:tcBorders>
            <w:shd w:val="clear" w:color="auto" w:fill="D8D8D8"/>
            <w:noWrap/>
            <w:vAlign w:val="bottom"/>
          </w:tcPr>
          <w:p w14:paraId="7DD3F684" w14:textId="77777777" w:rsidR="006F170D" w:rsidRPr="006E7A25" w:rsidRDefault="006F170D" w:rsidP="00A41156">
            <w:pPr>
              <w:jc w:val="left"/>
              <w:rPr>
                <w:rFonts w:ascii="Calibri" w:hAnsi="Calibri" w:cs="Calibri"/>
                <w:b/>
                <w:bCs/>
                <w:color w:val="000000"/>
                <w:sz w:val="22"/>
                <w:szCs w:val="22"/>
              </w:rPr>
            </w:pPr>
            <w:r w:rsidRPr="006E7A25">
              <w:rPr>
                <w:rFonts w:ascii="Calibri" w:hAnsi="Calibri" w:cs="Calibri"/>
                <w:b/>
                <w:bCs/>
                <w:color w:val="000000"/>
                <w:sz w:val="22"/>
                <w:szCs w:val="22"/>
              </w:rPr>
              <w:t>Dostupnost</w:t>
            </w:r>
          </w:p>
        </w:tc>
        <w:tc>
          <w:tcPr>
            <w:tcW w:w="1154" w:type="pct"/>
            <w:tcBorders>
              <w:top w:val="single" w:sz="4" w:space="0" w:color="auto"/>
              <w:left w:val="nil"/>
              <w:bottom w:val="single" w:sz="4" w:space="0" w:color="auto"/>
              <w:right w:val="nil"/>
            </w:tcBorders>
            <w:shd w:val="clear" w:color="auto" w:fill="D8D8D8"/>
            <w:noWrap/>
            <w:vAlign w:val="bottom"/>
          </w:tcPr>
          <w:p w14:paraId="47A52688" w14:textId="77777777" w:rsidR="006F170D" w:rsidRPr="006E7A25" w:rsidRDefault="006F170D" w:rsidP="00A41156">
            <w:pPr>
              <w:jc w:val="left"/>
              <w:rPr>
                <w:rFonts w:ascii="Calibri" w:hAnsi="Calibri" w:cs="Calibri"/>
                <w:b/>
                <w:bCs/>
                <w:color w:val="000000"/>
                <w:sz w:val="22"/>
                <w:szCs w:val="22"/>
              </w:rPr>
            </w:pPr>
            <w:r w:rsidRPr="006E7A25">
              <w:rPr>
                <w:rFonts w:ascii="Calibri" w:hAnsi="Calibri" w:cs="Calibri"/>
                <w:b/>
                <w:bCs/>
                <w:color w:val="000000"/>
                <w:sz w:val="22"/>
                <w:szCs w:val="22"/>
              </w:rPr>
              <w:t>Čas na reakci</w:t>
            </w:r>
          </w:p>
        </w:tc>
        <w:tc>
          <w:tcPr>
            <w:tcW w:w="1192" w:type="pct"/>
            <w:tcBorders>
              <w:top w:val="single" w:sz="4" w:space="0" w:color="auto"/>
              <w:left w:val="nil"/>
              <w:bottom w:val="single" w:sz="4" w:space="0" w:color="auto"/>
              <w:right w:val="nil"/>
            </w:tcBorders>
            <w:shd w:val="clear" w:color="auto" w:fill="D8D8D8"/>
          </w:tcPr>
          <w:p w14:paraId="25C3FD8F" w14:textId="77777777" w:rsidR="006F170D" w:rsidRPr="006E7A25" w:rsidRDefault="006F170D" w:rsidP="00A41156">
            <w:pPr>
              <w:jc w:val="left"/>
              <w:rPr>
                <w:rFonts w:ascii="Calibri" w:hAnsi="Calibri" w:cs="Calibri"/>
                <w:b/>
                <w:bCs/>
                <w:color w:val="000000"/>
                <w:sz w:val="22"/>
                <w:szCs w:val="22"/>
              </w:rPr>
            </w:pPr>
            <w:r>
              <w:rPr>
                <w:rFonts w:ascii="Calibri" w:hAnsi="Calibri" w:cs="Calibri"/>
                <w:b/>
                <w:bCs/>
                <w:color w:val="000000"/>
                <w:sz w:val="22"/>
                <w:szCs w:val="22"/>
              </w:rPr>
              <w:t>Čas na vyřešení</w:t>
            </w:r>
          </w:p>
        </w:tc>
      </w:tr>
      <w:tr w:rsidR="006F170D" w:rsidRPr="006E7A25" w14:paraId="27DD5795" w14:textId="77777777" w:rsidTr="421659AD">
        <w:trPr>
          <w:trHeight w:val="300"/>
        </w:trPr>
        <w:tc>
          <w:tcPr>
            <w:tcW w:w="1963" w:type="pct"/>
            <w:tcBorders>
              <w:top w:val="nil"/>
              <w:left w:val="nil"/>
              <w:bottom w:val="single" w:sz="4" w:space="0" w:color="auto"/>
              <w:right w:val="nil"/>
            </w:tcBorders>
            <w:shd w:val="clear" w:color="auto" w:fill="auto"/>
          </w:tcPr>
          <w:p w14:paraId="25ABCB66"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Dostupnost t</w:t>
            </w:r>
            <w:r w:rsidRPr="006E7A25">
              <w:rPr>
                <w:rFonts w:ascii="Calibri" w:hAnsi="Calibri" w:cs="Calibri"/>
                <w:color w:val="000000"/>
                <w:sz w:val="22"/>
                <w:szCs w:val="22"/>
              </w:rPr>
              <w:t>elefonick</w:t>
            </w:r>
            <w:r>
              <w:rPr>
                <w:rFonts w:ascii="Calibri" w:hAnsi="Calibri" w:cs="Calibri"/>
                <w:color w:val="000000"/>
                <w:sz w:val="22"/>
                <w:szCs w:val="22"/>
              </w:rPr>
              <w:t>é</w:t>
            </w:r>
            <w:r w:rsidRPr="006E7A25">
              <w:rPr>
                <w:rFonts w:ascii="Calibri" w:hAnsi="Calibri" w:cs="Calibri"/>
                <w:color w:val="000000"/>
                <w:sz w:val="22"/>
                <w:szCs w:val="22"/>
              </w:rPr>
              <w:t xml:space="preserve"> podpor</w:t>
            </w:r>
            <w:r>
              <w:rPr>
                <w:rFonts w:ascii="Calibri" w:hAnsi="Calibri" w:cs="Calibri"/>
                <w:color w:val="000000"/>
                <w:sz w:val="22"/>
                <w:szCs w:val="22"/>
              </w:rPr>
              <w:t>y aplikace</w:t>
            </w:r>
          </w:p>
        </w:tc>
        <w:tc>
          <w:tcPr>
            <w:tcW w:w="691" w:type="pct"/>
            <w:tcBorders>
              <w:top w:val="nil"/>
              <w:left w:val="nil"/>
              <w:bottom w:val="single" w:sz="4" w:space="0" w:color="auto"/>
              <w:right w:val="nil"/>
            </w:tcBorders>
            <w:shd w:val="clear" w:color="auto" w:fill="auto"/>
            <w:noWrap/>
            <w:vAlign w:val="bottom"/>
          </w:tcPr>
          <w:p w14:paraId="4AA6C246"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7A77D66F"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Okamžitě</w:t>
            </w:r>
          </w:p>
        </w:tc>
        <w:tc>
          <w:tcPr>
            <w:tcW w:w="1192" w:type="pct"/>
            <w:tcBorders>
              <w:top w:val="nil"/>
              <w:left w:val="nil"/>
              <w:bottom w:val="single" w:sz="4" w:space="0" w:color="auto"/>
              <w:right w:val="nil"/>
            </w:tcBorders>
          </w:tcPr>
          <w:p w14:paraId="626A6CD0" w14:textId="77777777" w:rsidR="006F170D" w:rsidRPr="006E7A25" w:rsidRDefault="006F170D" w:rsidP="00A41156">
            <w:pPr>
              <w:jc w:val="left"/>
              <w:rPr>
                <w:rFonts w:ascii="Calibri" w:hAnsi="Calibri" w:cs="Calibri"/>
                <w:color w:val="000000"/>
                <w:sz w:val="22"/>
                <w:szCs w:val="22"/>
              </w:rPr>
            </w:pPr>
          </w:p>
        </w:tc>
      </w:tr>
      <w:tr w:rsidR="006F170D" w:rsidRPr="006E7A25" w14:paraId="375F993A" w14:textId="77777777" w:rsidTr="421659AD">
        <w:trPr>
          <w:trHeight w:val="600"/>
        </w:trPr>
        <w:tc>
          <w:tcPr>
            <w:tcW w:w="1963" w:type="pct"/>
            <w:tcBorders>
              <w:top w:val="nil"/>
              <w:left w:val="nil"/>
              <w:bottom w:val="single" w:sz="4" w:space="0" w:color="auto"/>
              <w:right w:val="nil"/>
            </w:tcBorders>
            <w:shd w:val="clear" w:color="auto" w:fill="auto"/>
          </w:tcPr>
          <w:p w14:paraId="7175B7CF"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Připravenost řešit provozní problémy aplikace</w:t>
            </w:r>
            <w:r w:rsidRPr="006E7A25">
              <w:rPr>
                <w:rFonts w:ascii="Calibri" w:hAnsi="Calibri" w:cs="Calibri"/>
                <w:color w:val="000000"/>
                <w:sz w:val="22"/>
                <w:szCs w:val="22"/>
              </w:rPr>
              <w:br/>
              <w:t>Kritické problémy (</w:t>
            </w:r>
            <w:proofErr w:type="spellStart"/>
            <w:r w:rsidRPr="006E7A25">
              <w:rPr>
                <w:rFonts w:ascii="Calibri" w:hAnsi="Calibri" w:cs="Calibri"/>
                <w:color w:val="000000"/>
                <w:sz w:val="22"/>
                <w:szCs w:val="22"/>
              </w:rPr>
              <w:t>Blocker</w:t>
            </w:r>
            <w:proofErr w:type="spellEnd"/>
            <w:r w:rsidRPr="006E7A25">
              <w:rPr>
                <w:rFonts w:ascii="Calibri" w:hAnsi="Calibri" w:cs="Calibri"/>
                <w:color w:val="000000"/>
                <w:sz w:val="22"/>
                <w:szCs w:val="22"/>
              </w:rPr>
              <w:t xml:space="preserve">, </w:t>
            </w:r>
            <w:proofErr w:type="spellStart"/>
            <w:r w:rsidRPr="006E7A25">
              <w:rPr>
                <w:rFonts w:ascii="Calibri" w:hAnsi="Calibri" w:cs="Calibri"/>
                <w:color w:val="000000"/>
                <w:sz w:val="22"/>
                <w:szCs w:val="22"/>
              </w:rPr>
              <w:t>Critical</w:t>
            </w:r>
            <w:proofErr w:type="spellEnd"/>
            <w:r w:rsidRPr="006E7A25">
              <w:rPr>
                <w:rFonts w:ascii="Calibri" w:hAnsi="Calibri" w:cs="Calibri"/>
                <w:color w:val="000000"/>
                <w:sz w:val="22"/>
                <w:szCs w:val="22"/>
              </w:rPr>
              <w:t>)</w:t>
            </w:r>
          </w:p>
        </w:tc>
        <w:tc>
          <w:tcPr>
            <w:tcW w:w="691" w:type="pct"/>
            <w:tcBorders>
              <w:top w:val="nil"/>
              <w:left w:val="nil"/>
              <w:bottom w:val="single" w:sz="4" w:space="0" w:color="auto"/>
              <w:right w:val="nil"/>
            </w:tcBorders>
            <w:shd w:val="clear" w:color="auto" w:fill="auto"/>
            <w:noWrap/>
            <w:vAlign w:val="bottom"/>
          </w:tcPr>
          <w:p w14:paraId="4C196161"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04B9B6B6"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Do 2 pracovního dne</w:t>
            </w:r>
          </w:p>
        </w:tc>
        <w:tc>
          <w:tcPr>
            <w:tcW w:w="1192" w:type="pct"/>
            <w:tcBorders>
              <w:top w:val="nil"/>
              <w:left w:val="nil"/>
              <w:bottom w:val="single" w:sz="4" w:space="0" w:color="auto"/>
              <w:right w:val="nil"/>
            </w:tcBorders>
            <w:vAlign w:val="bottom"/>
          </w:tcPr>
          <w:p w14:paraId="63A309E1" w14:textId="77777777" w:rsidR="006F170D" w:rsidRDefault="006F170D" w:rsidP="00A41156">
            <w:pPr>
              <w:jc w:val="left"/>
              <w:rPr>
                <w:rFonts w:ascii="Calibri" w:hAnsi="Calibri" w:cs="Calibri"/>
                <w:color w:val="000000"/>
                <w:sz w:val="22"/>
                <w:szCs w:val="22"/>
              </w:rPr>
            </w:pPr>
            <w:r w:rsidRPr="00F11289">
              <w:rPr>
                <w:rFonts w:ascii="Calibri" w:hAnsi="Calibri" w:cs="Calibri"/>
                <w:color w:val="000000"/>
                <w:sz w:val="22"/>
                <w:szCs w:val="22"/>
              </w:rPr>
              <w:t xml:space="preserve">Do </w:t>
            </w:r>
            <w:r>
              <w:rPr>
                <w:rFonts w:ascii="Calibri" w:hAnsi="Calibri" w:cs="Calibri"/>
                <w:color w:val="000000"/>
                <w:sz w:val="22"/>
                <w:szCs w:val="22"/>
              </w:rPr>
              <w:t>2</w:t>
            </w:r>
            <w:r w:rsidRPr="00F11289">
              <w:rPr>
                <w:rFonts w:ascii="Calibri" w:hAnsi="Calibri" w:cs="Calibri"/>
                <w:color w:val="000000"/>
                <w:sz w:val="22"/>
                <w:szCs w:val="22"/>
              </w:rPr>
              <w:t xml:space="preserve"> pracovních dnů</w:t>
            </w:r>
            <w:r>
              <w:rPr>
                <w:rFonts w:ascii="Calibri" w:hAnsi="Calibri" w:cs="Calibri"/>
                <w:color w:val="000000"/>
                <w:sz w:val="22"/>
                <w:szCs w:val="22"/>
              </w:rPr>
              <w:t xml:space="preserve"> provizorní řešení</w:t>
            </w:r>
          </w:p>
          <w:p w14:paraId="00BEEB90"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Do 10 pracovních dnů úplné vyřešení</w:t>
            </w:r>
          </w:p>
        </w:tc>
      </w:tr>
      <w:tr w:rsidR="006F170D" w:rsidRPr="006E7A25" w14:paraId="4F0056F8" w14:textId="77777777" w:rsidTr="421659AD">
        <w:trPr>
          <w:trHeight w:val="600"/>
        </w:trPr>
        <w:tc>
          <w:tcPr>
            <w:tcW w:w="1963" w:type="pct"/>
            <w:tcBorders>
              <w:top w:val="nil"/>
              <w:left w:val="nil"/>
              <w:bottom w:val="single" w:sz="4" w:space="0" w:color="auto"/>
              <w:right w:val="nil"/>
            </w:tcBorders>
            <w:shd w:val="clear" w:color="auto" w:fill="auto"/>
          </w:tcPr>
          <w:p w14:paraId="69861C76"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Připravenost řešit p</w:t>
            </w:r>
            <w:r w:rsidRPr="006E7A25">
              <w:rPr>
                <w:rFonts w:ascii="Calibri" w:hAnsi="Calibri" w:cs="Calibri"/>
                <w:color w:val="000000"/>
                <w:sz w:val="22"/>
                <w:szCs w:val="22"/>
              </w:rPr>
              <w:t>rovozní problém</w:t>
            </w:r>
            <w:r>
              <w:rPr>
                <w:rFonts w:ascii="Calibri" w:hAnsi="Calibri" w:cs="Calibri"/>
                <w:color w:val="000000"/>
                <w:sz w:val="22"/>
                <w:szCs w:val="22"/>
              </w:rPr>
              <w:t xml:space="preserve">y aplikace </w:t>
            </w:r>
            <w:r w:rsidRPr="006E7A25">
              <w:rPr>
                <w:rFonts w:ascii="Calibri" w:hAnsi="Calibri" w:cs="Calibri"/>
                <w:color w:val="000000"/>
                <w:sz w:val="22"/>
                <w:szCs w:val="22"/>
              </w:rPr>
              <w:br/>
              <w:t>Nekritické problémy (Major)</w:t>
            </w:r>
          </w:p>
        </w:tc>
        <w:tc>
          <w:tcPr>
            <w:tcW w:w="691" w:type="pct"/>
            <w:tcBorders>
              <w:top w:val="nil"/>
              <w:left w:val="nil"/>
              <w:bottom w:val="single" w:sz="4" w:space="0" w:color="auto"/>
              <w:right w:val="nil"/>
            </w:tcBorders>
            <w:shd w:val="clear" w:color="auto" w:fill="auto"/>
            <w:noWrap/>
            <w:vAlign w:val="bottom"/>
          </w:tcPr>
          <w:p w14:paraId="58FED0BA"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429A650F"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Do 2 pracovních dnů</w:t>
            </w:r>
          </w:p>
        </w:tc>
        <w:tc>
          <w:tcPr>
            <w:tcW w:w="1192" w:type="pct"/>
            <w:tcBorders>
              <w:top w:val="nil"/>
              <w:left w:val="nil"/>
              <w:bottom w:val="single" w:sz="4" w:space="0" w:color="auto"/>
              <w:right w:val="nil"/>
            </w:tcBorders>
          </w:tcPr>
          <w:p w14:paraId="3823C319" w14:textId="77777777" w:rsidR="006F170D" w:rsidRPr="006E7A25" w:rsidRDefault="006F170D" w:rsidP="00A41156">
            <w:pPr>
              <w:jc w:val="left"/>
              <w:rPr>
                <w:rFonts w:ascii="Calibri" w:hAnsi="Calibri" w:cs="Calibri"/>
                <w:color w:val="000000"/>
                <w:sz w:val="22"/>
                <w:szCs w:val="22"/>
              </w:rPr>
            </w:pPr>
          </w:p>
        </w:tc>
      </w:tr>
      <w:tr w:rsidR="006F170D" w:rsidRPr="006E7A25" w14:paraId="2457DAA5" w14:textId="77777777" w:rsidTr="421659AD">
        <w:trPr>
          <w:trHeight w:val="600"/>
        </w:trPr>
        <w:tc>
          <w:tcPr>
            <w:tcW w:w="1963" w:type="pct"/>
            <w:tcBorders>
              <w:top w:val="nil"/>
              <w:left w:val="nil"/>
              <w:bottom w:val="single" w:sz="4" w:space="0" w:color="auto"/>
              <w:right w:val="nil"/>
            </w:tcBorders>
            <w:shd w:val="clear" w:color="auto" w:fill="auto"/>
          </w:tcPr>
          <w:p w14:paraId="5B154D78"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Připravenost řešit p</w:t>
            </w:r>
            <w:r w:rsidRPr="006E7A25">
              <w:rPr>
                <w:rFonts w:ascii="Calibri" w:hAnsi="Calibri" w:cs="Calibri"/>
                <w:color w:val="000000"/>
                <w:sz w:val="22"/>
                <w:szCs w:val="22"/>
              </w:rPr>
              <w:t>rovozní problém</w:t>
            </w:r>
            <w:r>
              <w:rPr>
                <w:rFonts w:ascii="Calibri" w:hAnsi="Calibri" w:cs="Calibri"/>
                <w:color w:val="000000"/>
                <w:sz w:val="22"/>
                <w:szCs w:val="22"/>
              </w:rPr>
              <w:t xml:space="preserve">y aplikace </w:t>
            </w:r>
            <w:r w:rsidRPr="006E7A25">
              <w:rPr>
                <w:rFonts w:ascii="Calibri" w:hAnsi="Calibri" w:cs="Calibri"/>
                <w:color w:val="000000"/>
                <w:sz w:val="22"/>
                <w:szCs w:val="22"/>
              </w:rPr>
              <w:br/>
              <w:t xml:space="preserve">Nekritické problémy (Minor, </w:t>
            </w:r>
            <w:proofErr w:type="spellStart"/>
            <w:r w:rsidRPr="006E7A25">
              <w:rPr>
                <w:rFonts w:ascii="Calibri" w:hAnsi="Calibri" w:cs="Calibri"/>
                <w:color w:val="000000"/>
                <w:sz w:val="22"/>
                <w:szCs w:val="22"/>
              </w:rPr>
              <w:t>Trivial</w:t>
            </w:r>
            <w:proofErr w:type="spellEnd"/>
            <w:r w:rsidRPr="006E7A25">
              <w:rPr>
                <w:rFonts w:ascii="Calibri" w:hAnsi="Calibri" w:cs="Calibri"/>
                <w:color w:val="000000"/>
                <w:sz w:val="22"/>
                <w:szCs w:val="22"/>
              </w:rPr>
              <w:t>)</w:t>
            </w:r>
          </w:p>
        </w:tc>
        <w:tc>
          <w:tcPr>
            <w:tcW w:w="691" w:type="pct"/>
            <w:tcBorders>
              <w:top w:val="nil"/>
              <w:left w:val="nil"/>
              <w:bottom w:val="single" w:sz="4" w:space="0" w:color="auto"/>
              <w:right w:val="nil"/>
            </w:tcBorders>
            <w:shd w:val="clear" w:color="auto" w:fill="auto"/>
            <w:noWrap/>
            <w:vAlign w:val="bottom"/>
          </w:tcPr>
          <w:p w14:paraId="5B49EB94"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3DDF77B0"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Do 5 pracovních dnů</w:t>
            </w:r>
          </w:p>
        </w:tc>
        <w:tc>
          <w:tcPr>
            <w:tcW w:w="1192" w:type="pct"/>
            <w:tcBorders>
              <w:top w:val="nil"/>
              <w:left w:val="nil"/>
              <w:bottom w:val="single" w:sz="4" w:space="0" w:color="auto"/>
              <w:right w:val="nil"/>
            </w:tcBorders>
          </w:tcPr>
          <w:p w14:paraId="40FF7C7F" w14:textId="77777777" w:rsidR="006F170D" w:rsidRPr="006E7A25" w:rsidRDefault="006F170D" w:rsidP="00A41156">
            <w:pPr>
              <w:jc w:val="left"/>
              <w:rPr>
                <w:rFonts w:ascii="Calibri" w:hAnsi="Calibri" w:cs="Calibri"/>
                <w:color w:val="000000"/>
                <w:sz w:val="22"/>
                <w:szCs w:val="22"/>
              </w:rPr>
            </w:pPr>
          </w:p>
        </w:tc>
      </w:tr>
      <w:tr w:rsidR="006F170D" w:rsidRPr="006E7A25" w14:paraId="58636F96" w14:textId="77777777" w:rsidTr="421659AD">
        <w:trPr>
          <w:trHeight w:val="300"/>
        </w:trPr>
        <w:tc>
          <w:tcPr>
            <w:tcW w:w="1963" w:type="pct"/>
            <w:tcBorders>
              <w:top w:val="nil"/>
              <w:left w:val="nil"/>
              <w:bottom w:val="single" w:sz="4" w:space="0" w:color="auto"/>
              <w:right w:val="nil"/>
            </w:tcBorders>
            <w:shd w:val="clear" w:color="auto" w:fill="auto"/>
          </w:tcPr>
          <w:p w14:paraId="596BC2DB" w14:textId="379B6C29" w:rsidR="006F170D" w:rsidRPr="006E7A25" w:rsidRDefault="006F170D" w:rsidP="00A41156">
            <w:pPr>
              <w:jc w:val="left"/>
              <w:rPr>
                <w:rFonts w:ascii="Calibri" w:hAnsi="Calibri" w:cs="Calibri"/>
                <w:color w:val="000000"/>
                <w:sz w:val="22"/>
                <w:szCs w:val="22"/>
              </w:rPr>
            </w:pPr>
            <w:r w:rsidRPr="421659AD">
              <w:rPr>
                <w:rFonts w:ascii="Calibri" w:hAnsi="Calibri" w:cs="Calibri"/>
                <w:color w:val="000000" w:themeColor="text1"/>
                <w:sz w:val="22"/>
                <w:szCs w:val="22"/>
              </w:rPr>
              <w:t>Připravenost poskytnutí konzultací pro studijní systém</w:t>
            </w:r>
          </w:p>
        </w:tc>
        <w:tc>
          <w:tcPr>
            <w:tcW w:w="691" w:type="pct"/>
            <w:tcBorders>
              <w:top w:val="nil"/>
              <w:left w:val="nil"/>
              <w:bottom w:val="single" w:sz="4" w:space="0" w:color="auto"/>
              <w:right w:val="nil"/>
            </w:tcBorders>
            <w:shd w:val="clear" w:color="auto" w:fill="auto"/>
            <w:noWrap/>
            <w:vAlign w:val="bottom"/>
          </w:tcPr>
          <w:p w14:paraId="161F4060"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47F55D2B"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Do 10 pracovních dnů</w:t>
            </w:r>
          </w:p>
        </w:tc>
        <w:tc>
          <w:tcPr>
            <w:tcW w:w="1192" w:type="pct"/>
            <w:tcBorders>
              <w:top w:val="nil"/>
              <w:left w:val="nil"/>
              <w:bottom w:val="single" w:sz="4" w:space="0" w:color="auto"/>
              <w:right w:val="nil"/>
            </w:tcBorders>
          </w:tcPr>
          <w:p w14:paraId="2B04209A" w14:textId="77777777" w:rsidR="006F170D" w:rsidRPr="006E7A25" w:rsidRDefault="006F170D" w:rsidP="00A41156">
            <w:pPr>
              <w:jc w:val="left"/>
              <w:rPr>
                <w:rFonts w:ascii="Calibri" w:hAnsi="Calibri" w:cs="Calibri"/>
                <w:color w:val="000000"/>
                <w:sz w:val="22"/>
                <w:szCs w:val="22"/>
              </w:rPr>
            </w:pPr>
          </w:p>
        </w:tc>
      </w:tr>
      <w:tr w:rsidR="006F170D" w:rsidRPr="006E7A25" w14:paraId="18D554BA" w14:textId="77777777" w:rsidTr="421659AD">
        <w:trPr>
          <w:trHeight w:val="300"/>
        </w:trPr>
        <w:tc>
          <w:tcPr>
            <w:tcW w:w="1963" w:type="pct"/>
            <w:tcBorders>
              <w:top w:val="nil"/>
              <w:left w:val="nil"/>
              <w:bottom w:val="single" w:sz="4" w:space="0" w:color="auto"/>
              <w:right w:val="nil"/>
            </w:tcBorders>
            <w:shd w:val="clear" w:color="auto" w:fill="auto"/>
          </w:tcPr>
          <w:p w14:paraId="79BCBDCE"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Konzultace v dalších oblastech</w:t>
            </w:r>
          </w:p>
        </w:tc>
        <w:tc>
          <w:tcPr>
            <w:tcW w:w="691" w:type="pct"/>
            <w:tcBorders>
              <w:top w:val="nil"/>
              <w:left w:val="nil"/>
              <w:bottom w:val="single" w:sz="4" w:space="0" w:color="auto"/>
              <w:right w:val="nil"/>
            </w:tcBorders>
            <w:shd w:val="clear" w:color="auto" w:fill="auto"/>
            <w:noWrap/>
            <w:vAlign w:val="bottom"/>
          </w:tcPr>
          <w:p w14:paraId="58CA92C0" w14:textId="77777777" w:rsidR="006F170D" w:rsidRPr="006E7A25" w:rsidRDefault="006F170D" w:rsidP="00A41156">
            <w:pPr>
              <w:jc w:val="left"/>
              <w:rPr>
                <w:rFonts w:ascii="Calibri" w:hAnsi="Calibri" w:cs="Calibri"/>
                <w:color w:val="000000"/>
                <w:sz w:val="22"/>
                <w:szCs w:val="22"/>
              </w:rPr>
            </w:pPr>
            <w:r>
              <w:rPr>
                <w:rFonts w:ascii="Calibri" w:hAnsi="Calibri" w:cs="Calibri"/>
                <w:color w:val="000000"/>
                <w:sz w:val="22"/>
                <w:szCs w:val="22"/>
              </w:rPr>
              <w:t>8:00 - 16:30</w:t>
            </w:r>
          </w:p>
        </w:tc>
        <w:tc>
          <w:tcPr>
            <w:tcW w:w="1154" w:type="pct"/>
            <w:tcBorders>
              <w:top w:val="nil"/>
              <w:left w:val="nil"/>
              <w:bottom w:val="single" w:sz="4" w:space="0" w:color="auto"/>
              <w:right w:val="nil"/>
            </w:tcBorders>
            <w:shd w:val="clear" w:color="auto" w:fill="auto"/>
            <w:noWrap/>
            <w:vAlign w:val="bottom"/>
          </w:tcPr>
          <w:p w14:paraId="6E6CC6F5" w14:textId="77777777" w:rsidR="006F170D" w:rsidRPr="006E7A25" w:rsidRDefault="006F170D" w:rsidP="00A41156">
            <w:pPr>
              <w:jc w:val="left"/>
              <w:rPr>
                <w:rFonts w:ascii="Calibri" w:hAnsi="Calibri" w:cs="Calibri"/>
                <w:color w:val="000000"/>
                <w:sz w:val="22"/>
                <w:szCs w:val="22"/>
              </w:rPr>
            </w:pPr>
            <w:r w:rsidRPr="006E7A25">
              <w:rPr>
                <w:rFonts w:ascii="Calibri" w:hAnsi="Calibri" w:cs="Calibri"/>
                <w:color w:val="000000"/>
                <w:sz w:val="22"/>
                <w:szCs w:val="22"/>
              </w:rPr>
              <w:t>Do 10 pracovních dnů</w:t>
            </w:r>
          </w:p>
        </w:tc>
        <w:tc>
          <w:tcPr>
            <w:tcW w:w="1192" w:type="pct"/>
            <w:tcBorders>
              <w:top w:val="nil"/>
              <w:left w:val="nil"/>
              <w:bottom w:val="single" w:sz="4" w:space="0" w:color="auto"/>
              <w:right w:val="nil"/>
            </w:tcBorders>
          </w:tcPr>
          <w:p w14:paraId="5E19A4D4" w14:textId="77777777" w:rsidR="006F170D" w:rsidRPr="006E7A25" w:rsidRDefault="006F170D" w:rsidP="00A41156">
            <w:pPr>
              <w:jc w:val="left"/>
              <w:rPr>
                <w:rFonts w:ascii="Calibri" w:hAnsi="Calibri" w:cs="Calibri"/>
                <w:color w:val="000000"/>
                <w:sz w:val="22"/>
                <w:szCs w:val="22"/>
              </w:rPr>
            </w:pPr>
          </w:p>
        </w:tc>
      </w:tr>
    </w:tbl>
    <w:p w14:paraId="4B2012C6" w14:textId="77777777" w:rsidR="006F170D" w:rsidRDefault="006F170D" w:rsidP="006F170D"/>
    <w:p w14:paraId="287D2068" w14:textId="77777777" w:rsidR="006F170D" w:rsidRPr="00930EFE" w:rsidRDefault="006F170D" w:rsidP="006F170D">
      <w:pPr>
        <w:rPr>
          <w:sz w:val="22"/>
        </w:rPr>
      </w:pPr>
      <w:r w:rsidRPr="00930EFE">
        <w:rPr>
          <w:sz w:val="22"/>
        </w:rPr>
        <w:t>Do času na vyřešení se nepočítá doba čekání na poskytnutí součinnosti potřebné k řešení ze strany Objednatele.</w:t>
      </w:r>
    </w:p>
    <w:p w14:paraId="6350ED87" w14:textId="77777777" w:rsidR="006F170D" w:rsidRPr="00930EFE" w:rsidRDefault="006F170D" w:rsidP="006F170D">
      <w:pPr>
        <w:rPr>
          <w:sz w:val="22"/>
        </w:rPr>
      </w:pPr>
    </w:p>
    <w:p w14:paraId="32B53347" w14:textId="77777777" w:rsidR="006F170D" w:rsidRPr="00930EFE" w:rsidRDefault="006F170D" w:rsidP="006F170D">
      <w:pPr>
        <w:rPr>
          <w:sz w:val="22"/>
        </w:rPr>
      </w:pPr>
      <w:r w:rsidRPr="00930EFE">
        <w:rPr>
          <w:sz w:val="22"/>
        </w:rPr>
        <w:t xml:space="preserve"> </w:t>
      </w:r>
    </w:p>
    <w:p w14:paraId="6C7CFF76" w14:textId="1C70CA6C" w:rsidR="006F170D" w:rsidRPr="00930EFE" w:rsidRDefault="006F170D" w:rsidP="421659AD">
      <w:pPr>
        <w:numPr>
          <w:ilvl w:val="0"/>
          <w:numId w:val="4"/>
        </w:numPr>
        <w:rPr>
          <w:b/>
          <w:bCs/>
          <w:sz w:val="22"/>
          <w:szCs w:val="22"/>
        </w:rPr>
      </w:pPr>
      <w:r w:rsidRPr="421659AD">
        <w:rPr>
          <w:b/>
          <w:bCs/>
          <w:sz w:val="22"/>
          <w:szCs w:val="22"/>
        </w:rPr>
        <w:t>Služba poskytování konzultací</w:t>
      </w:r>
      <w:r w:rsidR="00016EA4" w:rsidRPr="421659AD">
        <w:rPr>
          <w:b/>
          <w:bCs/>
          <w:sz w:val="22"/>
          <w:szCs w:val="22"/>
        </w:rPr>
        <w:t xml:space="preserve"> a </w:t>
      </w:r>
      <w:r w:rsidRPr="421659AD">
        <w:rPr>
          <w:b/>
          <w:bCs/>
          <w:sz w:val="22"/>
          <w:szCs w:val="22"/>
        </w:rPr>
        <w:t xml:space="preserve">podpory </w:t>
      </w:r>
      <w:r w:rsidR="1EE4208B" w:rsidRPr="421659AD">
        <w:rPr>
          <w:b/>
          <w:bCs/>
          <w:sz w:val="22"/>
          <w:szCs w:val="22"/>
        </w:rPr>
        <w:t xml:space="preserve">pro </w:t>
      </w:r>
      <w:r w:rsidRPr="421659AD">
        <w:rPr>
          <w:b/>
          <w:bCs/>
          <w:sz w:val="22"/>
          <w:szCs w:val="22"/>
        </w:rPr>
        <w:t>studijní systém KOS</w:t>
      </w:r>
      <w:r w:rsidR="00BE3528" w:rsidRPr="421659AD">
        <w:rPr>
          <w:b/>
          <w:bCs/>
          <w:sz w:val="22"/>
          <w:szCs w:val="22"/>
        </w:rPr>
        <w:t xml:space="preserve">, </w:t>
      </w:r>
      <w:proofErr w:type="spellStart"/>
      <w:r w:rsidR="00BE3528" w:rsidRPr="421659AD">
        <w:rPr>
          <w:b/>
          <w:bCs/>
          <w:sz w:val="22"/>
          <w:szCs w:val="22"/>
        </w:rPr>
        <w:t>W</w:t>
      </w:r>
      <w:r w:rsidR="00FA5291" w:rsidRPr="421659AD">
        <w:rPr>
          <w:b/>
          <w:bCs/>
          <w:sz w:val="22"/>
          <w:szCs w:val="22"/>
        </w:rPr>
        <w:t>ebKO</w:t>
      </w:r>
      <w:r w:rsidR="00BE3528" w:rsidRPr="421659AD">
        <w:rPr>
          <w:b/>
          <w:bCs/>
          <w:sz w:val="22"/>
          <w:szCs w:val="22"/>
        </w:rPr>
        <w:t>SI</w:t>
      </w:r>
      <w:proofErr w:type="spellEnd"/>
      <w:r w:rsidR="00BE3528" w:rsidRPr="421659AD">
        <w:rPr>
          <w:b/>
          <w:bCs/>
          <w:sz w:val="22"/>
          <w:szCs w:val="22"/>
        </w:rPr>
        <w:t>,</w:t>
      </w:r>
      <w:r w:rsidR="00BE3528" w:rsidRPr="421659AD">
        <w:rPr>
          <w:rFonts w:cs="Arial"/>
          <w:b/>
          <w:bCs/>
          <w:sz w:val="22"/>
          <w:szCs w:val="22"/>
        </w:rPr>
        <w:t xml:space="preserve"> přihláška (prihlaska.amu.cz)</w:t>
      </w:r>
    </w:p>
    <w:p w14:paraId="12613573" w14:textId="77777777" w:rsidR="006F170D" w:rsidRPr="00930EFE" w:rsidRDefault="006F170D" w:rsidP="006F170D">
      <w:pPr>
        <w:rPr>
          <w:b/>
          <w:sz w:val="22"/>
        </w:rPr>
      </w:pPr>
    </w:p>
    <w:p w14:paraId="364C3FB0" w14:textId="77777777" w:rsidR="006F170D" w:rsidRPr="00930EFE" w:rsidRDefault="006F170D" w:rsidP="006F170D">
      <w:pPr>
        <w:rPr>
          <w:b/>
          <w:sz w:val="22"/>
        </w:rPr>
      </w:pPr>
      <w:r w:rsidRPr="00930EFE">
        <w:rPr>
          <w:b/>
          <w:sz w:val="22"/>
        </w:rPr>
        <w:t>Služba obsahuje následující činnosti:</w:t>
      </w:r>
    </w:p>
    <w:p w14:paraId="396EA263" w14:textId="1BFEE760" w:rsidR="006F170D" w:rsidRPr="00930EFE" w:rsidRDefault="006F170D" w:rsidP="421659AD">
      <w:pPr>
        <w:numPr>
          <w:ilvl w:val="0"/>
          <w:numId w:val="6"/>
        </w:numPr>
        <w:spacing w:before="240"/>
        <w:jc w:val="left"/>
        <w:rPr>
          <w:sz w:val="22"/>
          <w:szCs w:val="22"/>
        </w:rPr>
      </w:pPr>
      <w:r w:rsidRPr="421659AD">
        <w:rPr>
          <w:sz w:val="22"/>
          <w:szCs w:val="22"/>
        </w:rPr>
        <w:t>Konzultace k aplikaci</w:t>
      </w:r>
    </w:p>
    <w:p w14:paraId="64587EA3" w14:textId="77777777" w:rsidR="006F170D" w:rsidRPr="00930EFE" w:rsidRDefault="006F170D" w:rsidP="006F170D">
      <w:pPr>
        <w:numPr>
          <w:ilvl w:val="0"/>
          <w:numId w:val="6"/>
        </w:numPr>
        <w:jc w:val="left"/>
        <w:rPr>
          <w:sz w:val="22"/>
        </w:rPr>
      </w:pPr>
      <w:r w:rsidRPr="421659AD">
        <w:rPr>
          <w:sz w:val="22"/>
          <w:szCs w:val="22"/>
        </w:rPr>
        <w:t>Podpora aplikace</w:t>
      </w:r>
    </w:p>
    <w:p w14:paraId="31FF28C7" w14:textId="77777777" w:rsidR="006F170D" w:rsidRPr="00930EFE" w:rsidRDefault="006F170D" w:rsidP="006F170D">
      <w:pPr>
        <w:jc w:val="left"/>
        <w:rPr>
          <w:sz w:val="22"/>
        </w:rPr>
      </w:pPr>
    </w:p>
    <w:p w14:paraId="24CC33E9" w14:textId="456FA17D" w:rsidR="006F170D" w:rsidRPr="00930EFE" w:rsidRDefault="006F170D" w:rsidP="421659AD">
      <w:pPr>
        <w:rPr>
          <w:sz w:val="22"/>
          <w:szCs w:val="22"/>
        </w:rPr>
      </w:pPr>
      <w:r w:rsidRPr="421659AD">
        <w:rPr>
          <w:sz w:val="22"/>
          <w:szCs w:val="22"/>
        </w:rPr>
        <w:t>Služby konzultací</w:t>
      </w:r>
      <w:r w:rsidR="221E884A" w:rsidRPr="421659AD">
        <w:rPr>
          <w:sz w:val="22"/>
          <w:szCs w:val="22"/>
        </w:rPr>
        <w:t xml:space="preserve"> </w:t>
      </w:r>
      <w:r w:rsidRPr="421659AD">
        <w:rPr>
          <w:sz w:val="22"/>
          <w:szCs w:val="22"/>
        </w:rPr>
        <w:t xml:space="preserve">a podpory k aplikaci budou poskytovány na základě samostatných objednávek Objednatele v sazbách garantovaných touto smlouvou pro kategorii Senior </w:t>
      </w:r>
      <w:proofErr w:type="spellStart"/>
      <w:r w:rsidR="4EA8F90F" w:rsidRPr="421659AD">
        <w:rPr>
          <w:sz w:val="22"/>
          <w:szCs w:val="22"/>
        </w:rPr>
        <w:t>Consultant</w:t>
      </w:r>
      <w:proofErr w:type="spellEnd"/>
      <w:r w:rsidRPr="421659AD">
        <w:rPr>
          <w:sz w:val="22"/>
          <w:szCs w:val="22"/>
        </w:rPr>
        <w:t>.</w:t>
      </w:r>
    </w:p>
    <w:p w14:paraId="48F02E69" w14:textId="77777777" w:rsidR="006F170D" w:rsidRPr="00930EFE" w:rsidRDefault="006F170D" w:rsidP="006F170D">
      <w:pPr>
        <w:jc w:val="left"/>
        <w:rPr>
          <w:rFonts w:cs="Arial"/>
          <w:sz w:val="14"/>
          <w:szCs w:val="16"/>
        </w:rPr>
      </w:pPr>
    </w:p>
    <w:p w14:paraId="413157E6" w14:textId="77777777" w:rsidR="006F170D" w:rsidRPr="00930EFE" w:rsidRDefault="006F170D" w:rsidP="006F170D">
      <w:pPr>
        <w:rPr>
          <w:sz w:val="22"/>
        </w:rPr>
      </w:pPr>
      <w:r w:rsidRPr="00930EFE">
        <w:rPr>
          <w:sz w:val="22"/>
        </w:rPr>
        <w:t>Služby objednává vždy Objednatel.</w:t>
      </w:r>
    </w:p>
    <w:p w14:paraId="1D05DFA9" w14:textId="44D6E0BF" w:rsidR="006F170D" w:rsidRDefault="006F170D" w:rsidP="006F170D">
      <w:pPr>
        <w:rPr>
          <w:b/>
          <w:sz w:val="22"/>
        </w:rPr>
      </w:pPr>
    </w:p>
    <w:p w14:paraId="260F7AFB" w14:textId="5407BE4B" w:rsidR="00F628D9" w:rsidRDefault="00F628D9" w:rsidP="421659AD">
      <w:pPr>
        <w:spacing w:after="160" w:line="259" w:lineRule="auto"/>
        <w:rPr>
          <w:b/>
          <w:bCs/>
          <w:sz w:val="22"/>
          <w:szCs w:val="22"/>
        </w:rPr>
      </w:pPr>
    </w:p>
    <w:p w14:paraId="3AEDA8E1" w14:textId="155D3AB2" w:rsidR="00F628D9" w:rsidRPr="00C27FA8" w:rsidRDefault="00F628D9" w:rsidP="00F628D9">
      <w:bookmarkStart w:id="6" w:name="_GoBack"/>
      <w:bookmarkEnd w:id="6"/>
      <w:r w:rsidRPr="009B2880">
        <w:rPr>
          <w:rFonts w:ascii="Franklin Gothic Medium" w:hAnsi="Franklin Gothic Medium"/>
          <w:sz w:val="36"/>
          <w:szCs w:val="36"/>
        </w:rPr>
        <w:t>Příloha č. 2</w:t>
      </w:r>
    </w:p>
    <w:p w14:paraId="4A749455" w14:textId="77777777" w:rsidR="00F628D9" w:rsidRDefault="00F628D9" w:rsidP="00F628D9">
      <w:pPr>
        <w:jc w:val="left"/>
        <w:rPr>
          <w:rFonts w:ascii="Franklin Gothic Medium" w:hAnsi="Franklin Gothic Medium"/>
        </w:rPr>
      </w:pPr>
      <w:r>
        <w:rPr>
          <w:rFonts w:ascii="Franklin Gothic Medium" w:hAnsi="Franklin Gothic Medium"/>
        </w:rPr>
        <w:t>Cena servisních a konzultačních služeb</w:t>
      </w:r>
    </w:p>
    <w:p w14:paraId="756B5D7D" w14:textId="77777777" w:rsidR="00F628D9" w:rsidRDefault="00F628D9" w:rsidP="00F628D9">
      <w:pPr>
        <w:jc w:val="left"/>
        <w:rPr>
          <w:rFonts w:ascii="Franklin Gothic Medium" w:hAnsi="Franklin Gothic Medium"/>
        </w:rPr>
      </w:pPr>
    </w:p>
    <w:p w14:paraId="32EE71BB" w14:textId="77777777" w:rsidR="00F628D9" w:rsidRDefault="00F628D9" w:rsidP="00F628D9">
      <w:pPr>
        <w:jc w:val="left"/>
        <w:rPr>
          <w:rFonts w:ascii="Franklin Gothic Medium" w:hAnsi="Franklin Gothic Medium"/>
        </w:rPr>
      </w:pPr>
    </w:p>
    <w:p w14:paraId="008DED60" w14:textId="77777777" w:rsidR="00F628D9" w:rsidRDefault="00F628D9" w:rsidP="00F628D9">
      <w:pPr>
        <w:rPr>
          <w:rFonts w:cs="Arial"/>
          <w:sz w:val="18"/>
        </w:rPr>
      </w:pPr>
    </w:p>
    <w:tbl>
      <w:tblPr>
        <w:tblW w:w="5000" w:type="pct"/>
        <w:tblCellMar>
          <w:left w:w="70" w:type="dxa"/>
          <w:right w:w="70" w:type="dxa"/>
        </w:tblCellMar>
        <w:tblLook w:val="04A0" w:firstRow="1" w:lastRow="0" w:firstColumn="1" w:lastColumn="0" w:noHBand="0" w:noVBand="1"/>
      </w:tblPr>
      <w:tblGrid>
        <w:gridCol w:w="6570"/>
        <w:gridCol w:w="2502"/>
      </w:tblGrid>
      <w:tr w:rsidR="00F628D9" w:rsidRPr="00930EFE" w14:paraId="4382188E" w14:textId="77777777" w:rsidTr="00A41156">
        <w:trPr>
          <w:trHeight w:val="300"/>
        </w:trPr>
        <w:tc>
          <w:tcPr>
            <w:tcW w:w="3621" w:type="pct"/>
            <w:tcBorders>
              <w:top w:val="single" w:sz="4" w:space="0" w:color="auto"/>
              <w:left w:val="nil"/>
              <w:bottom w:val="single" w:sz="4" w:space="0" w:color="auto"/>
              <w:right w:val="nil"/>
            </w:tcBorders>
            <w:shd w:val="clear" w:color="000000" w:fill="D8D8D8"/>
            <w:noWrap/>
            <w:vAlign w:val="bottom"/>
          </w:tcPr>
          <w:p w14:paraId="5FD83891" w14:textId="77777777" w:rsidR="00F628D9" w:rsidRPr="00930EFE" w:rsidRDefault="00F628D9" w:rsidP="00A41156">
            <w:pPr>
              <w:jc w:val="left"/>
              <w:rPr>
                <w:rFonts w:cs="Arial"/>
                <w:b/>
                <w:bCs/>
                <w:color w:val="000000"/>
                <w:sz w:val="22"/>
                <w:szCs w:val="22"/>
              </w:rPr>
            </w:pPr>
            <w:r w:rsidRPr="00930EFE">
              <w:rPr>
                <w:rFonts w:cs="Arial"/>
                <w:b/>
                <w:bCs/>
                <w:color w:val="000000"/>
                <w:sz w:val="22"/>
                <w:szCs w:val="22"/>
              </w:rPr>
              <w:t>Služba</w:t>
            </w:r>
          </w:p>
        </w:tc>
        <w:tc>
          <w:tcPr>
            <w:tcW w:w="1379" w:type="pct"/>
            <w:tcBorders>
              <w:top w:val="single" w:sz="4" w:space="0" w:color="auto"/>
              <w:left w:val="nil"/>
              <w:bottom w:val="single" w:sz="4" w:space="0" w:color="auto"/>
              <w:right w:val="nil"/>
            </w:tcBorders>
            <w:shd w:val="clear" w:color="000000" w:fill="D8D8D8"/>
            <w:vAlign w:val="bottom"/>
          </w:tcPr>
          <w:p w14:paraId="04FEF177" w14:textId="77777777" w:rsidR="00F628D9" w:rsidRPr="00930EFE" w:rsidRDefault="00F628D9" w:rsidP="00A41156">
            <w:pPr>
              <w:jc w:val="right"/>
              <w:rPr>
                <w:rFonts w:cs="Arial"/>
                <w:b/>
                <w:bCs/>
                <w:color w:val="000000"/>
                <w:sz w:val="22"/>
                <w:szCs w:val="22"/>
              </w:rPr>
            </w:pPr>
            <w:r w:rsidRPr="00930EFE">
              <w:rPr>
                <w:rFonts w:cs="Arial"/>
                <w:b/>
                <w:bCs/>
                <w:color w:val="000000"/>
                <w:sz w:val="22"/>
                <w:szCs w:val="22"/>
              </w:rPr>
              <w:t>Částka bez DPH</w:t>
            </w:r>
          </w:p>
        </w:tc>
      </w:tr>
      <w:tr w:rsidR="00F628D9" w:rsidRPr="00930EFE" w14:paraId="262FF7EB" w14:textId="77777777" w:rsidTr="00A41156">
        <w:trPr>
          <w:trHeight w:val="300"/>
        </w:trPr>
        <w:tc>
          <w:tcPr>
            <w:tcW w:w="3621" w:type="pct"/>
            <w:tcBorders>
              <w:top w:val="single" w:sz="4" w:space="0" w:color="auto"/>
              <w:left w:val="nil"/>
              <w:bottom w:val="single" w:sz="4" w:space="0" w:color="auto"/>
              <w:right w:val="nil"/>
            </w:tcBorders>
            <w:shd w:val="clear" w:color="auto" w:fill="auto"/>
            <w:vAlign w:val="bottom"/>
          </w:tcPr>
          <w:p w14:paraId="70F4CD82" w14:textId="77777777" w:rsidR="00F628D9" w:rsidRPr="00930EFE" w:rsidRDefault="00F628D9" w:rsidP="00A41156">
            <w:pPr>
              <w:jc w:val="left"/>
              <w:rPr>
                <w:rFonts w:cs="Arial"/>
                <w:color w:val="000000"/>
                <w:sz w:val="22"/>
                <w:szCs w:val="22"/>
              </w:rPr>
            </w:pPr>
            <w:r w:rsidRPr="00930EFE">
              <w:rPr>
                <w:rFonts w:cs="Arial"/>
                <w:color w:val="000000"/>
                <w:sz w:val="22"/>
                <w:szCs w:val="22"/>
              </w:rPr>
              <w:t>Poskytování služby A dle přílohy 1. této smlouvy</w:t>
            </w:r>
          </w:p>
        </w:tc>
        <w:tc>
          <w:tcPr>
            <w:tcW w:w="1379" w:type="pct"/>
            <w:tcBorders>
              <w:top w:val="single" w:sz="4" w:space="0" w:color="auto"/>
              <w:left w:val="nil"/>
              <w:bottom w:val="single" w:sz="4" w:space="0" w:color="auto"/>
              <w:right w:val="nil"/>
            </w:tcBorders>
            <w:vAlign w:val="bottom"/>
          </w:tcPr>
          <w:p w14:paraId="7A7CF0D4" w14:textId="77777777" w:rsidR="00F628D9" w:rsidRPr="00930EFE" w:rsidRDefault="00BC070B" w:rsidP="00A41156">
            <w:pPr>
              <w:jc w:val="right"/>
              <w:rPr>
                <w:rFonts w:cs="Arial"/>
                <w:color w:val="000000"/>
                <w:sz w:val="22"/>
                <w:szCs w:val="22"/>
              </w:rPr>
            </w:pPr>
            <w:r w:rsidRPr="00930EFE">
              <w:rPr>
                <w:rFonts w:cs="Arial"/>
                <w:color w:val="000000"/>
                <w:sz w:val="22"/>
                <w:szCs w:val="22"/>
              </w:rPr>
              <w:t>32</w:t>
            </w:r>
            <w:r w:rsidR="00F628D9" w:rsidRPr="00930EFE">
              <w:rPr>
                <w:rFonts w:cs="Arial"/>
                <w:color w:val="000000"/>
                <w:sz w:val="22"/>
                <w:szCs w:val="22"/>
              </w:rPr>
              <w:t>0 000,00 Kč</w:t>
            </w:r>
          </w:p>
        </w:tc>
      </w:tr>
      <w:tr w:rsidR="00F628D9" w:rsidRPr="00930EFE" w14:paraId="2EDA76E3" w14:textId="77777777" w:rsidTr="00A41156">
        <w:trPr>
          <w:trHeight w:val="300"/>
        </w:trPr>
        <w:tc>
          <w:tcPr>
            <w:tcW w:w="3621" w:type="pct"/>
            <w:tcBorders>
              <w:top w:val="single" w:sz="4" w:space="0" w:color="auto"/>
              <w:left w:val="nil"/>
              <w:bottom w:val="single" w:sz="4" w:space="0" w:color="auto"/>
              <w:right w:val="nil"/>
            </w:tcBorders>
            <w:shd w:val="clear" w:color="auto" w:fill="auto"/>
            <w:vAlign w:val="bottom"/>
          </w:tcPr>
          <w:p w14:paraId="1946B270" w14:textId="77777777" w:rsidR="00F628D9" w:rsidRPr="00930EFE" w:rsidRDefault="00F628D9" w:rsidP="00A41156">
            <w:pPr>
              <w:jc w:val="left"/>
              <w:rPr>
                <w:rFonts w:cs="Arial"/>
                <w:b/>
                <w:color w:val="000000"/>
                <w:sz w:val="22"/>
                <w:szCs w:val="22"/>
              </w:rPr>
            </w:pPr>
            <w:r w:rsidRPr="00930EFE">
              <w:rPr>
                <w:rFonts w:cs="Arial"/>
                <w:b/>
                <w:color w:val="000000"/>
                <w:sz w:val="22"/>
                <w:szCs w:val="22"/>
              </w:rPr>
              <w:t>Celkem</w:t>
            </w:r>
          </w:p>
        </w:tc>
        <w:tc>
          <w:tcPr>
            <w:tcW w:w="1379" w:type="pct"/>
            <w:tcBorders>
              <w:top w:val="single" w:sz="4" w:space="0" w:color="auto"/>
              <w:left w:val="nil"/>
              <w:bottom w:val="single" w:sz="4" w:space="0" w:color="auto"/>
              <w:right w:val="nil"/>
            </w:tcBorders>
            <w:vAlign w:val="bottom"/>
          </w:tcPr>
          <w:p w14:paraId="483831C7" w14:textId="77777777" w:rsidR="00F628D9" w:rsidRPr="00930EFE" w:rsidRDefault="00BC070B" w:rsidP="00A41156">
            <w:pPr>
              <w:jc w:val="right"/>
              <w:rPr>
                <w:rFonts w:cs="Arial"/>
                <w:b/>
                <w:color w:val="000000"/>
                <w:sz w:val="22"/>
                <w:szCs w:val="22"/>
              </w:rPr>
            </w:pPr>
            <w:r w:rsidRPr="00930EFE">
              <w:rPr>
                <w:rFonts w:cs="Arial"/>
                <w:b/>
                <w:color w:val="000000"/>
                <w:sz w:val="22"/>
                <w:szCs w:val="22"/>
              </w:rPr>
              <w:t>32</w:t>
            </w:r>
            <w:r w:rsidR="00F628D9" w:rsidRPr="00930EFE">
              <w:rPr>
                <w:rFonts w:cs="Arial"/>
                <w:b/>
                <w:color w:val="000000"/>
                <w:sz w:val="22"/>
                <w:szCs w:val="22"/>
              </w:rPr>
              <w:t>0 000,00 Kč</w:t>
            </w:r>
          </w:p>
        </w:tc>
      </w:tr>
    </w:tbl>
    <w:p w14:paraId="0E0FA2E8" w14:textId="77777777" w:rsidR="00F628D9" w:rsidRPr="00930EFE" w:rsidRDefault="00F628D9" w:rsidP="00F628D9">
      <w:pPr>
        <w:rPr>
          <w:rFonts w:cs="Arial"/>
          <w:sz w:val="22"/>
          <w:szCs w:val="22"/>
        </w:rPr>
      </w:pPr>
    </w:p>
    <w:p w14:paraId="08E959DA" w14:textId="77777777" w:rsidR="00F628D9" w:rsidRPr="00930EFE" w:rsidRDefault="00F628D9" w:rsidP="00F628D9">
      <w:pPr>
        <w:rPr>
          <w:rFonts w:cs="Arial"/>
          <w:sz w:val="22"/>
          <w:szCs w:val="22"/>
        </w:rPr>
      </w:pPr>
    </w:p>
    <w:p w14:paraId="7B28C32E" w14:textId="57770DEF" w:rsidR="00F628D9" w:rsidRPr="00930EFE" w:rsidRDefault="00F628D9" w:rsidP="00F628D9">
      <w:pPr>
        <w:rPr>
          <w:rFonts w:cs="Arial"/>
          <w:sz w:val="22"/>
          <w:szCs w:val="22"/>
        </w:rPr>
      </w:pPr>
      <w:r w:rsidRPr="421659AD">
        <w:rPr>
          <w:rFonts w:cs="Arial"/>
          <w:sz w:val="22"/>
          <w:szCs w:val="22"/>
        </w:rPr>
        <w:t xml:space="preserve">Hodiny odpracované v rámci služeb B </w:t>
      </w:r>
      <w:r w:rsidRPr="421659AD">
        <w:rPr>
          <w:rFonts w:cs="Arial"/>
          <w:color w:val="000000" w:themeColor="text1"/>
          <w:sz w:val="22"/>
          <w:szCs w:val="22"/>
        </w:rPr>
        <w:t>přílohy 1. této smlouvy</w:t>
      </w:r>
      <w:r w:rsidRPr="421659AD">
        <w:rPr>
          <w:rFonts w:cs="Arial"/>
          <w:sz w:val="22"/>
          <w:szCs w:val="22"/>
        </w:rPr>
        <w:t xml:space="preserve"> budou účtovány hodinovou sazbou v následujících kategoriích</w:t>
      </w:r>
      <w:r w:rsidR="695C075A" w:rsidRPr="421659AD">
        <w:rPr>
          <w:rFonts w:cs="Arial"/>
          <w:sz w:val="22"/>
          <w:szCs w:val="22"/>
        </w:rPr>
        <w:t>:</w:t>
      </w:r>
    </w:p>
    <w:p w14:paraId="65D4A462" w14:textId="77777777" w:rsidR="00F628D9" w:rsidRPr="00930EFE" w:rsidRDefault="00F628D9" w:rsidP="00F628D9">
      <w:pPr>
        <w:rPr>
          <w:rFonts w:cs="Arial"/>
          <w:sz w:val="22"/>
          <w:szCs w:val="22"/>
        </w:rPr>
      </w:pPr>
    </w:p>
    <w:tbl>
      <w:tblPr>
        <w:tblW w:w="5000" w:type="pct"/>
        <w:tblCellMar>
          <w:left w:w="70" w:type="dxa"/>
          <w:right w:w="70" w:type="dxa"/>
        </w:tblCellMar>
        <w:tblLook w:val="04A0" w:firstRow="1" w:lastRow="0" w:firstColumn="1" w:lastColumn="0" w:noHBand="0" w:noVBand="1"/>
      </w:tblPr>
      <w:tblGrid>
        <w:gridCol w:w="5552"/>
        <w:gridCol w:w="3520"/>
      </w:tblGrid>
      <w:tr w:rsidR="00F628D9" w:rsidRPr="00930EFE" w14:paraId="42ADC165" w14:textId="77777777" w:rsidTr="421659AD">
        <w:trPr>
          <w:trHeight w:val="300"/>
        </w:trPr>
        <w:tc>
          <w:tcPr>
            <w:tcW w:w="3060" w:type="pct"/>
            <w:tcBorders>
              <w:top w:val="single" w:sz="4" w:space="0" w:color="auto"/>
              <w:left w:val="nil"/>
              <w:bottom w:val="single" w:sz="4" w:space="0" w:color="auto"/>
              <w:right w:val="nil"/>
            </w:tcBorders>
            <w:shd w:val="clear" w:color="auto" w:fill="D8D8D8"/>
            <w:noWrap/>
            <w:vAlign w:val="bottom"/>
          </w:tcPr>
          <w:p w14:paraId="29B33A5D" w14:textId="77777777" w:rsidR="00F628D9" w:rsidRPr="00930EFE" w:rsidRDefault="00F628D9" w:rsidP="00A41156">
            <w:pPr>
              <w:jc w:val="left"/>
              <w:rPr>
                <w:rFonts w:cs="Arial"/>
                <w:b/>
                <w:bCs/>
                <w:color w:val="000000"/>
                <w:sz w:val="22"/>
                <w:szCs w:val="22"/>
              </w:rPr>
            </w:pPr>
            <w:r w:rsidRPr="00930EFE">
              <w:rPr>
                <w:rFonts w:cs="Arial"/>
                <w:b/>
                <w:bCs/>
                <w:color w:val="000000"/>
                <w:sz w:val="22"/>
                <w:szCs w:val="22"/>
              </w:rPr>
              <w:t>Kategorie</w:t>
            </w:r>
          </w:p>
        </w:tc>
        <w:tc>
          <w:tcPr>
            <w:tcW w:w="1940" w:type="pct"/>
            <w:tcBorders>
              <w:top w:val="single" w:sz="4" w:space="0" w:color="auto"/>
              <w:left w:val="nil"/>
              <w:bottom w:val="single" w:sz="4" w:space="0" w:color="auto"/>
              <w:right w:val="nil"/>
            </w:tcBorders>
            <w:shd w:val="clear" w:color="auto" w:fill="D8D8D8"/>
            <w:vAlign w:val="bottom"/>
          </w:tcPr>
          <w:p w14:paraId="5BD2D7CD" w14:textId="77777777" w:rsidR="00F628D9" w:rsidRPr="00930EFE" w:rsidRDefault="00F628D9" w:rsidP="00A41156">
            <w:pPr>
              <w:jc w:val="right"/>
              <w:rPr>
                <w:rFonts w:cs="Arial"/>
                <w:b/>
                <w:bCs/>
                <w:color w:val="000000"/>
                <w:sz w:val="22"/>
                <w:szCs w:val="22"/>
              </w:rPr>
            </w:pPr>
            <w:r w:rsidRPr="00930EFE">
              <w:rPr>
                <w:rFonts w:cs="Arial"/>
                <w:b/>
                <w:bCs/>
                <w:color w:val="000000"/>
                <w:sz w:val="22"/>
                <w:szCs w:val="22"/>
              </w:rPr>
              <w:t>Částka bez DPH</w:t>
            </w:r>
          </w:p>
        </w:tc>
      </w:tr>
      <w:tr w:rsidR="00F628D9" w:rsidRPr="00930EFE" w14:paraId="6FE31E73" w14:textId="77777777" w:rsidTr="421659AD">
        <w:trPr>
          <w:trHeight w:val="300"/>
        </w:trPr>
        <w:tc>
          <w:tcPr>
            <w:tcW w:w="3060" w:type="pct"/>
            <w:tcBorders>
              <w:top w:val="single" w:sz="4" w:space="0" w:color="auto"/>
              <w:left w:val="nil"/>
              <w:bottom w:val="single" w:sz="4" w:space="0" w:color="auto"/>
              <w:right w:val="nil"/>
            </w:tcBorders>
            <w:shd w:val="clear" w:color="auto" w:fill="auto"/>
            <w:vAlign w:val="bottom"/>
          </w:tcPr>
          <w:p w14:paraId="333B73E7" w14:textId="77777777" w:rsidR="00F628D9" w:rsidRPr="00930EFE" w:rsidRDefault="00F628D9" w:rsidP="00A41156">
            <w:pPr>
              <w:jc w:val="left"/>
              <w:rPr>
                <w:rFonts w:cs="Arial"/>
                <w:color w:val="000000"/>
                <w:sz w:val="22"/>
                <w:szCs w:val="22"/>
              </w:rPr>
            </w:pPr>
            <w:r w:rsidRPr="00930EFE">
              <w:rPr>
                <w:rFonts w:cs="Arial"/>
                <w:color w:val="000000"/>
                <w:sz w:val="22"/>
                <w:szCs w:val="22"/>
              </w:rPr>
              <w:t xml:space="preserve">Senior </w:t>
            </w:r>
            <w:proofErr w:type="spellStart"/>
            <w:r w:rsidRPr="00930EFE">
              <w:rPr>
                <w:rFonts w:cs="Arial"/>
                <w:color w:val="000000"/>
                <w:sz w:val="22"/>
                <w:szCs w:val="22"/>
              </w:rPr>
              <w:t>Consultant</w:t>
            </w:r>
            <w:proofErr w:type="spellEnd"/>
          </w:p>
        </w:tc>
        <w:tc>
          <w:tcPr>
            <w:tcW w:w="1940" w:type="pct"/>
            <w:tcBorders>
              <w:top w:val="single" w:sz="4" w:space="0" w:color="auto"/>
              <w:left w:val="nil"/>
              <w:bottom w:val="single" w:sz="4" w:space="0" w:color="auto"/>
              <w:right w:val="nil"/>
            </w:tcBorders>
            <w:vAlign w:val="bottom"/>
          </w:tcPr>
          <w:p w14:paraId="0ADA32FF" w14:textId="77777777" w:rsidR="00F628D9" w:rsidRPr="00930EFE" w:rsidRDefault="00F628D9" w:rsidP="00A41156">
            <w:pPr>
              <w:jc w:val="right"/>
              <w:rPr>
                <w:rFonts w:cs="Arial"/>
                <w:color w:val="000000"/>
                <w:sz w:val="22"/>
                <w:szCs w:val="22"/>
              </w:rPr>
            </w:pPr>
            <w:r w:rsidRPr="00930EFE">
              <w:rPr>
                <w:rFonts w:cs="Arial"/>
                <w:color w:val="000000"/>
                <w:sz w:val="22"/>
                <w:szCs w:val="22"/>
              </w:rPr>
              <w:t>1 450,00 Kč</w:t>
            </w:r>
          </w:p>
        </w:tc>
      </w:tr>
    </w:tbl>
    <w:p w14:paraId="77141C5B" w14:textId="77777777" w:rsidR="00F628D9" w:rsidRPr="00930EFE" w:rsidRDefault="00F628D9" w:rsidP="00F628D9">
      <w:pPr>
        <w:rPr>
          <w:rFonts w:cs="Arial"/>
          <w:sz w:val="22"/>
          <w:szCs w:val="22"/>
        </w:rPr>
      </w:pPr>
    </w:p>
    <w:p w14:paraId="5990D58E" w14:textId="0FB8A7B3" w:rsidR="00016EA4" w:rsidRPr="00930EFE" w:rsidRDefault="00F628D9" w:rsidP="00F628D9">
      <w:pPr>
        <w:rPr>
          <w:rFonts w:cs="Arial"/>
          <w:sz w:val="22"/>
          <w:szCs w:val="22"/>
          <w:lang w:val="pl-PL"/>
        </w:rPr>
      </w:pPr>
      <w:r w:rsidRPr="421659AD">
        <w:rPr>
          <w:rFonts w:cs="Arial"/>
          <w:sz w:val="22"/>
          <w:szCs w:val="22"/>
        </w:rPr>
        <w:t>V případě práce od 16:30 do 8:30 je hodinová sazba navýšena o 30</w:t>
      </w:r>
      <w:r w:rsidR="00FC6608" w:rsidRPr="421659AD">
        <w:rPr>
          <w:rFonts w:cs="Arial"/>
          <w:sz w:val="22"/>
          <w:szCs w:val="22"/>
        </w:rPr>
        <w:t xml:space="preserve"> </w:t>
      </w:r>
      <w:r w:rsidRPr="421659AD">
        <w:rPr>
          <w:rFonts w:cs="Arial"/>
          <w:sz w:val="22"/>
          <w:szCs w:val="22"/>
        </w:rPr>
        <w:t>% a v případě prací mimo pracovní dny je hodinová sazba navýšena o 50</w:t>
      </w:r>
      <w:r w:rsidR="00FC6608" w:rsidRPr="421659AD">
        <w:rPr>
          <w:rFonts w:cs="Arial"/>
          <w:sz w:val="22"/>
          <w:szCs w:val="22"/>
        </w:rPr>
        <w:t xml:space="preserve"> </w:t>
      </w:r>
      <w:r w:rsidRPr="421659AD">
        <w:rPr>
          <w:rFonts w:cs="Arial"/>
          <w:sz w:val="22"/>
          <w:szCs w:val="22"/>
          <w:lang w:val="pl-PL"/>
        </w:rPr>
        <w:t>%.</w:t>
      </w:r>
    </w:p>
    <w:p w14:paraId="245D843A" w14:textId="77777777" w:rsidR="00016EA4" w:rsidRDefault="00016EA4" w:rsidP="00016EA4">
      <w:pPr>
        <w:rPr>
          <w:lang w:val="pl-PL"/>
        </w:rPr>
      </w:pPr>
      <w:r>
        <w:rPr>
          <w:lang w:val="pl-PL"/>
        </w:rPr>
        <w:br w:type="page"/>
      </w:r>
    </w:p>
    <w:p w14:paraId="32A65E2B" w14:textId="77777777" w:rsidR="00016EA4" w:rsidRPr="009C3206" w:rsidRDefault="00016EA4" w:rsidP="421659AD">
      <w:pPr>
        <w:rPr>
          <w:rFonts w:cs="Arial"/>
          <w:b/>
          <w:bCs/>
          <w:sz w:val="36"/>
          <w:szCs w:val="36"/>
        </w:rPr>
      </w:pPr>
      <w:r w:rsidRPr="421659AD">
        <w:rPr>
          <w:rFonts w:cs="Arial"/>
          <w:b/>
          <w:bCs/>
          <w:sz w:val="36"/>
          <w:szCs w:val="36"/>
        </w:rPr>
        <w:lastRenderedPageBreak/>
        <w:t>Příloha č. 3</w:t>
      </w:r>
    </w:p>
    <w:p w14:paraId="33775AD5" w14:textId="77777777" w:rsidR="00016EA4" w:rsidRPr="009C3206" w:rsidRDefault="00016EA4" w:rsidP="421659AD">
      <w:pPr>
        <w:rPr>
          <w:rFonts w:cs="Arial"/>
          <w:b/>
          <w:bCs/>
        </w:rPr>
      </w:pPr>
      <w:r w:rsidRPr="421659AD">
        <w:rPr>
          <w:rFonts w:cs="Arial"/>
          <w:b/>
          <w:bCs/>
        </w:rPr>
        <w:t xml:space="preserve">Kontaktní osoby pro jednání </w:t>
      </w:r>
    </w:p>
    <w:p w14:paraId="04E47499" w14:textId="77777777" w:rsidR="00016EA4" w:rsidRPr="00554CAB" w:rsidRDefault="00016EA4" w:rsidP="00016EA4">
      <w:pPr>
        <w:rPr>
          <w:rFonts w:cs="Arial"/>
        </w:rPr>
      </w:pPr>
    </w:p>
    <w:p w14:paraId="4B59D58B" w14:textId="77777777" w:rsidR="00016EA4" w:rsidRPr="00285A53" w:rsidRDefault="00016EA4" w:rsidP="421659AD">
      <w:pPr>
        <w:rPr>
          <w:rFonts w:cs="Arial"/>
          <w:b/>
          <w:bCs/>
          <w:sz w:val="22"/>
          <w:szCs w:val="22"/>
        </w:rPr>
      </w:pPr>
      <w:r w:rsidRPr="421659AD">
        <w:rPr>
          <w:rFonts w:cs="Arial"/>
          <w:b/>
          <w:bCs/>
          <w:sz w:val="22"/>
          <w:szCs w:val="22"/>
        </w:rPr>
        <w:t xml:space="preserve">1. </w:t>
      </w:r>
      <w:r w:rsidRPr="421659AD">
        <w:rPr>
          <w:rFonts w:cs="Arial"/>
          <w:b/>
          <w:bCs/>
          <w:sz w:val="22"/>
          <w:szCs w:val="22"/>
          <w:u w:val="single"/>
        </w:rPr>
        <w:t>Kontaktní osoby Poskytovatele</w:t>
      </w:r>
    </w:p>
    <w:p w14:paraId="506205AB" w14:textId="77777777" w:rsidR="00016EA4" w:rsidRPr="00285A53" w:rsidRDefault="00016EA4" w:rsidP="421659AD">
      <w:pPr>
        <w:rPr>
          <w:rFonts w:cs="Arial"/>
          <w:sz w:val="22"/>
          <w:szCs w:val="22"/>
        </w:rPr>
      </w:pPr>
      <w:r w:rsidRPr="421659AD">
        <w:rPr>
          <w:rFonts w:cs="Arial"/>
          <w:sz w:val="22"/>
          <w:szCs w:val="22"/>
        </w:rPr>
        <w:t xml:space="preserve">Ing. Milan Kubín, </w:t>
      </w:r>
      <w:hyperlink r:id="rId7" w:history="1">
        <w:r w:rsidRPr="421659AD">
          <w:rPr>
            <w:rStyle w:val="Hypertextovodkaz"/>
            <w:rFonts w:cs="Arial"/>
            <w:sz w:val="22"/>
            <w:szCs w:val="22"/>
          </w:rPr>
          <w:t>milan.kubin@cvut.cz</w:t>
        </w:r>
      </w:hyperlink>
      <w:r w:rsidRPr="421659AD">
        <w:rPr>
          <w:rFonts w:cs="Arial"/>
          <w:sz w:val="22"/>
          <w:szCs w:val="22"/>
        </w:rPr>
        <w:t>, +420 22435 9777</w:t>
      </w:r>
    </w:p>
    <w:p w14:paraId="5B805899" w14:textId="77777777" w:rsidR="00016EA4" w:rsidRPr="00285A53" w:rsidRDefault="00016EA4" w:rsidP="421659AD">
      <w:pPr>
        <w:rPr>
          <w:rFonts w:cs="Arial"/>
          <w:sz w:val="22"/>
          <w:szCs w:val="22"/>
        </w:rPr>
      </w:pPr>
      <w:r w:rsidRPr="421659AD">
        <w:rPr>
          <w:rFonts w:cs="Arial"/>
          <w:sz w:val="22"/>
          <w:szCs w:val="22"/>
        </w:rPr>
        <w:t xml:space="preserve">Ing. Herbert Šípek, </w:t>
      </w:r>
      <w:hyperlink r:id="rId8" w:history="1">
        <w:r w:rsidRPr="421659AD">
          <w:rPr>
            <w:rStyle w:val="Hypertextovodkaz"/>
            <w:rFonts w:eastAsiaTheme="majorEastAsia"/>
            <w:sz w:val="22"/>
            <w:szCs w:val="22"/>
          </w:rPr>
          <w:t>herbert.sipek@cvut.cz</w:t>
        </w:r>
      </w:hyperlink>
      <w:r w:rsidRPr="421659AD">
        <w:rPr>
          <w:sz w:val="22"/>
          <w:szCs w:val="22"/>
        </w:rPr>
        <w:t>, +420 22435 9803</w:t>
      </w:r>
    </w:p>
    <w:p w14:paraId="65D3B980" w14:textId="77777777" w:rsidR="00016EA4" w:rsidRPr="00285A53" w:rsidRDefault="00016EA4" w:rsidP="421659AD">
      <w:pPr>
        <w:rPr>
          <w:rFonts w:cs="Arial"/>
          <w:sz w:val="22"/>
          <w:szCs w:val="22"/>
        </w:rPr>
      </w:pPr>
      <w:r w:rsidRPr="421659AD">
        <w:rPr>
          <w:rFonts w:cs="Arial"/>
          <w:sz w:val="22"/>
          <w:szCs w:val="22"/>
        </w:rPr>
        <w:t xml:space="preserve">Ing. Marek Kalika, Ph.D., </w:t>
      </w:r>
      <w:hyperlink r:id="rId9" w:history="1">
        <w:r w:rsidRPr="421659AD">
          <w:rPr>
            <w:rStyle w:val="Hypertextovodkaz"/>
            <w:rFonts w:eastAsiaTheme="majorEastAsia"/>
            <w:sz w:val="22"/>
            <w:szCs w:val="22"/>
          </w:rPr>
          <w:t>marek.kalika@cvut.cz</w:t>
        </w:r>
      </w:hyperlink>
      <w:r w:rsidRPr="421659AD">
        <w:rPr>
          <w:sz w:val="22"/>
          <w:szCs w:val="22"/>
        </w:rPr>
        <w:t>, +420 22435 8456</w:t>
      </w:r>
    </w:p>
    <w:p w14:paraId="06804E20" w14:textId="77777777" w:rsidR="00016EA4" w:rsidRPr="00285A53" w:rsidRDefault="00016EA4" w:rsidP="421659AD">
      <w:pPr>
        <w:rPr>
          <w:rFonts w:cs="Arial"/>
          <w:sz w:val="22"/>
          <w:szCs w:val="22"/>
        </w:rPr>
      </w:pPr>
    </w:p>
    <w:p w14:paraId="0341E750" w14:textId="77777777" w:rsidR="00016EA4" w:rsidRPr="00285A53" w:rsidRDefault="00016EA4" w:rsidP="421659AD">
      <w:pPr>
        <w:rPr>
          <w:rFonts w:cs="Arial"/>
          <w:sz w:val="22"/>
          <w:szCs w:val="22"/>
        </w:rPr>
      </w:pPr>
    </w:p>
    <w:p w14:paraId="125398B2" w14:textId="77777777" w:rsidR="00016EA4" w:rsidRPr="00285A53" w:rsidRDefault="00016EA4" w:rsidP="421659AD">
      <w:pPr>
        <w:rPr>
          <w:rFonts w:cs="Arial"/>
          <w:sz w:val="22"/>
          <w:szCs w:val="22"/>
        </w:rPr>
      </w:pPr>
    </w:p>
    <w:p w14:paraId="2C1593B9" w14:textId="77777777" w:rsidR="00016EA4" w:rsidRPr="00285A53" w:rsidRDefault="00016EA4" w:rsidP="421659AD">
      <w:pPr>
        <w:rPr>
          <w:rFonts w:cs="Arial"/>
          <w:sz w:val="22"/>
          <w:szCs w:val="22"/>
        </w:rPr>
      </w:pPr>
    </w:p>
    <w:p w14:paraId="52D0ED62" w14:textId="77777777" w:rsidR="00016EA4" w:rsidRPr="00285A53" w:rsidRDefault="00016EA4" w:rsidP="421659AD">
      <w:pPr>
        <w:rPr>
          <w:rFonts w:cs="Arial"/>
          <w:b/>
          <w:bCs/>
          <w:sz w:val="22"/>
          <w:szCs w:val="22"/>
        </w:rPr>
      </w:pPr>
      <w:r w:rsidRPr="421659AD">
        <w:rPr>
          <w:rFonts w:cs="Arial"/>
          <w:b/>
          <w:bCs/>
          <w:sz w:val="22"/>
          <w:szCs w:val="22"/>
        </w:rPr>
        <w:t xml:space="preserve">2. </w:t>
      </w:r>
      <w:r w:rsidRPr="421659AD">
        <w:rPr>
          <w:rFonts w:cs="Arial"/>
          <w:b/>
          <w:bCs/>
          <w:sz w:val="22"/>
          <w:szCs w:val="22"/>
          <w:u w:val="single"/>
        </w:rPr>
        <w:t>Kontaktní osoby Objednatele</w:t>
      </w:r>
    </w:p>
    <w:p w14:paraId="342FA5E3" w14:textId="77777777" w:rsidR="00016EA4" w:rsidRPr="00285A53" w:rsidRDefault="00016EA4" w:rsidP="421659AD">
      <w:pPr>
        <w:rPr>
          <w:sz w:val="22"/>
          <w:szCs w:val="22"/>
        </w:rPr>
      </w:pPr>
      <w:r w:rsidRPr="421659AD">
        <w:rPr>
          <w:sz w:val="22"/>
          <w:szCs w:val="22"/>
        </w:rPr>
        <w:t xml:space="preserve">Oldřich Vlček, </w:t>
      </w:r>
      <w:hyperlink r:id="rId10" w:history="1">
        <w:r w:rsidRPr="421659AD">
          <w:rPr>
            <w:rStyle w:val="Hypertextovodkaz"/>
            <w:sz w:val="22"/>
            <w:szCs w:val="22"/>
          </w:rPr>
          <w:t>oldrich.vlcek@amu.cz</w:t>
        </w:r>
      </w:hyperlink>
      <w:r w:rsidRPr="421659AD">
        <w:rPr>
          <w:sz w:val="22"/>
          <w:szCs w:val="22"/>
        </w:rPr>
        <w:t>, +420 234 244 546</w:t>
      </w:r>
    </w:p>
    <w:p w14:paraId="22FBD4C7" w14:textId="77777777" w:rsidR="00016EA4" w:rsidRPr="00285A53" w:rsidRDefault="00016EA4" w:rsidP="421659AD">
      <w:pPr>
        <w:rPr>
          <w:sz w:val="22"/>
          <w:szCs w:val="22"/>
        </w:rPr>
      </w:pPr>
      <w:r w:rsidRPr="421659AD">
        <w:rPr>
          <w:sz w:val="22"/>
          <w:szCs w:val="22"/>
        </w:rPr>
        <w:t xml:space="preserve">Bc. Jakub Ivanov, </w:t>
      </w:r>
      <w:hyperlink r:id="rId11" w:history="1">
        <w:r w:rsidRPr="421659AD">
          <w:rPr>
            <w:rStyle w:val="Hypertextovodkaz"/>
            <w:sz w:val="22"/>
            <w:szCs w:val="22"/>
          </w:rPr>
          <w:t>jakub.ivanov@amu.cz</w:t>
        </w:r>
      </w:hyperlink>
      <w:r w:rsidRPr="421659AD">
        <w:rPr>
          <w:sz w:val="22"/>
          <w:szCs w:val="22"/>
        </w:rPr>
        <w:t>, +420 234 244 540</w:t>
      </w:r>
    </w:p>
    <w:p w14:paraId="321E8B91" w14:textId="77777777" w:rsidR="00016EA4" w:rsidRPr="00285A53" w:rsidRDefault="00016EA4" w:rsidP="421659AD">
      <w:pPr>
        <w:rPr>
          <w:sz w:val="22"/>
          <w:szCs w:val="22"/>
        </w:rPr>
      </w:pPr>
      <w:r w:rsidRPr="421659AD">
        <w:rPr>
          <w:sz w:val="22"/>
          <w:szCs w:val="22"/>
        </w:rPr>
        <w:t xml:space="preserve">Ing. Václav </w:t>
      </w:r>
      <w:proofErr w:type="spellStart"/>
      <w:r w:rsidRPr="421659AD">
        <w:rPr>
          <w:sz w:val="22"/>
          <w:szCs w:val="22"/>
        </w:rPr>
        <w:t>Obadálek</w:t>
      </w:r>
      <w:proofErr w:type="spellEnd"/>
      <w:r w:rsidRPr="421659AD">
        <w:rPr>
          <w:sz w:val="22"/>
          <w:szCs w:val="22"/>
        </w:rPr>
        <w:t xml:space="preserve">, </w:t>
      </w:r>
      <w:hyperlink r:id="rId12" w:history="1">
        <w:r w:rsidRPr="421659AD">
          <w:rPr>
            <w:rStyle w:val="Hypertextovodkaz"/>
            <w:sz w:val="22"/>
            <w:szCs w:val="22"/>
          </w:rPr>
          <w:t>vaclav.obadalek@amu.cz</w:t>
        </w:r>
      </w:hyperlink>
      <w:r w:rsidRPr="421659AD">
        <w:rPr>
          <w:sz w:val="22"/>
          <w:szCs w:val="22"/>
        </w:rPr>
        <w:t>, +420 234 244 545</w:t>
      </w:r>
    </w:p>
    <w:p w14:paraId="58DD1922" w14:textId="77777777" w:rsidR="00F628D9" w:rsidRPr="002A5FC9" w:rsidRDefault="00F628D9" w:rsidP="00F628D9">
      <w:pPr>
        <w:rPr>
          <w:rFonts w:cs="Arial"/>
          <w:sz w:val="22"/>
        </w:rPr>
      </w:pPr>
    </w:p>
    <w:p w14:paraId="351A16ED" w14:textId="77777777" w:rsidR="006F170D" w:rsidRPr="00F628D9" w:rsidRDefault="006F170D" w:rsidP="006F170D">
      <w:pPr>
        <w:rPr>
          <w:lang w:val="pl-PL"/>
        </w:rPr>
      </w:pPr>
    </w:p>
    <w:sectPr w:rsidR="006F170D" w:rsidRPr="00F628D9">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C35332" w16cex:dateUtc="2022-10-22T15:12:19.6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7564" w14:textId="77777777" w:rsidR="00314187" w:rsidRDefault="00314187" w:rsidP="00376A4D">
      <w:r>
        <w:separator/>
      </w:r>
    </w:p>
  </w:endnote>
  <w:endnote w:type="continuationSeparator" w:id="0">
    <w:p w14:paraId="3E365E2B" w14:textId="77777777" w:rsidR="00314187" w:rsidRDefault="00314187" w:rsidP="0037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022175"/>
      <w:docPartObj>
        <w:docPartGallery w:val="Page Numbers (Bottom of Page)"/>
        <w:docPartUnique/>
      </w:docPartObj>
    </w:sdtPr>
    <w:sdtEndPr/>
    <w:sdtContent>
      <w:p w14:paraId="4956423A" w14:textId="77777777" w:rsidR="00376A4D" w:rsidRDefault="00376A4D">
        <w:pPr>
          <w:pStyle w:val="Zpat"/>
          <w:jc w:val="center"/>
        </w:pPr>
        <w:r>
          <w:fldChar w:fldCharType="begin"/>
        </w:r>
        <w:r>
          <w:instrText>PAGE   \* MERGEFORMAT</w:instrText>
        </w:r>
        <w:r>
          <w:fldChar w:fldCharType="separate"/>
        </w:r>
        <w:r>
          <w:t>2</w:t>
        </w:r>
        <w:r>
          <w:fldChar w:fldCharType="end"/>
        </w:r>
      </w:p>
    </w:sdtContent>
  </w:sdt>
  <w:p w14:paraId="0D37782D" w14:textId="77777777" w:rsidR="00376A4D" w:rsidRDefault="00376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E883" w14:textId="77777777" w:rsidR="00314187" w:rsidRDefault="00314187" w:rsidP="00376A4D">
      <w:r>
        <w:separator/>
      </w:r>
    </w:p>
  </w:footnote>
  <w:footnote w:type="continuationSeparator" w:id="0">
    <w:p w14:paraId="0E0F67F1" w14:textId="77777777" w:rsidR="00314187" w:rsidRDefault="00314187" w:rsidP="0037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5AB" w14:textId="384DAEA3" w:rsidR="00181786" w:rsidRDefault="00181786">
    <w:pPr>
      <w:pStyle w:val="Zhlav"/>
    </w:pPr>
    <w:r>
      <w:rPr>
        <w:noProof/>
      </w:rPr>
      <w:drawing>
        <wp:anchor distT="0" distB="0" distL="114300" distR="114300" simplePos="0" relativeHeight="251659264" behindDoc="1" locked="0" layoutInCell="1" allowOverlap="1" wp14:anchorId="62941709" wp14:editId="20C19A7C">
          <wp:simplePos x="0" y="0"/>
          <wp:positionH relativeFrom="margin">
            <wp:posOffset>4780107</wp:posOffset>
          </wp:positionH>
          <wp:positionV relativeFrom="paragraph">
            <wp:posOffset>-68580</wp:posOffset>
          </wp:positionV>
          <wp:extent cx="1513205" cy="7378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0288" behindDoc="0" locked="0" layoutInCell="1" allowOverlap="1" wp14:anchorId="3F184D41" wp14:editId="28D2F4F1">
          <wp:simplePos x="0" y="0"/>
          <wp:positionH relativeFrom="column">
            <wp:posOffset>635</wp:posOffset>
          </wp:positionH>
          <wp:positionV relativeFrom="paragraph">
            <wp:posOffset>-69042</wp:posOffset>
          </wp:positionV>
          <wp:extent cx="1031875" cy="78867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87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A93"/>
    <w:multiLevelType w:val="hybridMultilevel"/>
    <w:tmpl w:val="209C8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E55F0"/>
    <w:multiLevelType w:val="hybridMultilevel"/>
    <w:tmpl w:val="A254ED28"/>
    <w:lvl w:ilvl="0" w:tplc="5ACE11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BD5FD9"/>
    <w:multiLevelType w:val="hybridMultilevel"/>
    <w:tmpl w:val="CBECA0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981A79"/>
    <w:multiLevelType w:val="hybridMultilevel"/>
    <w:tmpl w:val="BA70E224"/>
    <w:lvl w:ilvl="0" w:tplc="3078D57C">
      <w:start w:val="1"/>
      <w:numFmt w:val="upperLetter"/>
      <w:lvlText w:val="%1."/>
      <w:lvlJc w:val="left"/>
      <w:pPr>
        <w:tabs>
          <w:tab w:val="num" w:pos="283"/>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4BA4B0"/>
    <w:multiLevelType w:val="hybridMultilevel"/>
    <w:tmpl w:val="B0DC5BC0"/>
    <w:lvl w:ilvl="0" w:tplc="640EC144">
      <w:start w:val="1"/>
      <w:numFmt w:val="bullet"/>
      <w:lvlText w:val=""/>
      <w:lvlJc w:val="left"/>
      <w:pPr>
        <w:ind w:left="1080" w:hanging="360"/>
      </w:pPr>
      <w:rPr>
        <w:rFonts w:ascii="Symbol" w:hAnsi="Symbol" w:hint="default"/>
      </w:rPr>
    </w:lvl>
    <w:lvl w:ilvl="1" w:tplc="F88824E2">
      <w:start w:val="1"/>
      <w:numFmt w:val="bullet"/>
      <w:lvlText w:val="o"/>
      <w:lvlJc w:val="left"/>
      <w:pPr>
        <w:ind w:left="1440" w:hanging="360"/>
      </w:pPr>
      <w:rPr>
        <w:rFonts w:ascii="Courier New" w:hAnsi="Courier New" w:hint="default"/>
      </w:rPr>
    </w:lvl>
    <w:lvl w:ilvl="2" w:tplc="58423C84">
      <w:start w:val="1"/>
      <w:numFmt w:val="bullet"/>
      <w:lvlText w:val=""/>
      <w:lvlJc w:val="left"/>
      <w:pPr>
        <w:ind w:left="2160" w:hanging="360"/>
      </w:pPr>
      <w:rPr>
        <w:rFonts w:ascii="Wingdings" w:hAnsi="Wingdings" w:hint="default"/>
      </w:rPr>
    </w:lvl>
    <w:lvl w:ilvl="3" w:tplc="F516DC54">
      <w:start w:val="1"/>
      <w:numFmt w:val="bullet"/>
      <w:lvlText w:val=""/>
      <w:lvlJc w:val="left"/>
      <w:pPr>
        <w:ind w:left="2880" w:hanging="360"/>
      </w:pPr>
      <w:rPr>
        <w:rFonts w:ascii="Symbol" w:hAnsi="Symbol" w:hint="default"/>
      </w:rPr>
    </w:lvl>
    <w:lvl w:ilvl="4" w:tplc="0AF48112">
      <w:start w:val="1"/>
      <w:numFmt w:val="bullet"/>
      <w:lvlText w:val="o"/>
      <w:lvlJc w:val="left"/>
      <w:pPr>
        <w:ind w:left="3600" w:hanging="360"/>
      </w:pPr>
      <w:rPr>
        <w:rFonts w:ascii="Courier New" w:hAnsi="Courier New" w:hint="default"/>
      </w:rPr>
    </w:lvl>
    <w:lvl w:ilvl="5" w:tplc="031A7DCA">
      <w:start w:val="1"/>
      <w:numFmt w:val="bullet"/>
      <w:lvlText w:val=""/>
      <w:lvlJc w:val="left"/>
      <w:pPr>
        <w:ind w:left="4320" w:hanging="360"/>
      </w:pPr>
      <w:rPr>
        <w:rFonts w:ascii="Wingdings" w:hAnsi="Wingdings" w:hint="default"/>
      </w:rPr>
    </w:lvl>
    <w:lvl w:ilvl="6" w:tplc="15968716">
      <w:start w:val="1"/>
      <w:numFmt w:val="bullet"/>
      <w:lvlText w:val=""/>
      <w:lvlJc w:val="left"/>
      <w:pPr>
        <w:ind w:left="5040" w:hanging="360"/>
      </w:pPr>
      <w:rPr>
        <w:rFonts w:ascii="Symbol" w:hAnsi="Symbol" w:hint="default"/>
      </w:rPr>
    </w:lvl>
    <w:lvl w:ilvl="7" w:tplc="FC3AC764">
      <w:start w:val="1"/>
      <w:numFmt w:val="bullet"/>
      <w:lvlText w:val="o"/>
      <w:lvlJc w:val="left"/>
      <w:pPr>
        <w:ind w:left="5760" w:hanging="360"/>
      </w:pPr>
      <w:rPr>
        <w:rFonts w:ascii="Courier New" w:hAnsi="Courier New" w:hint="default"/>
      </w:rPr>
    </w:lvl>
    <w:lvl w:ilvl="8" w:tplc="EB803930">
      <w:start w:val="1"/>
      <w:numFmt w:val="bullet"/>
      <w:lvlText w:val=""/>
      <w:lvlJc w:val="left"/>
      <w:pPr>
        <w:ind w:left="6480" w:hanging="360"/>
      </w:pPr>
      <w:rPr>
        <w:rFonts w:ascii="Wingdings" w:hAnsi="Wingdings" w:hint="default"/>
      </w:rPr>
    </w:lvl>
  </w:abstractNum>
  <w:abstractNum w:abstractNumId="5" w15:restartNumberingAfterBreak="0">
    <w:nsid w:val="219E710F"/>
    <w:multiLevelType w:val="hybridMultilevel"/>
    <w:tmpl w:val="24CAC2FA"/>
    <w:lvl w:ilvl="0" w:tplc="FFFFFFFF">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84635E2"/>
    <w:multiLevelType w:val="hybridMultilevel"/>
    <w:tmpl w:val="C90EB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4E729E"/>
    <w:multiLevelType w:val="hybridMultilevel"/>
    <w:tmpl w:val="DAC0AC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C5146"/>
    <w:multiLevelType w:val="hybridMultilevel"/>
    <w:tmpl w:val="7382E6D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79B7402"/>
    <w:multiLevelType w:val="hybridMultilevel"/>
    <w:tmpl w:val="D8BAE6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097EF1"/>
    <w:multiLevelType w:val="multilevel"/>
    <w:tmpl w:val="8418187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8E31E48"/>
    <w:multiLevelType w:val="hybridMultilevel"/>
    <w:tmpl w:val="B34E31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F611DFE"/>
    <w:multiLevelType w:val="hybridMultilevel"/>
    <w:tmpl w:val="BB14A6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630207"/>
    <w:multiLevelType w:val="hybridMultilevel"/>
    <w:tmpl w:val="D8BAE6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EB273A"/>
    <w:multiLevelType w:val="hybridMultilevel"/>
    <w:tmpl w:val="3F38B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9D4075"/>
    <w:multiLevelType w:val="hybridMultilevel"/>
    <w:tmpl w:val="F9106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2A54C8"/>
    <w:multiLevelType w:val="hybridMultilevel"/>
    <w:tmpl w:val="A61AD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14"/>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5"/>
  </w:num>
  <w:num w:numId="11">
    <w:abstractNumId w:val="2"/>
  </w:num>
  <w:num w:numId="12">
    <w:abstractNumId w:val="5"/>
  </w:num>
  <w:num w:numId="13">
    <w:abstractNumId w:val="1"/>
  </w:num>
  <w:num w:numId="14">
    <w:abstractNumId w:val="12"/>
  </w:num>
  <w:num w:numId="15">
    <w:abstractNumId w:val="0"/>
  </w:num>
  <w:num w:numId="16">
    <w:abstractNumId w:val="1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A9"/>
    <w:rsid w:val="00016EA4"/>
    <w:rsid w:val="00026404"/>
    <w:rsid w:val="00050BD4"/>
    <w:rsid w:val="000A68E9"/>
    <w:rsid w:val="000B1CA9"/>
    <w:rsid w:val="00181786"/>
    <w:rsid w:val="002160C9"/>
    <w:rsid w:val="00240324"/>
    <w:rsid w:val="00285A53"/>
    <w:rsid w:val="002A5FC9"/>
    <w:rsid w:val="002C3837"/>
    <w:rsid w:val="00314187"/>
    <w:rsid w:val="00342B78"/>
    <w:rsid w:val="00342D8E"/>
    <w:rsid w:val="00346690"/>
    <w:rsid w:val="00376A4D"/>
    <w:rsid w:val="00442698"/>
    <w:rsid w:val="00493347"/>
    <w:rsid w:val="00507168"/>
    <w:rsid w:val="005A6933"/>
    <w:rsid w:val="005D67FC"/>
    <w:rsid w:val="006F170D"/>
    <w:rsid w:val="007F523E"/>
    <w:rsid w:val="00820C31"/>
    <w:rsid w:val="00930EFE"/>
    <w:rsid w:val="00986238"/>
    <w:rsid w:val="009A7878"/>
    <w:rsid w:val="009C3206"/>
    <w:rsid w:val="00A96439"/>
    <w:rsid w:val="00B157EC"/>
    <w:rsid w:val="00B80376"/>
    <w:rsid w:val="00BC070B"/>
    <w:rsid w:val="00BE3528"/>
    <w:rsid w:val="00C27FA8"/>
    <w:rsid w:val="00C66FFB"/>
    <w:rsid w:val="00CC5051"/>
    <w:rsid w:val="00D31612"/>
    <w:rsid w:val="00DC3F00"/>
    <w:rsid w:val="00DF48C1"/>
    <w:rsid w:val="00EC4FD6"/>
    <w:rsid w:val="00F628D9"/>
    <w:rsid w:val="00FA0B58"/>
    <w:rsid w:val="00FA5291"/>
    <w:rsid w:val="00FC6608"/>
    <w:rsid w:val="08F707A7"/>
    <w:rsid w:val="09E2FFEB"/>
    <w:rsid w:val="09FA324A"/>
    <w:rsid w:val="0C42C89B"/>
    <w:rsid w:val="0C6B3C85"/>
    <w:rsid w:val="1ACA97F5"/>
    <w:rsid w:val="1B497F53"/>
    <w:rsid w:val="1EE4208B"/>
    <w:rsid w:val="21614FFF"/>
    <w:rsid w:val="221E884A"/>
    <w:rsid w:val="27235C42"/>
    <w:rsid w:val="2CBA330F"/>
    <w:rsid w:val="2D797569"/>
    <w:rsid w:val="2F1545CA"/>
    <w:rsid w:val="31EF816C"/>
    <w:rsid w:val="33E8B6ED"/>
    <w:rsid w:val="3493ED04"/>
    <w:rsid w:val="3BFBB658"/>
    <w:rsid w:val="4015E014"/>
    <w:rsid w:val="421659AD"/>
    <w:rsid w:val="498A97BD"/>
    <w:rsid w:val="4BEF8B6F"/>
    <w:rsid w:val="4EA8F90F"/>
    <w:rsid w:val="4EC78B39"/>
    <w:rsid w:val="6017EA91"/>
    <w:rsid w:val="634F8B53"/>
    <w:rsid w:val="695C075A"/>
    <w:rsid w:val="712AF7A4"/>
    <w:rsid w:val="71D147C0"/>
    <w:rsid w:val="72C6C805"/>
    <w:rsid w:val="74DA7B1E"/>
    <w:rsid w:val="75C01B2B"/>
    <w:rsid w:val="76AE63BB"/>
    <w:rsid w:val="7ABCD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8B31"/>
  <w15:chartTrackingRefBased/>
  <w15:docId w15:val="{5957ED98-3056-4B2F-BF52-39A4D75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1CA9"/>
    <w:pPr>
      <w:spacing w:after="0" w:line="240" w:lineRule="auto"/>
      <w:jc w:val="both"/>
    </w:pPr>
    <w:rPr>
      <w:rFonts w:ascii="Arial" w:eastAsia="Times New Roman" w:hAnsi="Arial" w:cs="Times New Roman"/>
      <w:sz w:val="24"/>
      <w:szCs w:val="24"/>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0B1CA9"/>
    <w:pPr>
      <w:keepNext/>
      <w:keepLines/>
      <w:spacing w:before="480" w:after="360" w:line="276" w:lineRule="auto"/>
      <w:outlineLvl w:val="0"/>
    </w:pPr>
    <w:rPr>
      <w:rFonts w:eastAsiaTheme="majorEastAsia" w:cstheme="majorBidi"/>
      <w:b/>
      <w:bCs/>
      <w:sz w:val="32"/>
      <w:szCs w:val="28"/>
      <w:lang w:eastAsia="en-US"/>
    </w:rPr>
  </w:style>
  <w:style w:type="paragraph" w:styleId="Nadpis2">
    <w:name w:val="heading 2"/>
    <w:basedOn w:val="Normln"/>
    <w:next w:val="Normln"/>
    <w:link w:val="Nadpis2Char"/>
    <w:uiPriority w:val="99"/>
    <w:qFormat/>
    <w:rsid w:val="006F170D"/>
    <w:pPr>
      <w:keepNext/>
      <w:tabs>
        <w:tab w:val="num" w:pos="720"/>
      </w:tabs>
      <w:spacing w:before="120" w:after="120"/>
      <w:ind w:left="720" w:hanging="720"/>
      <w:jc w:val="left"/>
      <w:outlineLvl w:val="1"/>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0B1CA9"/>
    <w:rPr>
      <w:rFonts w:ascii="Arial" w:eastAsiaTheme="majorEastAsia" w:hAnsi="Arial" w:cstheme="majorBidi"/>
      <w:b/>
      <w:bCs/>
      <w:sz w:val="32"/>
      <w:szCs w:val="28"/>
    </w:rPr>
  </w:style>
  <w:style w:type="character" w:customStyle="1" w:styleId="Nadpis2Char">
    <w:name w:val="Nadpis 2 Char"/>
    <w:basedOn w:val="Standardnpsmoodstavce"/>
    <w:link w:val="Nadpis2"/>
    <w:uiPriority w:val="99"/>
    <w:rsid w:val="006F170D"/>
    <w:rPr>
      <w:rFonts w:ascii="Arial" w:eastAsia="Times New Roman" w:hAnsi="Arial" w:cs="Times New Roman"/>
      <w:sz w:val="20"/>
      <w:szCs w:val="20"/>
      <w:lang w:eastAsia="cs-CZ"/>
    </w:rPr>
  </w:style>
  <w:style w:type="paragraph" w:styleId="Odstavecseseznamem">
    <w:name w:val="List Paragraph"/>
    <w:basedOn w:val="Normln"/>
    <w:uiPriority w:val="34"/>
    <w:qFormat/>
    <w:rsid w:val="006F170D"/>
    <w:pPr>
      <w:ind w:left="720"/>
      <w:contextualSpacing/>
    </w:pPr>
  </w:style>
  <w:style w:type="character" w:styleId="Hypertextovodkaz">
    <w:name w:val="Hyperlink"/>
    <w:basedOn w:val="Standardnpsmoodstavce"/>
    <w:uiPriority w:val="99"/>
    <w:unhideWhenUsed/>
    <w:rsid w:val="00016EA4"/>
    <w:rPr>
      <w:color w:val="0563C1" w:themeColor="hyperlink"/>
      <w:u w:val="single"/>
    </w:rPr>
  </w:style>
  <w:style w:type="paragraph" w:styleId="Textbubliny">
    <w:name w:val="Balloon Text"/>
    <w:basedOn w:val="Normln"/>
    <w:link w:val="TextbublinyChar"/>
    <w:uiPriority w:val="99"/>
    <w:semiHidden/>
    <w:unhideWhenUsed/>
    <w:rsid w:val="00016E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6EA4"/>
    <w:rPr>
      <w:rFonts w:ascii="Segoe UI" w:eastAsia="Times New Roman" w:hAnsi="Segoe UI" w:cs="Segoe UI"/>
      <w:sz w:val="18"/>
      <w:szCs w:val="18"/>
      <w:lang w:eastAsia="cs-CZ"/>
    </w:rPr>
  </w:style>
  <w:style w:type="paragraph" w:styleId="Zhlav">
    <w:name w:val="header"/>
    <w:basedOn w:val="Normln"/>
    <w:link w:val="ZhlavChar"/>
    <w:uiPriority w:val="99"/>
    <w:unhideWhenUsed/>
    <w:rsid w:val="00376A4D"/>
    <w:pPr>
      <w:tabs>
        <w:tab w:val="center" w:pos="4536"/>
        <w:tab w:val="right" w:pos="9072"/>
      </w:tabs>
    </w:pPr>
  </w:style>
  <w:style w:type="character" w:customStyle="1" w:styleId="ZhlavChar">
    <w:name w:val="Záhlaví Char"/>
    <w:basedOn w:val="Standardnpsmoodstavce"/>
    <w:link w:val="Zhlav"/>
    <w:uiPriority w:val="99"/>
    <w:rsid w:val="00376A4D"/>
    <w:rPr>
      <w:rFonts w:ascii="Arial" w:eastAsia="Times New Roman" w:hAnsi="Arial" w:cs="Times New Roman"/>
      <w:sz w:val="24"/>
      <w:szCs w:val="24"/>
      <w:lang w:eastAsia="cs-CZ"/>
    </w:rPr>
  </w:style>
  <w:style w:type="paragraph" w:styleId="Zpat">
    <w:name w:val="footer"/>
    <w:basedOn w:val="Normln"/>
    <w:link w:val="ZpatChar"/>
    <w:uiPriority w:val="99"/>
    <w:unhideWhenUsed/>
    <w:rsid w:val="00376A4D"/>
    <w:pPr>
      <w:tabs>
        <w:tab w:val="center" w:pos="4536"/>
        <w:tab w:val="right" w:pos="9072"/>
      </w:tabs>
    </w:pPr>
  </w:style>
  <w:style w:type="character" w:customStyle="1" w:styleId="ZpatChar">
    <w:name w:val="Zápatí Char"/>
    <w:basedOn w:val="Standardnpsmoodstavce"/>
    <w:link w:val="Zpat"/>
    <w:uiPriority w:val="99"/>
    <w:rsid w:val="00376A4D"/>
    <w:rPr>
      <w:rFonts w:ascii="Arial" w:eastAsia="Times New Roman" w:hAnsi="Arial" w:cs="Times New Roman"/>
      <w:sz w:val="24"/>
      <w:szCs w:val="24"/>
      <w:lang w:eastAsia="cs-CZ"/>
    </w:rPr>
  </w:style>
  <w:style w:type="character" w:styleId="Odkaznakoment">
    <w:name w:val="annotation reference"/>
    <w:basedOn w:val="Standardnpsmoodstavce"/>
    <w:uiPriority w:val="99"/>
    <w:semiHidden/>
    <w:unhideWhenUsed/>
    <w:rsid w:val="00A96439"/>
    <w:rPr>
      <w:sz w:val="16"/>
      <w:szCs w:val="16"/>
    </w:rPr>
  </w:style>
  <w:style w:type="paragraph" w:styleId="Textkomente">
    <w:name w:val="annotation text"/>
    <w:basedOn w:val="Normln"/>
    <w:link w:val="TextkomenteChar"/>
    <w:uiPriority w:val="99"/>
    <w:semiHidden/>
    <w:unhideWhenUsed/>
    <w:rsid w:val="00A96439"/>
    <w:rPr>
      <w:sz w:val="20"/>
      <w:szCs w:val="20"/>
    </w:rPr>
  </w:style>
  <w:style w:type="character" w:customStyle="1" w:styleId="TextkomenteChar">
    <w:name w:val="Text komentáře Char"/>
    <w:basedOn w:val="Standardnpsmoodstavce"/>
    <w:link w:val="Textkomente"/>
    <w:uiPriority w:val="99"/>
    <w:semiHidden/>
    <w:rsid w:val="00A9643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96439"/>
    <w:rPr>
      <w:b/>
      <w:bCs/>
    </w:rPr>
  </w:style>
  <w:style w:type="character" w:customStyle="1" w:styleId="PedmtkomenteChar">
    <w:name w:val="Předmět komentáře Char"/>
    <w:basedOn w:val="TextkomenteChar"/>
    <w:link w:val="Pedmtkomente"/>
    <w:uiPriority w:val="99"/>
    <w:semiHidden/>
    <w:rsid w:val="00A96439"/>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bert.sipek@cvu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an.kubin@cvut.cz" TargetMode="External"/><Relationship Id="rId12" Type="http://schemas.openxmlformats.org/officeDocument/2006/relationships/hyperlink" Target="mailto:vaclav.obadalek@am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ivanov@amu.cz" TargetMode="External"/><Relationship Id="Re21dd1bf77884eaa"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drich.vlcek@amu.cz" TargetMode="External"/><Relationship Id="rId4" Type="http://schemas.openxmlformats.org/officeDocument/2006/relationships/webSettings" Target="webSettings.xml"/><Relationship Id="rId9" Type="http://schemas.openxmlformats.org/officeDocument/2006/relationships/hyperlink" Target="mailto:marek.kalika@cvu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Words>
  <Characters>6550</Characters>
  <Application>Microsoft Office Word</Application>
  <DocSecurity>0</DocSecurity>
  <Lines>54</Lines>
  <Paragraphs>15</Paragraphs>
  <ScaleCrop>false</ScaleCrop>
  <Company>Akademie muzickych umeni v Praze</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LANGER</dc:creator>
  <cp:keywords/>
  <dc:description/>
  <cp:lastModifiedBy>Tomáš LANGER</cp:lastModifiedBy>
  <cp:revision>46</cp:revision>
  <dcterms:created xsi:type="dcterms:W3CDTF">2022-10-12T08:19:00Z</dcterms:created>
  <dcterms:modified xsi:type="dcterms:W3CDTF">2022-10-25T09:40:00Z</dcterms:modified>
</cp:coreProperties>
</file>