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r w:rsidR="001A4B8B">
        <w:rPr>
          <w:sz w:val="22"/>
          <w:szCs w:val="22"/>
        </w:rPr>
        <w:t>xxx</w:t>
      </w:r>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4F320C">
      <w:pPr>
        <w:pStyle w:val="Bezmezer"/>
        <w:tabs>
          <w:tab w:val="left" w:pos="3402"/>
        </w:tabs>
        <w:spacing w:after="0"/>
        <w:rPr>
          <w:rFonts w:cs="Arial"/>
          <w:bCs/>
          <w:sz w:val="22"/>
          <w:szCs w:val="22"/>
          <w:lang w:eastAsia="cs-CZ"/>
        </w:rPr>
      </w:pPr>
      <w:r w:rsidRPr="000308BA">
        <w:rPr>
          <w:rFonts w:cs="Arial"/>
          <w:bCs/>
          <w:sz w:val="22"/>
          <w:szCs w:val="22"/>
          <w:lang w:eastAsia="cs-CZ"/>
        </w:rPr>
        <w:t xml:space="preserve">ve věcech technických </w:t>
      </w:r>
      <w:r w:rsidR="004F320C">
        <w:rPr>
          <w:rFonts w:cs="Arial"/>
          <w:bCs/>
          <w:sz w:val="22"/>
          <w:szCs w:val="22"/>
          <w:lang w:eastAsia="cs-CZ"/>
        </w:rPr>
        <w:tab/>
      </w:r>
      <w:r w:rsidR="001A4B8B">
        <w:rPr>
          <w:rFonts w:cs="Arial"/>
          <w:bCs/>
          <w:sz w:val="22"/>
          <w:szCs w:val="22"/>
          <w:lang w:eastAsia="cs-CZ"/>
        </w:rPr>
        <w:t>xxx</w:t>
      </w:r>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997DEA" w:rsidRPr="00937130" w:rsidRDefault="007822C7" w:rsidP="00937130">
      <w:pPr>
        <w:pStyle w:val="Bezmezer"/>
        <w:numPr>
          <w:ilvl w:val="0"/>
          <w:numId w:val="49"/>
        </w:numPr>
        <w:rPr>
          <w:b/>
          <w:i/>
          <w:sz w:val="22"/>
          <w:szCs w:val="22"/>
        </w:rPr>
      </w:pPr>
      <w:r>
        <w:rPr>
          <w:b/>
          <w:i/>
          <w:sz w:val="22"/>
          <w:szCs w:val="22"/>
        </w:rPr>
        <w:t>Vojtěch Marčan</w:t>
      </w:r>
    </w:p>
    <w:p w:rsidR="00997DEA" w:rsidRPr="000308BA" w:rsidRDefault="00997DEA" w:rsidP="00C3190E">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r w:rsidR="007822C7">
        <w:rPr>
          <w:rFonts w:ascii="Cambria" w:hAnsi="Cambria"/>
        </w:rPr>
        <w:t>Na baště sv. Jiří 262/15, 160 00, Praha 6 - Hradčany</w:t>
      </w:r>
    </w:p>
    <w:p w:rsidR="00997DEA" w:rsidRPr="000308BA" w:rsidRDefault="00997DEA" w:rsidP="00C3190E">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sidR="007822C7">
        <w:rPr>
          <w:sz w:val="22"/>
          <w:szCs w:val="22"/>
        </w:rPr>
        <w:t>Vojtěch Marčan</w:t>
      </w:r>
    </w:p>
    <w:p w:rsidR="007101B1" w:rsidRPr="007101B1" w:rsidRDefault="00997DEA" w:rsidP="00C3190E">
      <w:pPr>
        <w:pStyle w:val="Bezmezer"/>
        <w:tabs>
          <w:tab w:val="left" w:pos="3402"/>
          <w:tab w:val="left" w:pos="3540"/>
          <w:tab w:val="left" w:pos="4020"/>
        </w:tabs>
        <w:spacing w:after="60" w:line="240" w:lineRule="auto"/>
        <w:rPr>
          <w:rFonts w:cs="Arial"/>
          <w:sz w:val="22"/>
          <w:szCs w:val="22"/>
          <w:shd w:val="clear" w:color="auto" w:fill="F8F8F8"/>
        </w:rPr>
      </w:pPr>
      <w:r w:rsidRPr="000308BA">
        <w:rPr>
          <w:sz w:val="22"/>
          <w:szCs w:val="22"/>
        </w:rPr>
        <w:t>e-mail:</w:t>
      </w:r>
      <w:r w:rsidRPr="000308BA">
        <w:rPr>
          <w:sz w:val="22"/>
          <w:szCs w:val="22"/>
        </w:rPr>
        <w:tab/>
      </w:r>
      <w:r w:rsidR="001A4B8B" w:rsidRPr="001A4B8B">
        <w:rPr>
          <w:rFonts w:cs="Arial"/>
          <w:sz w:val="22"/>
          <w:szCs w:val="22"/>
          <w:shd w:val="clear" w:color="auto" w:fill="F8F8F8"/>
        </w:rPr>
        <w:t>xxx</w:t>
      </w:r>
      <w:r w:rsidR="007101B1">
        <w:rPr>
          <w:rFonts w:cs="Arial"/>
          <w:sz w:val="22"/>
          <w:szCs w:val="22"/>
          <w:shd w:val="clear" w:color="auto" w:fill="F8F8F8"/>
        </w:rPr>
        <w:t xml:space="preserve"> </w:t>
      </w:r>
    </w:p>
    <w:p w:rsidR="00997DEA" w:rsidRPr="000308BA" w:rsidRDefault="00997DEA" w:rsidP="00C3190E">
      <w:pPr>
        <w:pStyle w:val="Bezmezer"/>
        <w:tabs>
          <w:tab w:val="left" w:pos="3402"/>
        </w:tabs>
        <w:spacing w:after="60" w:line="240" w:lineRule="auto"/>
        <w:rPr>
          <w:sz w:val="22"/>
          <w:szCs w:val="22"/>
        </w:rPr>
      </w:pPr>
      <w:r w:rsidRPr="000308BA">
        <w:rPr>
          <w:sz w:val="22"/>
          <w:szCs w:val="22"/>
        </w:rPr>
        <w:t>telefon:</w:t>
      </w:r>
      <w:r w:rsidRPr="000308BA">
        <w:rPr>
          <w:sz w:val="22"/>
          <w:szCs w:val="22"/>
        </w:rPr>
        <w:tab/>
      </w:r>
      <w:r w:rsidR="001A4B8B">
        <w:rPr>
          <w:sz w:val="22"/>
          <w:szCs w:val="22"/>
        </w:rPr>
        <w:t>xxx</w:t>
      </w:r>
    </w:p>
    <w:p w:rsidR="00945FC0" w:rsidRDefault="00456697" w:rsidP="00945FC0">
      <w:pPr>
        <w:pStyle w:val="Bezmezer"/>
        <w:tabs>
          <w:tab w:val="left" w:pos="3402"/>
        </w:tabs>
        <w:spacing w:after="60" w:line="240" w:lineRule="auto"/>
        <w:rPr>
          <w:sz w:val="22"/>
          <w:szCs w:val="22"/>
        </w:rPr>
      </w:pPr>
      <w:r w:rsidRPr="000308BA">
        <w:rPr>
          <w:sz w:val="22"/>
          <w:szCs w:val="22"/>
        </w:rPr>
        <w:t>zápis v OR</w:t>
      </w:r>
      <w:r w:rsidR="00997DEA" w:rsidRPr="000308BA">
        <w:rPr>
          <w:sz w:val="22"/>
          <w:szCs w:val="22"/>
        </w:rPr>
        <w:t>:</w:t>
      </w:r>
      <w:r w:rsidR="00997DEA" w:rsidRPr="000308BA">
        <w:rPr>
          <w:sz w:val="22"/>
          <w:szCs w:val="22"/>
        </w:rPr>
        <w:tab/>
      </w:r>
      <w:r w:rsidR="00945FC0">
        <w:rPr>
          <w:sz w:val="22"/>
          <w:szCs w:val="22"/>
        </w:rPr>
        <w:t>není plátce DPH</w:t>
      </w:r>
    </w:p>
    <w:p w:rsidR="00945FC0" w:rsidRDefault="00945FC0" w:rsidP="00945FC0">
      <w:pPr>
        <w:pStyle w:val="Bezmezer"/>
        <w:tabs>
          <w:tab w:val="left" w:pos="3402"/>
        </w:tabs>
        <w:spacing w:after="60" w:line="240" w:lineRule="auto"/>
        <w:rPr>
          <w:sz w:val="22"/>
          <w:szCs w:val="22"/>
          <w:shd w:val="clear" w:color="auto" w:fill="FFFF00"/>
        </w:rPr>
      </w:pPr>
      <w:r>
        <w:rPr>
          <w:sz w:val="22"/>
          <w:szCs w:val="22"/>
        </w:rPr>
        <w:t>IČO:</w:t>
      </w:r>
      <w:r>
        <w:rPr>
          <w:sz w:val="22"/>
          <w:szCs w:val="22"/>
        </w:rPr>
        <w:tab/>
        <w:t>71419993</w:t>
      </w:r>
    </w:p>
    <w:p w:rsidR="00945FC0" w:rsidRDefault="00945FC0" w:rsidP="00945FC0">
      <w:pPr>
        <w:pStyle w:val="Bezmezer"/>
        <w:tabs>
          <w:tab w:val="left" w:pos="3402"/>
        </w:tabs>
        <w:spacing w:after="60" w:line="240" w:lineRule="auto"/>
        <w:rPr>
          <w:sz w:val="22"/>
          <w:szCs w:val="22"/>
        </w:rPr>
      </w:pPr>
      <w:r>
        <w:rPr>
          <w:sz w:val="22"/>
          <w:szCs w:val="22"/>
        </w:rPr>
        <w:t>DIČ:</w:t>
      </w:r>
      <w:r>
        <w:rPr>
          <w:sz w:val="22"/>
          <w:szCs w:val="22"/>
        </w:rPr>
        <w:tab/>
        <w:t>není plátce DPH</w:t>
      </w:r>
    </w:p>
    <w:p w:rsidR="00791130" w:rsidRPr="00947A43" w:rsidRDefault="00945FC0" w:rsidP="00945FC0">
      <w:pPr>
        <w:pStyle w:val="Bezmezer"/>
        <w:tabs>
          <w:tab w:val="left" w:pos="3402"/>
        </w:tabs>
        <w:spacing w:after="60" w:line="240" w:lineRule="auto"/>
        <w:rPr>
          <w:sz w:val="22"/>
          <w:szCs w:val="22"/>
        </w:rPr>
      </w:pPr>
      <w:r>
        <w:rPr>
          <w:sz w:val="22"/>
          <w:szCs w:val="22"/>
        </w:rPr>
        <w:t>Bankovní spojení:</w:t>
      </w:r>
      <w:r>
        <w:rPr>
          <w:sz w:val="22"/>
          <w:szCs w:val="22"/>
        </w:rPr>
        <w:tab/>
      </w:r>
      <w:r w:rsidR="001A4B8B">
        <w:rPr>
          <w:sz w:val="22"/>
          <w:szCs w:val="22"/>
        </w:rPr>
        <w:t>xxx</w:t>
      </w:r>
    </w:p>
    <w:p w:rsidR="00997DEA" w:rsidRPr="000308BA" w:rsidRDefault="00791130" w:rsidP="00C3190E">
      <w:pPr>
        <w:pStyle w:val="Bezmezer"/>
        <w:tabs>
          <w:tab w:val="left" w:pos="3402"/>
        </w:tabs>
        <w:spacing w:after="60" w:line="240" w:lineRule="auto"/>
        <w:rPr>
          <w:sz w:val="22"/>
          <w:szCs w:val="22"/>
        </w:rPr>
      </w:pPr>
      <w:r w:rsidRPr="00947A43">
        <w:rPr>
          <w:sz w:val="22"/>
          <w:szCs w:val="22"/>
        </w:rPr>
        <w:t xml:space="preserve">                                       </w:t>
      </w:r>
      <w:r w:rsidR="00947A43">
        <w:rPr>
          <w:sz w:val="22"/>
          <w:szCs w:val="22"/>
        </w:rPr>
        <w:t xml:space="preserve">                            </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FE11B2" w:rsidRPr="000308BA" w:rsidRDefault="00997DEA" w:rsidP="00FE11B2">
      <w:pPr>
        <w:pStyle w:val="Bezmezer"/>
        <w:tabs>
          <w:tab w:val="left" w:pos="3402"/>
        </w:tabs>
        <w:rPr>
          <w:sz w:val="22"/>
          <w:szCs w:val="22"/>
        </w:rPr>
      </w:pPr>
      <w:r w:rsidRPr="000308BA">
        <w:rPr>
          <w:rFonts w:cs="Arial"/>
          <w:bCs/>
          <w:sz w:val="22"/>
          <w:szCs w:val="22"/>
          <w:lang w:eastAsia="cs-CZ"/>
        </w:rPr>
        <w:t>ve věcech technických:</w:t>
      </w:r>
      <w:r w:rsidRPr="000308BA">
        <w:rPr>
          <w:sz w:val="22"/>
          <w:szCs w:val="22"/>
        </w:rPr>
        <w:tab/>
      </w:r>
      <w:r w:rsidR="007822C7">
        <w:rPr>
          <w:sz w:val="22"/>
          <w:szCs w:val="22"/>
        </w:rPr>
        <w:t>Vojtěch Marčan</w:t>
      </w:r>
    </w:p>
    <w:p w:rsidR="00997DEA" w:rsidRPr="000308BA" w:rsidRDefault="00997DEA" w:rsidP="00FE11B2">
      <w:pPr>
        <w:pStyle w:val="Bezmezer"/>
        <w:tabs>
          <w:tab w:val="left" w:pos="3402"/>
        </w:tabs>
        <w:rPr>
          <w:sz w:val="22"/>
          <w:szCs w:val="22"/>
        </w:rPr>
      </w:pPr>
      <w:r w:rsidRPr="000308BA">
        <w:rPr>
          <w:sz w:val="22"/>
          <w:szCs w:val="22"/>
        </w:rPr>
        <w:t>(dle jen „</w:t>
      </w:r>
      <w:r w:rsidR="00EF61F4">
        <w:rPr>
          <w:sz w:val="22"/>
          <w:szCs w:val="22"/>
        </w:rPr>
        <w:t>Zhotovitel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8C6EC6">
        <w:rPr>
          <w:rFonts w:asciiTheme="majorHAnsi" w:hAnsiTheme="majorHAnsi"/>
          <w:b/>
        </w:rPr>
        <w:t xml:space="preserve"> – Anonym</w:t>
      </w:r>
      <w:r w:rsidR="008D6B2A">
        <w:rPr>
          <w:rFonts w:asciiTheme="majorHAnsi" w:hAnsiTheme="majorHAnsi"/>
          <w:b/>
        </w:rPr>
        <w:t>, stolový klavír</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2F1CC7"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0" w:name="_Hlk78279968"/>
      <w:r w:rsidR="00FB3E1E" w:rsidRPr="00914534">
        <w:rPr>
          <w:rFonts w:asciiTheme="majorHAnsi" w:hAnsiTheme="majorHAnsi"/>
          <w:b/>
          <w:bCs/>
        </w:rPr>
        <w:t>MZM – zámek Jevišovice – vybudování expozice</w:t>
      </w:r>
      <w:bookmarkEnd w:id="0"/>
      <w:r w:rsidR="00FB3E1E">
        <w:rPr>
          <w:rFonts w:asciiTheme="majorHAnsi" w:hAnsiTheme="majorHAnsi"/>
        </w:rPr>
        <w:t>“ dle zadávacího řízení s názvem</w:t>
      </w:r>
      <w:r w:rsidR="00FB3E1E" w:rsidRPr="00FB3E1E">
        <w:rPr>
          <w:rFonts w:asciiTheme="majorHAnsi" w:hAnsiTheme="majorHAnsi"/>
        </w:rPr>
        <w:t xml:space="preserve"> </w:t>
      </w:r>
      <w:r w:rsidR="00FB3E1E" w:rsidRPr="00B87A22">
        <w:rPr>
          <w:rFonts w:asciiTheme="majorHAnsi" w:hAnsiTheme="majorHAnsi"/>
          <w:b/>
        </w:rPr>
        <w:t>„</w:t>
      </w:r>
      <w:r w:rsidR="0091289E" w:rsidRPr="00B87A22">
        <w:rPr>
          <w:rFonts w:asciiTheme="majorHAnsi" w:hAnsiTheme="majorHAnsi"/>
          <w:b/>
        </w:rPr>
        <w:t xml:space="preserve">SZ Jevišovice – restaurování </w:t>
      </w:r>
      <w:r w:rsidR="003A3860" w:rsidRPr="00B87A22">
        <w:rPr>
          <w:rFonts w:ascii="Cambria" w:hAnsi="Cambria"/>
          <w:b/>
        </w:rPr>
        <w:t xml:space="preserve">klávesových </w:t>
      </w:r>
      <w:r w:rsidR="0091289E" w:rsidRPr="00B87A22">
        <w:rPr>
          <w:rFonts w:asciiTheme="majorHAnsi" w:hAnsiTheme="majorHAnsi"/>
          <w:b/>
        </w:rPr>
        <w:t>hudebních nástrojů</w:t>
      </w:r>
      <w:r w:rsidR="007001CA" w:rsidRPr="00B87A22">
        <w:rPr>
          <w:rFonts w:asciiTheme="majorHAnsi" w:hAnsiTheme="majorHAnsi"/>
          <w:b/>
        </w:rPr>
        <w:t xml:space="preserve"> – JŘBU</w:t>
      </w:r>
      <w:r w:rsidR="00C6462A" w:rsidRPr="00B87A22">
        <w:rPr>
          <w:rFonts w:asciiTheme="majorHAnsi" w:hAnsiTheme="majorHAnsi"/>
          <w:b/>
        </w:rPr>
        <w:t>“.</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441D0A">
        <w:rPr>
          <w:rFonts w:asciiTheme="majorHAnsi" w:hAnsiTheme="majorHAnsi"/>
        </w:rPr>
        <w:t>:</w:t>
      </w:r>
      <w:r w:rsidR="000812CA">
        <w:rPr>
          <w:rFonts w:asciiTheme="majorHAnsi" w:hAnsiTheme="majorHAnsi"/>
        </w:rPr>
        <w:t xml:space="preserve"> </w:t>
      </w:r>
      <w:r w:rsidR="00BD119E">
        <w:rPr>
          <w:rFonts w:asciiTheme="majorHAnsi" w:hAnsiTheme="majorHAnsi"/>
          <w:b/>
        </w:rPr>
        <w:t>Anonym</w:t>
      </w:r>
      <w:r w:rsidR="000D0636">
        <w:rPr>
          <w:rFonts w:asciiTheme="majorHAnsi" w:hAnsiTheme="majorHAnsi"/>
          <w:b/>
        </w:rPr>
        <w:t>,</w:t>
      </w:r>
      <w:r w:rsidR="00BD119E">
        <w:rPr>
          <w:rFonts w:asciiTheme="majorHAnsi" w:hAnsiTheme="majorHAnsi"/>
          <w:b/>
        </w:rPr>
        <w:t xml:space="preserve"> stolový klavír, signatura E 511</w:t>
      </w:r>
      <w:r w:rsidR="00971E19" w:rsidRPr="002F1CC7">
        <w:rPr>
          <w:rFonts w:asciiTheme="majorHAnsi" w:hAnsiTheme="majorHAnsi"/>
          <w:b/>
        </w:rPr>
        <w:t>.</w:t>
      </w:r>
      <w:r w:rsidR="00C6462A" w:rsidRPr="002F1CC7">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5B0673" w:rsidRDefault="00875542" w:rsidP="005B0673">
      <w:pPr>
        <w:pStyle w:val="Odstavecseseznamem"/>
        <w:numPr>
          <w:ilvl w:val="0"/>
          <w:numId w:val="36"/>
        </w:numPr>
        <w:ind w:left="142" w:firstLine="0"/>
        <w:jc w:val="both"/>
        <w:rPr>
          <w:rFonts w:asciiTheme="majorHAnsi" w:hAnsiTheme="majorHAnsi"/>
          <w:b/>
          <w:bCs/>
        </w:rPr>
      </w:pPr>
      <w:bookmarkStart w:id="1" w:name="_Hlk114561854"/>
      <w:r>
        <w:rPr>
          <w:rFonts w:asciiTheme="majorHAnsi" w:hAnsiTheme="majorHAnsi"/>
          <w:b/>
          <w:bCs/>
        </w:rPr>
        <w:t xml:space="preserve">Zhotovitel se dále zavazuje ke zrestaurování předmětu smlouvy řádně z pohledu vizuální stránky, a to v souladu s </w:t>
      </w:r>
      <w:r w:rsidR="003F12AC">
        <w:rPr>
          <w:rFonts w:asciiTheme="majorHAnsi" w:hAnsiTheme="majorHAnsi"/>
          <w:b/>
          <w:bCs/>
        </w:rPr>
        <w:t>dokumentem</w:t>
      </w:r>
      <w:r>
        <w:rPr>
          <w:rFonts w:asciiTheme="majorHAnsi" w:hAnsiTheme="majorHAnsi"/>
          <w:b/>
          <w:bCs/>
        </w:rPr>
        <w:t xml:space="preserve"> „</w:t>
      </w:r>
      <w:r w:rsidR="00C30CAF">
        <w:rPr>
          <w:rFonts w:asciiTheme="majorHAnsi" w:hAnsiTheme="majorHAnsi"/>
          <w:b/>
          <w:bCs/>
        </w:rPr>
        <w:t>Záměr II</w:t>
      </w:r>
      <w:r w:rsidR="00D76E92">
        <w:rPr>
          <w:rFonts w:asciiTheme="majorHAnsi" w:hAnsiTheme="majorHAnsi"/>
          <w:b/>
          <w:bCs/>
        </w:rPr>
        <w:t>“, který</w:t>
      </w:r>
      <w:r>
        <w:rPr>
          <w:rFonts w:asciiTheme="majorHAnsi" w:hAnsiTheme="majorHAnsi"/>
          <w:b/>
          <w:bCs/>
        </w:rPr>
        <w:t xml:space="preserve"> je součástí zadávacích podmín</w:t>
      </w:r>
      <w:r w:rsidR="00FA275F">
        <w:rPr>
          <w:rFonts w:asciiTheme="majorHAnsi" w:hAnsiTheme="majorHAnsi"/>
          <w:b/>
          <w:bCs/>
        </w:rPr>
        <w:t>ek tvořících přílohu č. 3 této S</w:t>
      </w:r>
      <w:r>
        <w:rPr>
          <w:rFonts w:asciiTheme="majorHAnsi" w:hAnsiTheme="majorHAnsi"/>
          <w:b/>
          <w:bCs/>
        </w:rPr>
        <w:t>mlouvy</w:t>
      </w:r>
      <w:r w:rsidR="005B0673">
        <w:rPr>
          <w:rFonts w:asciiTheme="majorHAnsi" w:hAnsiTheme="majorHAnsi"/>
          <w:b/>
          <w:bCs/>
        </w:rPr>
        <w:t xml:space="preserve">. </w:t>
      </w:r>
    </w:p>
    <w:bookmarkEnd w:id="1"/>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lastRenderedPageBreak/>
        <w:t>Předmětem této smlouvy je taktéž případné provedení nebo 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flash disc)</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lastRenderedPageBreak/>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444C85"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w:t>
      </w:r>
      <w:r w:rsidRPr="00444C85">
        <w:rPr>
          <w:rFonts w:cs="Arial"/>
          <w:sz w:val="22"/>
          <w:szCs w:val="22"/>
        </w:rPr>
        <w:t xml:space="preserve">na základě </w:t>
      </w:r>
      <w:r w:rsidR="00E276D3" w:rsidRPr="00444C85">
        <w:rPr>
          <w:rFonts w:cs="Arial"/>
          <w:sz w:val="22"/>
          <w:szCs w:val="22"/>
        </w:rPr>
        <w:t xml:space="preserve">zadávacích podmínek stanovených </w:t>
      </w:r>
      <w:r w:rsidRPr="00444C85">
        <w:rPr>
          <w:rFonts w:cs="Arial"/>
          <w:sz w:val="22"/>
          <w:szCs w:val="22"/>
        </w:rPr>
        <w:t>Objednatelem a činí celkem:</w:t>
      </w:r>
    </w:p>
    <w:p w:rsidR="00243E8F" w:rsidRPr="00444C85" w:rsidRDefault="00243E8F" w:rsidP="00243E8F">
      <w:pPr>
        <w:jc w:val="both"/>
        <w:rPr>
          <w:rFonts w:ascii="Cambria" w:hAnsi="Cambria" w:cs="Arial"/>
          <w:b/>
        </w:rPr>
      </w:pPr>
      <w:r w:rsidRPr="00444C85">
        <w:rPr>
          <w:rFonts w:ascii="Cambria" w:hAnsi="Cambria" w:cs="Arial"/>
          <w:b/>
        </w:rPr>
        <w:t>Cena bez DPH</w:t>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00AF403B" w:rsidRPr="00444C85">
        <w:rPr>
          <w:rFonts w:ascii="Cambria" w:hAnsi="Cambria" w:cs="Arial"/>
          <w:b/>
        </w:rPr>
        <w:tab/>
      </w:r>
      <w:r w:rsidRPr="00444C85">
        <w:rPr>
          <w:rFonts w:ascii="Cambria" w:hAnsi="Cambria" w:cs="Arial"/>
          <w:b/>
        </w:rPr>
        <w:tab/>
      </w:r>
      <w:r w:rsidR="00444C85" w:rsidRPr="00444C85">
        <w:rPr>
          <w:rFonts w:ascii="Cambria" w:hAnsi="Cambria" w:cs="Arial"/>
          <w:b/>
        </w:rPr>
        <w:t>7.000</w:t>
      </w:r>
      <w:r w:rsidRPr="00444C85">
        <w:rPr>
          <w:rFonts w:ascii="Cambria" w:hAnsi="Cambria" w:cs="Arial"/>
          <w:b/>
        </w:rPr>
        <w:t>,- Kč</w:t>
      </w:r>
    </w:p>
    <w:p w:rsidR="00243E8F" w:rsidRPr="00444C85" w:rsidRDefault="00243E8F" w:rsidP="00243E8F">
      <w:pPr>
        <w:jc w:val="both"/>
        <w:rPr>
          <w:rFonts w:ascii="Cambria" w:hAnsi="Cambria" w:cs="Arial"/>
          <w:b/>
          <w:u w:val="single"/>
        </w:rPr>
      </w:pPr>
      <w:r w:rsidRPr="00444C85">
        <w:rPr>
          <w:rFonts w:ascii="Cambria" w:hAnsi="Cambria" w:cs="Arial"/>
          <w:b/>
        </w:rPr>
        <w:lastRenderedPageBreak/>
        <w:t>DPH</w:t>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00444C85" w:rsidRPr="00444C85">
        <w:rPr>
          <w:rFonts w:ascii="Cambria" w:hAnsi="Cambria" w:cs="Arial"/>
          <w:b/>
        </w:rPr>
        <w:t>0</w:t>
      </w:r>
      <w:r w:rsidRPr="00444C85">
        <w:rPr>
          <w:rFonts w:ascii="Cambria" w:hAnsi="Cambria" w:cs="Arial"/>
          <w:b/>
        </w:rPr>
        <w:t>,- Kč</w:t>
      </w:r>
    </w:p>
    <w:p w:rsidR="00243E8F" w:rsidRPr="000308BA" w:rsidRDefault="00243E8F" w:rsidP="00243E8F">
      <w:pPr>
        <w:jc w:val="both"/>
        <w:rPr>
          <w:rFonts w:ascii="Cambria" w:hAnsi="Cambria" w:cs="Arial"/>
          <w:b/>
        </w:rPr>
      </w:pPr>
      <w:r w:rsidRPr="00444C85">
        <w:rPr>
          <w:rFonts w:ascii="Cambria" w:hAnsi="Cambria" w:cs="Arial"/>
          <w:b/>
        </w:rPr>
        <w:t>Cena včetně DPH</w:t>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Pr="00444C85">
        <w:rPr>
          <w:rFonts w:ascii="Cambria" w:hAnsi="Cambria" w:cs="Arial"/>
          <w:b/>
        </w:rPr>
        <w:tab/>
      </w:r>
      <w:r w:rsidR="00444C85" w:rsidRPr="00444C85">
        <w:rPr>
          <w:rFonts w:ascii="Cambria" w:hAnsi="Cambria" w:cs="Arial"/>
          <w:b/>
        </w:rPr>
        <w:t>7.000</w:t>
      </w:r>
      <w:r w:rsidRPr="00444C85">
        <w:rPr>
          <w:rFonts w:ascii="Cambria" w:hAnsi="Cambria" w:cs="Arial"/>
          <w:b/>
        </w:rPr>
        <w:t>,- Kč</w:t>
      </w:r>
    </w:p>
    <w:p w:rsidR="00243E8F" w:rsidRPr="000308BA" w:rsidRDefault="00243E8F" w:rsidP="00243E8F">
      <w:pPr>
        <w:pStyle w:val="Nadpis2"/>
        <w:numPr>
          <w:ilvl w:val="0"/>
          <w:numId w:val="0"/>
        </w:numPr>
        <w:rPr>
          <w:sz w:val="22"/>
          <w:szCs w:val="22"/>
        </w:rPr>
      </w:pPr>
      <w:r w:rsidRPr="000308BA">
        <w:rPr>
          <w:sz w:val="22"/>
          <w:szCs w:val="22"/>
        </w:rPr>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032C41" w:rsidRDefault="00032C41" w:rsidP="00032C41">
      <w:pPr>
        <w:pStyle w:val="Nadpis2"/>
        <w:numPr>
          <w:ilvl w:val="1"/>
          <w:numId w:val="50"/>
        </w:numPr>
        <w:tabs>
          <w:tab w:val="left" w:pos="0"/>
        </w:tabs>
        <w:ind w:left="0"/>
        <w:rPr>
          <w:sz w:val="22"/>
          <w:szCs w:val="22"/>
        </w:rPr>
      </w:pPr>
      <w:bookmarkStart w:id="2" w:name="_Hlk114564312"/>
      <w:r>
        <w:rPr>
          <w:sz w:val="22"/>
          <w:szCs w:val="22"/>
        </w:rPr>
        <w:t xml:space="preserve">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 </w:t>
      </w:r>
    </w:p>
    <w:bookmarkEnd w:id="2"/>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w:t>
      </w:r>
      <w:r w:rsidR="00A6135A" w:rsidRPr="002807B9">
        <w:rPr>
          <w:rFonts w:ascii="Cambria" w:hAnsi="Cambria"/>
        </w:rPr>
        <w:lastRenderedPageBreak/>
        <w:t>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r w:rsidR="001A4B8B">
        <w:rPr>
          <w:rFonts w:ascii="Cambria" w:hAnsi="Cambria"/>
          <w:b/>
          <w:bCs/>
        </w:rPr>
        <w:t>xxx</w:t>
      </w:r>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w:t>
      </w:r>
      <w:r w:rsidR="00926161" w:rsidRPr="000308BA">
        <w:rPr>
          <w:sz w:val="22"/>
          <w:szCs w:val="22"/>
        </w:rPr>
        <w:lastRenderedPageBreak/>
        <w:t>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051092" w:rsidRDefault="00051092">
      <w:pPr>
        <w:rPr>
          <w:rFonts w:ascii="Cambria" w:hAnsi="Cambria"/>
          <w:b/>
          <w:sz w:val="24"/>
          <w:szCs w:val="28"/>
        </w:rPr>
      </w:pPr>
      <w:r>
        <w:br w:type="page"/>
      </w:r>
    </w:p>
    <w:p w:rsidR="005B0B70" w:rsidRPr="000308BA" w:rsidRDefault="005B0B70" w:rsidP="007E49E8">
      <w:pPr>
        <w:pStyle w:val="Nadpis1"/>
      </w:pPr>
      <w:r w:rsidRPr="000308BA">
        <w:lastRenderedPageBreak/>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lastRenderedPageBreak/>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lastRenderedPageBreak/>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lastRenderedPageBreak/>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3" w:name="_Hlk79656127"/>
      <w:r w:rsidR="00AD5C78" w:rsidRPr="00296924">
        <w:rPr>
          <w:sz w:val="22"/>
          <w:szCs w:val="22"/>
        </w:rPr>
        <w:t>minimální výši</w:t>
      </w:r>
      <w:r w:rsidR="00FC525A" w:rsidRPr="00296924">
        <w:rPr>
          <w:sz w:val="22"/>
          <w:szCs w:val="22"/>
        </w:rPr>
        <w:t xml:space="preserve"> hodnoty předmětu díla</w:t>
      </w:r>
      <w:r w:rsidR="006160CF">
        <w:rPr>
          <w:sz w:val="22"/>
          <w:szCs w:val="22"/>
        </w:rPr>
        <w:t xml:space="preserve"> dle přílohy č. 5</w:t>
      </w:r>
      <w:r w:rsidR="009F66BA" w:rsidRPr="00296924">
        <w:rPr>
          <w:sz w:val="22"/>
          <w:szCs w:val="22"/>
        </w:rPr>
        <w:t xml:space="preserve"> </w:t>
      </w:r>
      <w:r w:rsidR="00B50E5C">
        <w:rPr>
          <w:sz w:val="22"/>
          <w:szCs w:val="22"/>
        </w:rPr>
        <w:t>„</w:t>
      </w:r>
      <w:r w:rsidR="00296924" w:rsidRPr="00296924">
        <w:rPr>
          <w:sz w:val="22"/>
          <w:szCs w:val="22"/>
        </w:rPr>
        <w:t>Pojistná hodnota nástrojů</w:t>
      </w:r>
      <w:r w:rsidR="00B50E5C">
        <w:rPr>
          <w:sz w:val="22"/>
          <w:szCs w:val="22"/>
        </w:rPr>
        <w:t>“</w:t>
      </w:r>
      <w:bookmarkEnd w:id="3"/>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00D8279E">
        <w:rPr>
          <w:b/>
          <w:sz w:val="22"/>
          <w:szCs w:val="22"/>
        </w:rPr>
        <w:t xml:space="preserve"> - JŘBU</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lastRenderedPageBreak/>
        <w:t>Ustanovení § 1800 občanského zákoníku se nepoužije.</w:t>
      </w:r>
    </w:p>
    <w:p w:rsidR="00CA1EF6" w:rsidRPr="000308BA" w:rsidRDefault="00CA1EF6" w:rsidP="00B907D1">
      <w:pPr>
        <w:pStyle w:val="Nadpis1"/>
      </w:pPr>
      <w:r w:rsidRPr="000308BA">
        <w:t>Závěrečná ustanovení</w:t>
      </w:r>
    </w:p>
    <w:p w:rsidR="00CA1EF6" w:rsidRPr="000308BA" w:rsidRDefault="00EB08C4" w:rsidP="00B13F6E">
      <w:pPr>
        <w:pStyle w:val="Nadpis2"/>
        <w:numPr>
          <w:ilvl w:val="1"/>
          <w:numId w:val="23"/>
        </w:numPr>
        <w:ind w:left="0"/>
        <w:rPr>
          <w:sz w:val="22"/>
          <w:szCs w:val="22"/>
        </w:rPr>
      </w:pPr>
      <w:r w:rsidRPr="00472B06">
        <w:rPr>
          <w:sz w:val="22"/>
          <w:szCs w:val="22"/>
        </w:rPr>
        <w:t xml:space="preserve">Tato smlouva nabývá platnosti a účinnosti dnem podpisu smlouvy oběma smluvními stranami. V případě, že dle zákona č. 340/2015 Sb., o zvláštních podmínkách účinnosti některých smluv, uveřejňování těchto smluv a o registru smluv (dále jen zákon), vznikla povinnost uveřejnit tuto smlouvu v Registru smluv, nabývá tato smlouva účinnosti až zveřejněním v uvedeném registru. </w:t>
      </w:r>
      <w:r>
        <w:rPr>
          <w:sz w:val="22"/>
          <w:szCs w:val="22"/>
        </w:rPr>
        <w:t>Objednatel</w:t>
      </w:r>
      <w:r w:rsidRPr="00472B06">
        <w:rPr>
          <w:sz w:val="22"/>
          <w:szCs w:val="22"/>
        </w:rPr>
        <w:t xml:space="preserve"> se v takovém případě zavazuje neprodleně po uzavření této smlouvy elektronický obraz textového obsahu této smlouvy v otevřeném a strojově čitelném formátu včetně metadat podle ustanovení § 5 odst. 5 zákona zveřejnit v registru smluv vyjma důvěrných informací ve smyslu § 9 odst. 1 písm. a) zákona č. 122/2000 Sb., o ochraně sbírkových předmětů, tedy vyjma informací, které by mohly ohrozit předmět výpůjčky nebo být návodné ke krádeži, vloupání či jinému útoku proti tomuto majetku</w:t>
      </w:r>
      <w:r w:rsidR="00CA1EF6" w:rsidRPr="000308BA">
        <w:rPr>
          <w:sz w:val="22"/>
          <w:szCs w:val="22"/>
        </w:rPr>
        <w:t xml:space="preserve">. </w:t>
      </w:r>
    </w:p>
    <w:p w:rsidR="00CA1EF6" w:rsidRPr="000308BA" w:rsidRDefault="00CA1EF6" w:rsidP="00CA1EF6">
      <w:pPr>
        <w:pStyle w:val="Nadpis2"/>
        <w:ind w:left="0"/>
        <w:rPr>
          <w:sz w:val="22"/>
          <w:szCs w:val="22"/>
        </w:rPr>
      </w:pPr>
      <w:r w:rsidRPr="000308BA">
        <w:rPr>
          <w:sz w:val="22"/>
          <w:szCs w:val="22"/>
        </w:rPr>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w:t>
      </w:r>
      <w:r w:rsidR="004C0A62">
        <w:rPr>
          <w:rFonts w:ascii="Cambria" w:hAnsi="Cambria"/>
          <w:b/>
        </w:rPr>
        <w:t>–</w:t>
      </w:r>
      <w:r w:rsidR="003D05B1">
        <w:rPr>
          <w:rFonts w:ascii="Cambria" w:hAnsi="Cambria"/>
          <w:b/>
        </w:rPr>
        <w:t xml:space="preserve"> JŘBU</w:t>
      </w:r>
      <w:r w:rsidR="00483C6E">
        <w:rPr>
          <w:rFonts w:ascii="Cambria" w:hAnsi="Cambria"/>
          <w:b/>
        </w:rPr>
        <w:t xml:space="preserve"> – Anonym</w:t>
      </w:r>
      <w:r w:rsidR="00752F57">
        <w:rPr>
          <w:rFonts w:ascii="Cambria" w:hAnsi="Cambria"/>
          <w:b/>
        </w:rPr>
        <w:t>, stolový klavír</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1A4B8B" w:rsidP="001A4B8B">
      <w:pPr>
        <w:tabs>
          <w:tab w:val="left" w:pos="5387"/>
        </w:tabs>
        <w:jc w:val="both"/>
        <w:rPr>
          <w:rFonts w:ascii="Cambria" w:hAnsi="Cambria"/>
        </w:rPr>
      </w:pPr>
      <w:r>
        <w:rPr>
          <w:rFonts w:ascii="Cambria" w:hAnsi="Cambria"/>
        </w:rPr>
        <w:t>V Brně, dne 21. 10. 2022</w:t>
      </w:r>
      <w:r w:rsidR="00AD5C78" w:rsidRPr="000308BA">
        <w:rPr>
          <w:rFonts w:ascii="Cambria" w:hAnsi="Cambria"/>
        </w:rPr>
        <w:tab/>
      </w:r>
      <w:bookmarkStart w:id="4" w:name="_GoBack"/>
      <w:bookmarkEnd w:id="4"/>
      <w:r>
        <w:rPr>
          <w:rFonts w:ascii="Cambria" w:hAnsi="Cambria"/>
        </w:rPr>
        <w:t>V Brně, dne 21. 10. 2022</w:t>
      </w:r>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B17960">
        <w:rPr>
          <w:b/>
          <w:sz w:val="22"/>
          <w:szCs w:val="22"/>
        </w:rPr>
        <w:t>Vojtěch Marčan</w:t>
      </w:r>
      <w:r w:rsidR="003C052B" w:rsidRPr="000308BA">
        <w:rPr>
          <w:b/>
          <w:sz w:val="22"/>
          <w:szCs w:val="22"/>
        </w:rPr>
        <w:tab/>
      </w:r>
    </w:p>
    <w:p w:rsidR="00B63C68" w:rsidRPr="00A86D90" w:rsidRDefault="001A4B8B" w:rsidP="00A86D90">
      <w:pPr>
        <w:tabs>
          <w:tab w:val="left" w:pos="5387"/>
        </w:tabs>
        <w:spacing w:after="0" w:line="240" w:lineRule="auto"/>
        <w:rPr>
          <w:rFonts w:ascii="Cambria" w:hAnsi="Cambria"/>
          <w:b/>
          <w:shd w:val="clear" w:color="auto" w:fill="FFFF00"/>
        </w:rPr>
      </w:pPr>
      <w:r>
        <w:rPr>
          <w:rFonts w:ascii="Cambria" w:hAnsi="Cambria"/>
        </w:rPr>
        <w:t>xxx</w:t>
      </w:r>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A3" w:rsidRDefault="00A859A3" w:rsidP="00DB61AD">
      <w:pPr>
        <w:spacing w:after="0" w:line="240" w:lineRule="auto"/>
      </w:pPr>
      <w:r>
        <w:separator/>
      </w:r>
    </w:p>
  </w:endnote>
  <w:endnote w:type="continuationSeparator" w:id="0">
    <w:p w:rsidR="00A859A3" w:rsidRDefault="00A859A3"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DF54FC">
        <w:pPr>
          <w:pStyle w:val="Zpat"/>
          <w:jc w:val="center"/>
        </w:pPr>
        <w:r>
          <w:fldChar w:fldCharType="begin"/>
        </w:r>
        <w:r w:rsidR="005B0673">
          <w:instrText xml:space="preserve"> PAGE   \* MERGEFORMAT </w:instrText>
        </w:r>
        <w:r>
          <w:fldChar w:fldCharType="separate"/>
        </w:r>
        <w:r w:rsidR="001A4B8B">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A3" w:rsidRDefault="00A859A3" w:rsidP="00DB61AD">
      <w:pPr>
        <w:spacing w:after="0" w:line="240" w:lineRule="auto"/>
      </w:pPr>
      <w:r>
        <w:separator/>
      </w:r>
    </w:p>
  </w:footnote>
  <w:footnote w:type="continuationSeparator" w:id="0">
    <w:p w:rsidR="00A859A3" w:rsidRDefault="00A859A3"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0C4520C"/>
    <w:multiLevelType w:val="multilevel"/>
    <w:tmpl w:val="E6AC0100"/>
    <w:lvl w:ilvl="0">
      <w:start w:val="6"/>
      <w:numFmt w:val="decimal"/>
      <w:lvlText w:val="%1."/>
      <w:lvlJc w:val="left"/>
      <w:pPr>
        <w:ind w:left="720" w:firstLine="0"/>
      </w:pPr>
    </w:lvl>
    <w:lvl w:ilvl="1">
      <w:start w:val="1"/>
      <w:numFmt w:val="decimal"/>
      <w:lvlText w:val="%2."/>
      <w:lvlJc w:val="left"/>
      <w:pPr>
        <w:ind w:left="1277" w:firstLine="0"/>
      </w:pPr>
      <w:rPr>
        <w:b/>
      </w:rPr>
    </w:lvl>
    <w:lvl w:ilvl="2">
      <w:start w:val="1"/>
      <w:numFmt w:val="lowerLetter"/>
      <w:lvlText w:val="%3)"/>
      <w:lvlJc w:val="left"/>
      <w:pPr>
        <w:ind w:left="2160" w:firstLine="0"/>
      </w:pPr>
      <w:rPr>
        <w:b w:val="0"/>
      </w:rPr>
    </w:lvl>
    <w:lvl w:ilvl="3">
      <w:start w:val="1"/>
      <w:numFmt w:val="lowerRoman"/>
      <w:lvlText w:val="%4)"/>
      <w:lvlJc w:val="left"/>
      <w:pPr>
        <w:ind w:left="2880" w:firstLine="0"/>
      </w:pPr>
      <w:rPr>
        <w:rFonts w:cs="Times New Roman"/>
        <w:b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8"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3"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4"/>
  </w:num>
  <w:num w:numId="27">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23"/>
  </w:num>
  <w:num w:numId="35">
    <w:abstractNumId w:val="5"/>
  </w:num>
  <w:num w:numId="36">
    <w:abstractNumId w:val="17"/>
  </w:num>
  <w:num w:numId="37">
    <w:abstractNumId w:val="9"/>
  </w:num>
  <w:num w:numId="38">
    <w:abstractNumId w:val="21"/>
  </w:num>
  <w:num w:numId="39">
    <w:abstractNumId w:val="7"/>
  </w:num>
  <w:num w:numId="40">
    <w:abstractNumId w:val="16"/>
  </w:num>
  <w:num w:numId="41">
    <w:abstractNumId w:val="7"/>
  </w:num>
  <w:num w:numId="42">
    <w:abstractNumId w:val="7"/>
  </w:num>
  <w:num w:numId="43">
    <w:abstractNumId w:val="20"/>
  </w:num>
  <w:num w:numId="44">
    <w:abstractNumId w:val="12"/>
  </w:num>
  <w:num w:numId="45">
    <w:abstractNumId w:val="10"/>
  </w:num>
  <w:num w:numId="46">
    <w:abstractNumId w:val="3"/>
  </w:num>
  <w:num w:numId="47">
    <w:abstractNumId w:val="11"/>
  </w:num>
  <w:num w:numId="48">
    <w:abstractNumId w:val="2"/>
  </w:num>
  <w:num w:numId="49">
    <w:abstractNumId w:val="1"/>
  </w:num>
  <w:num w:numId="5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90B"/>
    <w:rsid w:val="00006707"/>
    <w:rsid w:val="00007544"/>
    <w:rsid w:val="00007A7B"/>
    <w:rsid w:val="0001539A"/>
    <w:rsid w:val="00016D68"/>
    <w:rsid w:val="00017B85"/>
    <w:rsid w:val="00020279"/>
    <w:rsid w:val="000308BA"/>
    <w:rsid w:val="00032599"/>
    <w:rsid w:val="00032C41"/>
    <w:rsid w:val="0003747D"/>
    <w:rsid w:val="0005018D"/>
    <w:rsid w:val="00051092"/>
    <w:rsid w:val="00054B4F"/>
    <w:rsid w:val="00062BF3"/>
    <w:rsid w:val="00063C9E"/>
    <w:rsid w:val="0007385D"/>
    <w:rsid w:val="00073AA0"/>
    <w:rsid w:val="000812CA"/>
    <w:rsid w:val="0008681C"/>
    <w:rsid w:val="00091753"/>
    <w:rsid w:val="00093E60"/>
    <w:rsid w:val="00094C11"/>
    <w:rsid w:val="000A0860"/>
    <w:rsid w:val="000A2057"/>
    <w:rsid w:val="000A51E6"/>
    <w:rsid w:val="000B2746"/>
    <w:rsid w:val="000B5D3C"/>
    <w:rsid w:val="000D0250"/>
    <w:rsid w:val="000D0636"/>
    <w:rsid w:val="000E6C17"/>
    <w:rsid w:val="000F0CDF"/>
    <w:rsid w:val="000F2A7D"/>
    <w:rsid w:val="001007D8"/>
    <w:rsid w:val="00101264"/>
    <w:rsid w:val="00104DEB"/>
    <w:rsid w:val="001106BE"/>
    <w:rsid w:val="001146C0"/>
    <w:rsid w:val="00117046"/>
    <w:rsid w:val="0013302D"/>
    <w:rsid w:val="00134295"/>
    <w:rsid w:val="0013611D"/>
    <w:rsid w:val="00136265"/>
    <w:rsid w:val="00140583"/>
    <w:rsid w:val="001415D9"/>
    <w:rsid w:val="001456F2"/>
    <w:rsid w:val="0015707C"/>
    <w:rsid w:val="00160F99"/>
    <w:rsid w:val="00162EDF"/>
    <w:rsid w:val="001652DE"/>
    <w:rsid w:val="0018099D"/>
    <w:rsid w:val="00195668"/>
    <w:rsid w:val="001A4B8B"/>
    <w:rsid w:val="001A5EE9"/>
    <w:rsid w:val="001B1240"/>
    <w:rsid w:val="001B2919"/>
    <w:rsid w:val="001B692F"/>
    <w:rsid w:val="001B7B07"/>
    <w:rsid w:val="001C05CD"/>
    <w:rsid w:val="001C099A"/>
    <w:rsid w:val="001C5749"/>
    <w:rsid w:val="001D6D1A"/>
    <w:rsid w:val="001E208B"/>
    <w:rsid w:val="001E281B"/>
    <w:rsid w:val="001E3160"/>
    <w:rsid w:val="001E3EFF"/>
    <w:rsid w:val="001F1768"/>
    <w:rsid w:val="001F34DB"/>
    <w:rsid w:val="001F5FFE"/>
    <w:rsid w:val="001F7424"/>
    <w:rsid w:val="00203E09"/>
    <w:rsid w:val="00217731"/>
    <w:rsid w:val="0022493E"/>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1CC7"/>
    <w:rsid w:val="002F490B"/>
    <w:rsid w:val="0030420F"/>
    <w:rsid w:val="00306A6C"/>
    <w:rsid w:val="0032196D"/>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0134"/>
    <w:rsid w:val="003F12AC"/>
    <w:rsid w:val="003F1A91"/>
    <w:rsid w:val="003F2FF2"/>
    <w:rsid w:val="003F39A4"/>
    <w:rsid w:val="00405AFC"/>
    <w:rsid w:val="00416A41"/>
    <w:rsid w:val="00440BA4"/>
    <w:rsid w:val="00441D0A"/>
    <w:rsid w:val="00444C85"/>
    <w:rsid w:val="0045544C"/>
    <w:rsid w:val="004558D2"/>
    <w:rsid w:val="00456697"/>
    <w:rsid w:val="004578E1"/>
    <w:rsid w:val="00460174"/>
    <w:rsid w:val="00460D9E"/>
    <w:rsid w:val="00465D08"/>
    <w:rsid w:val="004705FE"/>
    <w:rsid w:val="0048148F"/>
    <w:rsid w:val="00483C6E"/>
    <w:rsid w:val="004A342F"/>
    <w:rsid w:val="004A4568"/>
    <w:rsid w:val="004B053A"/>
    <w:rsid w:val="004B39C1"/>
    <w:rsid w:val="004B7624"/>
    <w:rsid w:val="004C0A62"/>
    <w:rsid w:val="004C2BC6"/>
    <w:rsid w:val="004C5221"/>
    <w:rsid w:val="004C63DA"/>
    <w:rsid w:val="004C78FF"/>
    <w:rsid w:val="004D67DA"/>
    <w:rsid w:val="004E133C"/>
    <w:rsid w:val="004E256F"/>
    <w:rsid w:val="004E6D65"/>
    <w:rsid w:val="004F203A"/>
    <w:rsid w:val="004F27C2"/>
    <w:rsid w:val="004F320C"/>
    <w:rsid w:val="004F40E4"/>
    <w:rsid w:val="0050469A"/>
    <w:rsid w:val="005049DE"/>
    <w:rsid w:val="00521C7C"/>
    <w:rsid w:val="00523D0A"/>
    <w:rsid w:val="00541FB0"/>
    <w:rsid w:val="00543CF7"/>
    <w:rsid w:val="00565007"/>
    <w:rsid w:val="00567F0A"/>
    <w:rsid w:val="00572497"/>
    <w:rsid w:val="005853D2"/>
    <w:rsid w:val="005B0673"/>
    <w:rsid w:val="005B0867"/>
    <w:rsid w:val="005B0B70"/>
    <w:rsid w:val="005B4764"/>
    <w:rsid w:val="005B5764"/>
    <w:rsid w:val="005B5EF0"/>
    <w:rsid w:val="005C5116"/>
    <w:rsid w:val="005E5037"/>
    <w:rsid w:val="005F2232"/>
    <w:rsid w:val="005F3B8E"/>
    <w:rsid w:val="005F4933"/>
    <w:rsid w:val="00602F66"/>
    <w:rsid w:val="00603D2C"/>
    <w:rsid w:val="006132D2"/>
    <w:rsid w:val="00613D56"/>
    <w:rsid w:val="00615ACA"/>
    <w:rsid w:val="006160CF"/>
    <w:rsid w:val="006225F0"/>
    <w:rsid w:val="00624739"/>
    <w:rsid w:val="00625FC7"/>
    <w:rsid w:val="00637F69"/>
    <w:rsid w:val="0064350A"/>
    <w:rsid w:val="006460E4"/>
    <w:rsid w:val="00651EF0"/>
    <w:rsid w:val="00653FED"/>
    <w:rsid w:val="00657B29"/>
    <w:rsid w:val="00663739"/>
    <w:rsid w:val="00663B19"/>
    <w:rsid w:val="00664ED6"/>
    <w:rsid w:val="006666BA"/>
    <w:rsid w:val="0068143C"/>
    <w:rsid w:val="006846F7"/>
    <w:rsid w:val="006A2360"/>
    <w:rsid w:val="006A41B3"/>
    <w:rsid w:val="006B0494"/>
    <w:rsid w:val="006B3911"/>
    <w:rsid w:val="006B759C"/>
    <w:rsid w:val="006B7D0A"/>
    <w:rsid w:val="006D055D"/>
    <w:rsid w:val="006D53E8"/>
    <w:rsid w:val="006D7B87"/>
    <w:rsid w:val="006E6121"/>
    <w:rsid w:val="007001CA"/>
    <w:rsid w:val="00702296"/>
    <w:rsid w:val="007101B1"/>
    <w:rsid w:val="00726C1A"/>
    <w:rsid w:val="00727E70"/>
    <w:rsid w:val="00732E82"/>
    <w:rsid w:val="00734F87"/>
    <w:rsid w:val="00747CB5"/>
    <w:rsid w:val="00752F57"/>
    <w:rsid w:val="007619D5"/>
    <w:rsid w:val="00773D72"/>
    <w:rsid w:val="007822C7"/>
    <w:rsid w:val="00785F25"/>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6615C"/>
    <w:rsid w:val="00871D27"/>
    <w:rsid w:val="00875542"/>
    <w:rsid w:val="008802E2"/>
    <w:rsid w:val="00882A31"/>
    <w:rsid w:val="0089605E"/>
    <w:rsid w:val="008A06BF"/>
    <w:rsid w:val="008A4601"/>
    <w:rsid w:val="008B1D9E"/>
    <w:rsid w:val="008B5DDA"/>
    <w:rsid w:val="008B6B10"/>
    <w:rsid w:val="008C527D"/>
    <w:rsid w:val="008C6EC6"/>
    <w:rsid w:val="008C75EF"/>
    <w:rsid w:val="008D1921"/>
    <w:rsid w:val="008D6B2A"/>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45FC0"/>
    <w:rsid w:val="00947A43"/>
    <w:rsid w:val="009524DC"/>
    <w:rsid w:val="00956F0C"/>
    <w:rsid w:val="00971E19"/>
    <w:rsid w:val="0097383D"/>
    <w:rsid w:val="00982DE9"/>
    <w:rsid w:val="0098365E"/>
    <w:rsid w:val="00991894"/>
    <w:rsid w:val="00991DD9"/>
    <w:rsid w:val="00994825"/>
    <w:rsid w:val="0099657F"/>
    <w:rsid w:val="00997DEA"/>
    <w:rsid w:val="009A3AE2"/>
    <w:rsid w:val="009A636C"/>
    <w:rsid w:val="009B5B4B"/>
    <w:rsid w:val="009C4A0B"/>
    <w:rsid w:val="009D6BBD"/>
    <w:rsid w:val="009E1CE0"/>
    <w:rsid w:val="009F66BA"/>
    <w:rsid w:val="00A102D5"/>
    <w:rsid w:val="00A119B8"/>
    <w:rsid w:val="00A21B48"/>
    <w:rsid w:val="00A309E5"/>
    <w:rsid w:val="00A32D81"/>
    <w:rsid w:val="00A424D7"/>
    <w:rsid w:val="00A44503"/>
    <w:rsid w:val="00A56F96"/>
    <w:rsid w:val="00A6135A"/>
    <w:rsid w:val="00A67CD7"/>
    <w:rsid w:val="00A7257D"/>
    <w:rsid w:val="00A81BEB"/>
    <w:rsid w:val="00A859A3"/>
    <w:rsid w:val="00A86D90"/>
    <w:rsid w:val="00AA692D"/>
    <w:rsid w:val="00AB1DB8"/>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17960"/>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87A22"/>
    <w:rsid w:val="00B907D1"/>
    <w:rsid w:val="00BA2CA6"/>
    <w:rsid w:val="00BB0419"/>
    <w:rsid w:val="00BB5347"/>
    <w:rsid w:val="00BD119E"/>
    <w:rsid w:val="00BD1470"/>
    <w:rsid w:val="00BE3F2E"/>
    <w:rsid w:val="00BF08CF"/>
    <w:rsid w:val="00BF10DA"/>
    <w:rsid w:val="00BF5A26"/>
    <w:rsid w:val="00C00989"/>
    <w:rsid w:val="00C26EB1"/>
    <w:rsid w:val="00C30CAF"/>
    <w:rsid w:val="00C3190E"/>
    <w:rsid w:val="00C32A8C"/>
    <w:rsid w:val="00C40ED2"/>
    <w:rsid w:val="00C412FC"/>
    <w:rsid w:val="00C44A52"/>
    <w:rsid w:val="00C46AB3"/>
    <w:rsid w:val="00C46D74"/>
    <w:rsid w:val="00C61BF3"/>
    <w:rsid w:val="00C6462A"/>
    <w:rsid w:val="00C65DBF"/>
    <w:rsid w:val="00C70329"/>
    <w:rsid w:val="00C731CF"/>
    <w:rsid w:val="00C74427"/>
    <w:rsid w:val="00C7681E"/>
    <w:rsid w:val="00C828C2"/>
    <w:rsid w:val="00C87C9B"/>
    <w:rsid w:val="00C96F8E"/>
    <w:rsid w:val="00CA0AE6"/>
    <w:rsid w:val="00CA1EF6"/>
    <w:rsid w:val="00CC2979"/>
    <w:rsid w:val="00CC4B30"/>
    <w:rsid w:val="00CC5686"/>
    <w:rsid w:val="00CD5DD0"/>
    <w:rsid w:val="00CF259B"/>
    <w:rsid w:val="00CF4BF6"/>
    <w:rsid w:val="00CF798F"/>
    <w:rsid w:val="00D057AD"/>
    <w:rsid w:val="00D107C5"/>
    <w:rsid w:val="00D11BAD"/>
    <w:rsid w:val="00D145E4"/>
    <w:rsid w:val="00D21CBC"/>
    <w:rsid w:val="00D25B5D"/>
    <w:rsid w:val="00D3115D"/>
    <w:rsid w:val="00D36168"/>
    <w:rsid w:val="00D40340"/>
    <w:rsid w:val="00D4792C"/>
    <w:rsid w:val="00D5188A"/>
    <w:rsid w:val="00D57C37"/>
    <w:rsid w:val="00D659AB"/>
    <w:rsid w:val="00D744FF"/>
    <w:rsid w:val="00D76E92"/>
    <w:rsid w:val="00D77DC5"/>
    <w:rsid w:val="00D8279E"/>
    <w:rsid w:val="00D84ED2"/>
    <w:rsid w:val="00D87223"/>
    <w:rsid w:val="00D9372C"/>
    <w:rsid w:val="00D963A0"/>
    <w:rsid w:val="00DA1DB1"/>
    <w:rsid w:val="00DA46B9"/>
    <w:rsid w:val="00DA5D77"/>
    <w:rsid w:val="00DB4767"/>
    <w:rsid w:val="00DB56A1"/>
    <w:rsid w:val="00DB61AD"/>
    <w:rsid w:val="00DC6079"/>
    <w:rsid w:val="00DE5E52"/>
    <w:rsid w:val="00DE620D"/>
    <w:rsid w:val="00DF004C"/>
    <w:rsid w:val="00DF54FC"/>
    <w:rsid w:val="00DF75A6"/>
    <w:rsid w:val="00E00444"/>
    <w:rsid w:val="00E16056"/>
    <w:rsid w:val="00E233CB"/>
    <w:rsid w:val="00E276D3"/>
    <w:rsid w:val="00E321BA"/>
    <w:rsid w:val="00E32926"/>
    <w:rsid w:val="00E334D8"/>
    <w:rsid w:val="00E33792"/>
    <w:rsid w:val="00E4190B"/>
    <w:rsid w:val="00E41A0B"/>
    <w:rsid w:val="00E50F41"/>
    <w:rsid w:val="00E51CCE"/>
    <w:rsid w:val="00E63934"/>
    <w:rsid w:val="00E7271F"/>
    <w:rsid w:val="00E80512"/>
    <w:rsid w:val="00E91ED2"/>
    <w:rsid w:val="00E94758"/>
    <w:rsid w:val="00E94DE3"/>
    <w:rsid w:val="00E973CB"/>
    <w:rsid w:val="00EA38EE"/>
    <w:rsid w:val="00EB08C4"/>
    <w:rsid w:val="00EB51D8"/>
    <w:rsid w:val="00ED00DA"/>
    <w:rsid w:val="00ED3F91"/>
    <w:rsid w:val="00EE674A"/>
    <w:rsid w:val="00EE6801"/>
    <w:rsid w:val="00EF03AE"/>
    <w:rsid w:val="00EF2483"/>
    <w:rsid w:val="00EF61F4"/>
    <w:rsid w:val="00EF6AF8"/>
    <w:rsid w:val="00F01324"/>
    <w:rsid w:val="00F16424"/>
    <w:rsid w:val="00F21504"/>
    <w:rsid w:val="00F31B98"/>
    <w:rsid w:val="00F342C1"/>
    <w:rsid w:val="00F5772A"/>
    <w:rsid w:val="00F62F0F"/>
    <w:rsid w:val="00F66B8E"/>
    <w:rsid w:val="00F706AC"/>
    <w:rsid w:val="00F70AD4"/>
    <w:rsid w:val="00F71F7F"/>
    <w:rsid w:val="00F8204B"/>
    <w:rsid w:val="00F836C8"/>
    <w:rsid w:val="00F9054D"/>
    <w:rsid w:val="00F94A58"/>
    <w:rsid w:val="00FA275F"/>
    <w:rsid w:val="00FA6752"/>
    <w:rsid w:val="00FA70F4"/>
    <w:rsid w:val="00FB2A64"/>
    <w:rsid w:val="00FB3E1E"/>
    <w:rsid w:val="00FB58EF"/>
    <w:rsid w:val="00FB5908"/>
    <w:rsid w:val="00FC525A"/>
    <w:rsid w:val="00FC6C02"/>
    <w:rsid w:val="00FE11B2"/>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5DC6"/>
  <w15:docId w15:val="{6E5511EE-90B7-4B2B-8DE2-6B601568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9EE-2F31-45E7-95F0-B83F4DD8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4867</Words>
  <Characters>28721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Markéta Kaděrová</cp:lastModifiedBy>
  <cp:revision>42</cp:revision>
  <dcterms:created xsi:type="dcterms:W3CDTF">2022-08-10T07:35:00Z</dcterms:created>
  <dcterms:modified xsi:type="dcterms:W3CDTF">2022-10-26T13:26:00Z</dcterms:modified>
</cp:coreProperties>
</file>