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A1" w:rsidRPr="00285810" w:rsidRDefault="00285810" w:rsidP="00285810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810">
        <w:rPr>
          <w:rFonts w:ascii="Times New Roman" w:hAnsi="Times New Roman" w:cs="Times New Roman"/>
          <w:b/>
          <w:bCs/>
          <w:sz w:val="32"/>
          <w:szCs w:val="32"/>
        </w:rPr>
        <w:t>KUPNÍ SMLOUVA</w:t>
      </w:r>
    </w:p>
    <w:p w:rsidR="001B68A1" w:rsidRDefault="001B68A1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285810" w:rsidRPr="00285810" w:rsidRDefault="00285810" w:rsidP="00285810">
      <w:pPr>
        <w:pStyle w:val="Prosttext1"/>
        <w:jc w:val="center"/>
        <w:rPr>
          <w:rFonts w:ascii="Times New Roman" w:hAnsi="Times New Roman" w:cs="Times New Roman"/>
          <w:sz w:val="24"/>
          <w:szCs w:val="24"/>
        </w:rPr>
      </w:pPr>
      <w:r w:rsidRPr="00285810">
        <w:rPr>
          <w:rFonts w:ascii="Times New Roman" w:hAnsi="Times New Roman" w:cs="Times New Roman"/>
          <w:sz w:val="24"/>
          <w:szCs w:val="24"/>
        </w:rPr>
        <w:t xml:space="preserve">uzavřená v souladu s </w:t>
      </w:r>
      <w:proofErr w:type="spellStart"/>
      <w:r w:rsidRPr="0028581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285810">
        <w:rPr>
          <w:rFonts w:ascii="Times New Roman" w:hAnsi="Times New Roman" w:cs="Times New Roman"/>
          <w:sz w:val="24"/>
          <w:szCs w:val="24"/>
        </w:rPr>
        <w:t>. § 2079 a násl. zákona č. 89/2012 Sb., občanský zákoník,</w:t>
      </w:r>
    </w:p>
    <w:p w:rsidR="001B68A1" w:rsidRDefault="00285810" w:rsidP="00285810">
      <w:pPr>
        <w:pStyle w:val="Prosttext1"/>
        <w:jc w:val="center"/>
        <w:rPr>
          <w:rFonts w:ascii="Times New Roman" w:hAnsi="Times New Roman" w:cs="Times New Roman"/>
          <w:sz w:val="24"/>
          <w:szCs w:val="24"/>
        </w:rPr>
      </w:pPr>
      <w:r w:rsidRPr="00285810">
        <w:rPr>
          <w:rFonts w:ascii="Times New Roman" w:hAnsi="Times New Roman" w:cs="Times New Roman"/>
          <w:sz w:val="24"/>
          <w:szCs w:val="24"/>
        </w:rPr>
        <w:t>ve znění pozdějších předpisů (dále jen „občanský zákoník“)</w:t>
      </w:r>
    </w:p>
    <w:p w:rsidR="001B68A1" w:rsidRDefault="001B68A1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285810" w:rsidRDefault="00285810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1B68A1" w:rsidRDefault="001B68A1">
      <w:pPr>
        <w:pStyle w:val="Prosttext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A10D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Smluvní strany</w:t>
      </w:r>
    </w:p>
    <w:p w:rsidR="001B68A1" w:rsidRDefault="001B68A1">
      <w:pPr>
        <w:pStyle w:val="Prosttext1"/>
        <w:rPr>
          <w:rFonts w:ascii="Times New Roman" w:hAnsi="Times New Roman" w:cs="Times New Roman"/>
          <w:b/>
          <w:sz w:val="24"/>
          <w:szCs w:val="24"/>
        </w:rPr>
      </w:pPr>
    </w:p>
    <w:p w:rsidR="00A10DE7" w:rsidRDefault="00A10DE7">
      <w:pPr>
        <w:pStyle w:val="Prosttext1"/>
        <w:rPr>
          <w:rFonts w:ascii="Times New Roman" w:hAnsi="Times New Roman" w:cs="Times New Roman"/>
          <w:b/>
          <w:sz w:val="24"/>
          <w:szCs w:val="24"/>
        </w:rPr>
      </w:pPr>
    </w:p>
    <w:p w:rsidR="001B68A1" w:rsidRDefault="001B68A1">
      <w:pPr>
        <w:pStyle w:val="Prosttext1"/>
      </w:pPr>
      <w:r>
        <w:rPr>
          <w:rFonts w:ascii="Times New Roman" w:hAnsi="Times New Roman" w:cs="Times New Roman"/>
          <w:b/>
          <w:sz w:val="24"/>
          <w:szCs w:val="24"/>
        </w:rPr>
        <w:t xml:space="preserve">1. Kupující: </w:t>
      </w:r>
    </w:p>
    <w:p w:rsidR="001B68A1" w:rsidRDefault="001B68A1">
      <w:pPr>
        <w:pStyle w:val="Prosttext1"/>
        <w:rPr>
          <w:rFonts w:ascii="Times New Roman" w:hAnsi="Times New Roman" w:cs="Times New Roman"/>
          <w:b/>
          <w:sz w:val="24"/>
          <w:szCs w:val="24"/>
        </w:rPr>
      </w:pPr>
    </w:p>
    <w:p w:rsidR="00394BB0" w:rsidRDefault="00394BB0"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Aš</w:t>
      </w:r>
    </w:p>
    <w:p w:rsidR="001B68A1" w:rsidRDefault="001B68A1">
      <w:pPr>
        <w:pStyle w:val="Prosttext1"/>
      </w:pPr>
      <w:r>
        <w:rPr>
          <w:rFonts w:ascii="Times New Roman" w:hAnsi="Times New Roman" w:cs="Times New Roman"/>
          <w:sz w:val="24"/>
          <w:szCs w:val="24"/>
        </w:rPr>
        <w:t xml:space="preserve">Se sídlem: </w:t>
      </w:r>
      <w:bookmarkStart w:id="0" w:name="_Hlk116383903"/>
      <w:r w:rsidR="00173457">
        <w:rPr>
          <w:rFonts w:ascii="Times New Roman" w:hAnsi="Times New Roman" w:cs="Times New Roman"/>
          <w:sz w:val="24"/>
          <w:szCs w:val="24"/>
        </w:rPr>
        <w:t>K</w:t>
      </w:r>
      <w:r w:rsidR="00394BB0">
        <w:rPr>
          <w:rFonts w:ascii="Times New Roman" w:hAnsi="Times New Roman" w:cs="Times New Roman"/>
          <w:sz w:val="24"/>
          <w:szCs w:val="24"/>
        </w:rPr>
        <w:t>amenná 473/52, 35201 Aš</w:t>
      </w:r>
      <w:bookmarkEnd w:id="0"/>
    </w:p>
    <w:p w:rsidR="001B68A1" w:rsidRPr="006F2A83" w:rsidRDefault="001B68A1">
      <w:pPr>
        <w:pStyle w:val="Prosttext1"/>
        <w:rPr>
          <w:sz w:val="24"/>
          <w:szCs w:val="24"/>
        </w:rPr>
      </w:pPr>
      <w:r w:rsidRPr="006F2A83">
        <w:rPr>
          <w:rFonts w:ascii="Times New Roman" w:hAnsi="Times New Roman" w:cs="Times New Roman"/>
          <w:sz w:val="24"/>
          <w:szCs w:val="24"/>
        </w:rPr>
        <w:t xml:space="preserve">IČ: </w:t>
      </w:r>
      <w:r w:rsidR="00394BB0" w:rsidRPr="006F2A83">
        <w:rPr>
          <w:rFonts w:ascii="Times New Roman" w:hAnsi="Times New Roman" w:cs="Times New Roman"/>
          <w:sz w:val="24"/>
          <w:szCs w:val="24"/>
        </w:rPr>
        <w:t>00253901</w:t>
      </w:r>
    </w:p>
    <w:p w:rsidR="001B68A1" w:rsidRPr="006F2A83" w:rsidRDefault="001B68A1">
      <w:pPr>
        <w:pStyle w:val="Prosttext1"/>
        <w:rPr>
          <w:sz w:val="24"/>
          <w:szCs w:val="24"/>
        </w:rPr>
      </w:pPr>
      <w:r w:rsidRPr="006F2A83">
        <w:rPr>
          <w:rFonts w:ascii="Times New Roman" w:hAnsi="Times New Roman" w:cs="Times New Roman"/>
          <w:sz w:val="24"/>
          <w:szCs w:val="24"/>
        </w:rPr>
        <w:t xml:space="preserve">Banka: </w:t>
      </w:r>
      <w:r w:rsidR="006F2A83" w:rsidRPr="006F2A83">
        <w:rPr>
          <w:rFonts w:ascii="Times New Roman" w:hAnsi="Times New Roman" w:cs="Times New Roman"/>
          <w:sz w:val="24"/>
          <w:szCs w:val="24"/>
          <w:lang w:eastAsia="cs-CZ"/>
        </w:rPr>
        <w:t>ČSOB, a.s.,</w:t>
      </w:r>
    </w:p>
    <w:p w:rsidR="001B68A1" w:rsidRPr="006F2A83" w:rsidRDefault="001B68A1">
      <w:pPr>
        <w:pStyle w:val="Prosttext1"/>
        <w:rPr>
          <w:sz w:val="24"/>
          <w:szCs w:val="24"/>
        </w:rPr>
      </w:pPr>
      <w:r w:rsidRPr="006F2A83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6F2A83" w:rsidRPr="006F2A83">
        <w:rPr>
          <w:rFonts w:ascii="Times New Roman" w:hAnsi="Times New Roman" w:cs="Times New Roman"/>
          <w:sz w:val="24"/>
          <w:szCs w:val="24"/>
          <w:lang w:eastAsia="cs-CZ"/>
        </w:rPr>
        <w:t>13371337/0300</w:t>
      </w:r>
    </w:p>
    <w:p w:rsidR="001B68A1" w:rsidRDefault="001B68A1">
      <w:pPr>
        <w:pStyle w:val="Prosttext1"/>
      </w:pPr>
      <w:r>
        <w:rPr>
          <w:rFonts w:ascii="Times New Roman" w:hAnsi="Times New Roman" w:cs="Times New Roman"/>
          <w:sz w:val="24"/>
          <w:szCs w:val="24"/>
        </w:rPr>
        <w:t xml:space="preserve">Zastoupený: Mgr. </w:t>
      </w:r>
      <w:r w:rsidR="00394BB0">
        <w:rPr>
          <w:rFonts w:ascii="Times New Roman" w:hAnsi="Times New Roman" w:cs="Times New Roman"/>
          <w:sz w:val="24"/>
          <w:szCs w:val="24"/>
        </w:rPr>
        <w:t>Daliborem Blažkem</w:t>
      </w:r>
      <w:r w:rsidR="00180663">
        <w:rPr>
          <w:rFonts w:ascii="Times New Roman" w:hAnsi="Times New Roman" w:cs="Times New Roman"/>
          <w:sz w:val="24"/>
          <w:szCs w:val="24"/>
        </w:rPr>
        <w:t>, starostou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8A1" w:rsidRDefault="001B68A1">
      <w:pPr>
        <w:pStyle w:val="Prosttext1"/>
      </w:pPr>
      <w:r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1B68A1" w:rsidRDefault="001B68A1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F80694" w:rsidRDefault="00F80694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1B68A1" w:rsidRDefault="001B68A1">
      <w:pPr>
        <w:pStyle w:val="Prosttext1"/>
      </w:pPr>
      <w:r>
        <w:rPr>
          <w:rFonts w:ascii="Times New Roman" w:hAnsi="Times New Roman" w:cs="Times New Roman"/>
          <w:b/>
          <w:sz w:val="24"/>
          <w:szCs w:val="24"/>
        </w:rPr>
        <w:t xml:space="preserve">2. Dodavatel: </w:t>
      </w:r>
    </w:p>
    <w:p w:rsidR="001B68A1" w:rsidRDefault="001B68A1">
      <w:pPr>
        <w:pStyle w:val="Prosttext1"/>
        <w:rPr>
          <w:rFonts w:ascii="Times New Roman" w:hAnsi="Times New Roman" w:cs="Times New Roman"/>
          <w:b/>
          <w:sz w:val="24"/>
          <w:szCs w:val="24"/>
        </w:rPr>
      </w:pPr>
    </w:p>
    <w:p w:rsidR="001B68A1" w:rsidRDefault="001B68A1">
      <w:pPr>
        <w:pStyle w:val="Prosttext1"/>
      </w:pPr>
      <w:r>
        <w:rPr>
          <w:rFonts w:ascii="Times New Roman" w:hAnsi="Times New Roman" w:cs="Times New Roman"/>
          <w:sz w:val="24"/>
          <w:szCs w:val="24"/>
        </w:rPr>
        <w:t>Obchodní jméno: VUJO s.r.o.</w:t>
      </w:r>
    </w:p>
    <w:p w:rsidR="001B68A1" w:rsidRDefault="001B68A1">
      <w:pPr>
        <w:pStyle w:val="Prosttext1"/>
      </w:pPr>
      <w:r>
        <w:rPr>
          <w:rFonts w:ascii="Times New Roman" w:hAnsi="Times New Roman" w:cs="Times New Roman"/>
          <w:sz w:val="24"/>
          <w:szCs w:val="24"/>
        </w:rPr>
        <w:t xml:space="preserve">Se sídlem: Křížová 116,35601 Sokolov </w:t>
      </w:r>
    </w:p>
    <w:p w:rsidR="001B68A1" w:rsidRDefault="001B68A1">
      <w:pPr>
        <w:pStyle w:val="Prosttext1"/>
      </w:pPr>
      <w:r>
        <w:rPr>
          <w:rFonts w:ascii="Times New Roman" w:hAnsi="Times New Roman" w:cs="Times New Roman"/>
          <w:sz w:val="24"/>
          <w:szCs w:val="24"/>
        </w:rPr>
        <w:t>IČ: 64830713</w:t>
      </w:r>
    </w:p>
    <w:p w:rsidR="001B68A1" w:rsidRDefault="001B68A1">
      <w:pPr>
        <w:pStyle w:val="Prosttext1"/>
      </w:pPr>
      <w:r>
        <w:rPr>
          <w:rFonts w:ascii="Times New Roman" w:hAnsi="Times New Roman" w:cs="Times New Roman"/>
          <w:sz w:val="24"/>
          <w:szCs w:val="24"/>
        </w:rPr>
        <w:t>DIČ: CZ64830713</w:t>
      </w:r>
    </w:p>
    <w:p w:rsidR="001B68A1" w:rsidRDefault="001B68A1">
      <w:pPr>
        <w:pStyle w:val="Prosttext1"/>
      </w:pPr>
      <w:r>
        <w:rPr>
          <w:rFonts w:ascii="Times New Roman" w:hAnsi="Times New Roman" w:cs="Times New Roman"/>
          <w:sz w:val="24"/>
          <w:szCs w:val="24"/>
        </w:rPr>
        <w:t xml:space="preserve">Banka: Komerční banka  </w:t>
      </w:r>
    </w:p>
    <w:p w:rsidR="001B68A1" w:rsidRDefault="001B68A1">
      <w:pPr>
        <w:pStyle w:val="Prosttext1"/>
      </w:pPr>
      <w:r>
        <w:rPr>
          <w:rFonts w:ascii="Times New Roman" w:hAnsi="Times New Roman" w:cs="Times New Roman"/>
          <w:sz w:val="24"/>
          <w:szCs w:val="24"/>
        </w:rPr>
        <w:t>Číslo účtu: 19-4475950227/0100</w:t>
      </w:r>
    </w:p>
    <w:p w:rsidR="001B68A1" w:rsidRDefault="001B68A1">
      <w:pPr>
        <w:pStyle w:val="Prosttext1"/>
      </w:pPr>
      <w:r>
        <w:rPr>
          <w:rFonts w:ascii="Times New Roman" w:hAnsi="Times New Roman" w:cs="Times New Roman"/>
          <w:sz w:val="24"/>
          <w:szCs w:val="24"/>
        </w:rPr>
        <w:t>Zastoupený: Ing. Josefem</w:t>
      </w:r>
      <w:r w:rsidR="00434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Vůjtěchem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8A1" w:rsidRDefault="001B68A1"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„dodavatel“) </w:t>
      </w:r>
    </w:p>
    <w:p w:rsidR="00F80694" w:rsidRDefault="00F80694">
      <w:pPr>
        <w:pStyle w:val="Prosttext1"/>
      </w:pPr>
    </w:p>
    <w:p w:rsidR="001B68A1" w:rsidRDefault="001B68A1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F80694" w:rsidRDefault="00F80694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1B68A1" w:rsidRDefault="001B68A1">
      <w:pPr>
        <w:pStyle w:val="Prosttext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II. Předmět plnění </w:t>
      </w:r>
    </w:p>
    <w:p w:rsidR="001B68A1" w:rsidRDefault="001B68A1">
      <w:pPr>
        <w:pStyle w:val="Prosttext1"/>
        <w:rPr>
          <w:rFonts w:ascii="Times New Roman" w:hAnsi="Times New Roman" w:cs="Times New Roman"/>
          <w:b/>
          <w:sz w:val="24"/>
          <w:szCs w:val="24"/>
        </w:rPr>
      </w:pPr>
    </w:p>
    <w:p w:rsidR="001B68A1" w:rsidRDefault="001B68A1" w:rsidP="00DA53F8">
      <w:pPr>
        <w:jc w:val="both"/>
      </w:pPr>
      <w:r>
        <w:t xml:space="preserve">Předmětem veřejné zakázky </w:t>
      </w:r>
      <w:r w:rsidR="007C55FF" w:rsidRPr="00850C46">
        <w:t>„</w:t>
      </w:r>
      <w:r w:rsidR="007C55FF" w:rsidRPr="00850C46">
        <w:rPr>
          <w:b/>
        </w:rPr>
        <w:t>výpočetní technika pro zastupitelstvo města Aše</w:t>
      </w:r>
      <w:r w:rsidR="007C55FF" w:rsidRPr="00850C46">
        <w:t>“</w:t>
      </w:r>
      <w:r w:rsidR="003A1D79" w:rsidRPr="00850C46">
        <w:t xml:space="preserve"> </w:t>
      </w:r>
      <w:r>
        <w:t xml:space="preserve">je dodání </w:t>
      </w:r>
      <w:r w:rsidR="007C55FF">
        <w:t xml:space="preserve">výpočetní techniky </w:t>
      </w:r>
      <w:r>
        <w:t>dle tabulky:</w:t>
      </w:r>
    </w:p>
    <w:p w:rsidR="00A36D88" w:rsidRDefault="00A36D88" w:rsidP="00DA53F8">
      <w:pPr>
        <w:jc w:val="both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268"/>
        <w:gridCol w:w="1157"/>
        <w:gridCol w:w="2245"/>
      </w:tblGrid>
      <w:tr w:rsidR="000E2FF1" w:rsidTr="00A36D88">
        <w:tc>
          <w:tcPr>
            <w:tcW w:w="3828" w:type="dxa"/>
            <w:shd w:val="clear" w:color="auto" w:fill="F2F2F2" w:themeFill="background1" w:themeFillShade="F2"/>
          </w:tcPr>
          <w:p w:rsidR="000E2FF1" w:rsidRDefault="000E2FF1" w:rsidP="00DA53F8">
            <w:pPr>
              <w:jc w:val="both"/>
            </w:pPr>
            <w:r>
              <w:t>Název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E2FF1" w:rsidRDefault="000E2FF1" w:rsidP="00DA53F8">
            <w:pPr>
              <w:jc w:val="both"/>
            </w:pPr>
            <w:r>
              <w:t>Produktové</w:t>
            </w:r>
            <w:r w:rsidR="00A36D88">
              <w:br/>
            </w:r>
            <w:r>
              <w:t>číslo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:rsidR="000E2FF1" w:rsidRDefault="00A36D88" w:rsidP="00DA53F8">
            <w:pPr>
              <w:jc w:val="both"/>
            </w:pPr>
            <w:r>
              <w:t>P</w:t>
            </w:r>
            <w:r w:rsidR="000E2FF1">
              <w:t>očet</w:t>
            </w:r>
            <w:r>
              <w:t xml:space="preserve"> kusů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:rsidR="000E2FF1" w:rsidRDefault="00A36D88" w:rsidP="00DA53F8">
            <w:pPr>
              <w:jc w:val="both"/>
            </w:pPr>
            <w:r>
              <w:t>Z</w:t>
            </w:r>
            <w:r w:rsidR="000E2FF1">
              <w:t>áruka</w:t>
            </w:r>
            <w:r>
              <w:br/>
              <w:t>měsíc</w:t>
            </w:r>
          </w:p>
        </w:tc>
      </w:tr>
      <w:tr w:rsidR="000E2FF1" w:rsidTr="00A36D88">
        <w:tc>
          <w:tcPr>
            <w:tcW w:w="3828" w:type="dxa"/>
          </w:tcPr>
          <w:p w:rsidR="000E2FF1" w:rsidRDefault="00A36D88" w:rsidP="00DA53F8">
            <w:pPr>
              <w:jc w:val="both"/>
            </w:pPr>
            <w:r w:rsidRPr="00A36D88">
              <w:t>notebook HP 250 G8</w:t>
            </w:r>
          </w:p>
        </w:tc>
        <w:tc>
          <w:tcPr>
            <w:tcW w:w="2268" w:type="dxa"/>
          </w:tcPr>
          <w:p w:rsidR="000E2FF1" w:rsidRDefault="00A36D88" w:rsidP="00DA53F8">
            <w:pPr>
              <w:jc w:val="both"/>
            </w:pPr>
            <w:r w:rsidRPr="00A36D88">
              <w:t>59U11EA#BCM</w:t>
            </w:r>
          </w:p>
        </w:tc>
        <w:tc>
          <w:tcPr>
            <w:tcW w:w="1157" w:type="dxa"/>
          </w:tcPr>
          <w:p w:rsidR="000E2FF1" w:rsidRDefault="00A36D88" w:rsidP="00DA53F8">
            <w:pPr>
              <w:jc w:val="both"/>
            </w:pPr>
            <w:r>
              <w:t>23</w:t>
            </w:r>
          </w:p>
        </w:tc>
        <w:tc>
          <w:tcPr>
            <w:tcW w:w="2245" w:type="dxa"/>
          </w:tcPr>
          <w:p w:rsidR="000E2FF1" w:rsidRDefault="00A36D88" w:rsidP="00DA53F8">
            <w:pPr>
              <w:jc w:val="both"/>
            </w:pPr>
            <w:r>
              <w:t>12</w:t>
            </w:r>
          </w:p>
        </w:tc>
      </w:tr>
      <w:tr w:rsidR="000E2FF1" w:rsidTr="00A36D88">
        <w:tc>
          <w:tcPr>
            <w:tcW w:w="3828" w:type="dxa"/>
          </w:tcPr>
          <w:p w:rsidR="000E2FF1" w:rsidRDefault="00A36D88" w:rsidP="00DA53F8">
            <w:pPr>
              <w:jc w:val="both"/>
            </w:pPr>
            <w:r w:rsidRPr="00A36D88">
              <w:t xml:space="preserve">brašna HP </w:t>
            </w:r>
            <w:proofErr w:type="spellStart"/>
            <w:r w:rsidRPr="00A36D88">
              <w:t>Value</w:t>
            </w:r>
            <w:proofErr w:type="spellEnd"/>
            <w:r w:rsidRPr="00A36D88">
              <w:t xml:space="preserve"> </w:t>
            </w:r>
            <w:proofErr w:type="spellStart"/>
            <w:r w:rsidRPr="00A36D88">
              <w:t>Topload</w:t>
            </w:r>
            <w:proofErr w:type="spellEnd"/>
            <w:r w:rsidRPr="00A36D88">
              <w:t xml:space="preserve"> 15.6”</w:t>
            </w:r>
          </w:p>
        </w:tc>
        <w:tc>
          <w:tcPr>
            <w:tcW w:w="2268" w:type="dxa"/>
          </w:tcPr>
          <w:p w:rsidR="000E2FF1" w:rsidRDefault="00A36D88" w:rsidP="00DA53F8">
            <w:pPr>
              <w:jc w:val="both"/>
            </w:pPr>
            <w:r w:rsidRPr="00A36D88">
              <w:t>K0B38AA#ABB</w:t>
            </w:r>
          </w:p>
        </w:tc>
        <w:tc>
          <w:tcPr>
            <w:tcW w:w="1157" w:type="dxa"/>
          </w:tcPr>
          <w:p w:rsidR="000E2FF1" w:rsidRDefault="00A36D88" w:rsidP="00DA53F8">
            <w:pPr>
              <w:jc w:val="both"/>
            </w:pPr>
            <w:r>
              <w:t>23</w:t>
            </w:r>
          </w:p>
        </w:tc>
        <w:tc>
          <w:tcPr>
            <w:tcW w:w="2245" w:type="dxa"/>
          </w:tcPr>
          <w:p w:rsidR="000E2FF1" w:rsidRDefault="00A36D88" w:rsidP="00DA53F8">
            <w:pPr>
              <w:jc w:val="both"/>
            </w:pPr>
            <w:r>
              <w:t>24</w:t>
            </w:r>
          </w:p>
        </w:tc>
      </w:tr>
    </w:tbl>
    <w:p w:rsidR="000E2FF1" w:rsidRDefault="000E2FF1" w:rsidP="00DA53F8">
      <w:pPr>
        <w:jc w:val="both"/>
      </w:pPr>
    </w:p>
    <w:p w:rsidR="001B68A1" w:rsidRDefault="001B68A1" w:rsidP="00F80694">
      <w:pPr>
        <w:jc w:val="both"/>
      </w:pPr>
    </w:p>
    <w:p w:rsidR="00F80694" w:rsidRDefault="00F80694">
      <w:pPr>
        <w:pStyle w:val="Prosttext1"/>
        <w:rPr>
          <w:lang w:eastAsia="cs-CZ"/>
        </w:rPr>
      </w:pPr>
    </w:p>
    <w:p w:rsidR="004F7C1B" w:rsidRDefault="004F7C1B">
      <w:pPr>
        <w:pStyle w:val="Prosttext1"/>
        <w:rPr>
          <w:lang w:eastAsia="cs-CZ"/>
        </w:rPr>
      </w:pPr>
    </w:p>
    <w:p w:rsidR="001B68A1" w:rsidRDefault="001B68A1">
      <w:pPr>
        <w:pStyle w:val="Prosttext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III. Kupní cena </w:t>
      </w:r>
    </w:p>
    <w:p w:rsidR="001B68A1" w:rsidRDefault="001B68A1">
      <w:pPr>
        <w:tabs>
          <w:tab w:val="left" w:pos="540"/>
        </w:tabs>
        <w:jc w:val="both"/>
      </w:pPr>
      <w:r>
        <w:t xml:space="preserve">Kupní cena za dodávku činí </w:t>
      </w: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3827"/>
        <w:gridCol w:w="1984"/>
      </w:tblGrid>
      <w:tr w:rsidR="00EF1488" w:rsidTr="00BA3268">
        <w:tc>
          <w:tcPr>
            <w:tcW w:w="3827" w:type="dxa"/>
          </w:tcPr>
          <w:p w:rsidR="00EF1488" w:rsidRDefault="00EF1488">
            <w:pPr>
              <w:tabs>
                <w:tab w:val="left" w:pos="540"/>
              </w:tabs>
              <w:jc w:val="both"/>
            </w:pPr>
            <w:r>
              <w:lastRenderedPageBreak/>
              <w:t>Celková cena bez DPH</w:t>
            </w:r>
          </w:p>
        </w:tc>
        <w:tc>
          <w:tcPr>
            <w:tcW w:w="1984" w:type="dxa"/>
          </w:tcPr>
          <w:p w:rsidR="00EF1488" w:rsidRDefault="00EF1488" w:rsidP="00EF1488">
            <w:pPr>
              <w:tabs>
                <w:tab w:val="left" w:pos="540"/>
              </w:tabs>
              <w:jc w:val="right"/>
            </w:pPr>
            <w:r>
              <w:t>233 565,00 Kč</w:t>
            </w:r>
          </w:p>
        </w:tc>
      </w:tr>
      <w:tr w:rsidR="00EF1488" w:rsidTr="00BA3268">
        <w:tc>
          <w:tcPr>
            <w:tcW w:w="3827" w:type="dxa"/>
          </w:tcPr>
          <w:p w:rsidR="00EF1488" w:rsidRPr="00EF1488" w:rsidRDefault="00EF1488">
            <w:pPr>
              <w:tabs>
                <w:tab w:val="left" w:pos="540"/>
              </w:tabs>
              <w:jc w:val="both"/>
            </w:pPr>
            <w:r>
              <w:t>DPH 21</w:t>
            </w:r>
            <w:r>
              <w:rPr>
                <w:lang w:val="en-US"/>
              </w:rPr>
              <w:t>%</w:t>
            </w:r>
          </w:p>
        </w:tc>
        <w:tc>
          <w:tcPr>
            <w:tcW w:w="1984" w:type="dxa"/>
          </w:tcPr>
          <w:p w:rsidR="00EF1488" w:rsidRDefault="00EF1488" w:rsidP="00EF1488">
            <w:pPr>
              <w:tabs>
                <w:tab w:val="left" w:pos="540"/>
              </w:tabs>
              <w:jc w:val="right"/>
            </w:pPr>
            <w:r>
              <w:t>49 048,65 Kč</w:t>
            </w:r>
          </w:p>
        </w:tc>
      </w:tr>
      <w:tr w:rsidR="00EF1488" w:rsidTr="00BA3268">
        <w:tc>
          <w:tcPr>
            <w:tcW w:w="3827" w:type="dxa"/>
          </w:tcPr>
          <w:p w:rsidR="00EF1488" w:rsidRDefault="00EF1488">
            <w:pPr>
              <w:tabs>
                <w:tab w:val="left" w:pos="540"/>
              </w:tabs>
              <w:jc w:val="both"/>
            </w:pPr>
            <w:r>
              <w:t>Celková cena včetně DPH</w:t>
            </w:r>
          </w:p>
        </w:tc>
        <w:tc>
          <w:tcPr>
            <w:tcW w:w="1984" w:type="dxa"/>
          </w:tcPr>
          <w:p w:rsidR="00EF1488" w:rsidRPr="00EF1488" w:rsidRDefault="00EF1488" w:rsidP="00EF1488">
            <w:pPr>
              <w:tabs>
                <w:tab w:val="left" w:pos="540"/>
              </w:tabs>
              <w:jc w:val="right"/>
              <w:rPr>
                <w:b/>
              </w:rPr>
            </w:pPr>
            <w:r w:rsidRPr="00EF1488">
              <w:rPr>
                <w:b/>
              </w:rPr>
              <w:t>282 613,65 Kč</w:t>
            </w:r>
          </w:p>
        </w:tc>
      </w:tr>
    </w:tbl>
    <w:p w:rsidR="00EF1488" w:rsidRDefault="00EF1488">
      <w:pPr>
        <w:tabs>
          <w:tab w:val="left" w:pos="540"/>
        </w:tabs>
        <w:jc w:val="both"/>
      </w:pPr>
    </w:p>
    <w:p w:rsidR="001B68A1" w:rsidRDefault="001B68A1">
      <w:pPr>
        <w:tabs>
          <w:tab w:val="left" w:pos="540"/>
        </w:tabs>
        <w:jc w:val="both"/>
      </w:pPr>
      <w:r>
        <w:t xml:space="preserve">a zahrnuje dále veškeré náklady dodavatele včetně dopravy na místo plnění a všech daní v souladu s poptávkou na dodávku </w:t>
      </w:r>
      <w:r w:rsidR="00723F24">
        <w:t xml:space="preserve">ICT techniky </w:t>
      </w:r>
      <w:r>
        <w:t xml:space="preserve">dle technické specifikace kupujícího a nabídkou dodavatele. </w:t>
      </w:r>
    </w:p>
    <w:p w:rsidR="001B68A1" w:rsidRDefault="001B68A1">
      <w:pPr>
        <w:pStyle w:val="Prosttext1"/>
        <w:rPr>
          <w:rFonts w:ascii="Times New Roman" w:hAnsi="Times New Roman" w:cs="Times New Roman"/>
          <w:b/>
          <w:sz w:val="24"/>
          <w:szCs w:val="24"/>
        </w:rPr>
      </w:pPr>
    </w:p>
    <w:p w:rsidR="001B68A1" w:rsidRDefault="001B68A1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Celková kupní cena je pevná, konečná a nejvýše přípustná po celou dobu plnění zakázky. Kupní cena může být zvýšena pouze v případě, dojde-li ke změně předmětu plnění na základě předchozího písemného požadavku kupujícího. </w:t>
      </w:r>
    </w:p>
    <w:p w:rsidR="001B68A1" w:rsidRDefault="001B68A1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1B68A1" w:rsidRDefault="001B68A1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případě úpravy sazby DPH zákonem bude DPH fakturována dle sazeb platných v době fakturace. </w:t>
      </w:r>
    </w:p>
    <w:p w:rsidR="005D623E" w:rsidRDefault="005D623E">
      <w:pPr>
        <w:pStyle w:val="Prosttext1"/>
        <w:jc w:val="both"/>
      </w:pPr>
    </w:p>
    <w:p w:rsidR="001B68A1" w:rsidRDefault="001B68A1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1B68A1" w:rsidRDefault="001B68A1">
      <w:pPr>
        <w:pStyle w:val="Prosttext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IV. Doba plnění </w:t>
      </w:r>
    </w:p>
    <w:p w:rsidR="001B68A1" w:rsidRDefault="001B68A1">
      <w:pPr>
        <w:pStyle w:val="Prosttext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8A1" w:rsidRDefault="001B68A1" w:rsidP="00DA53F8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dokončení realizace a jejího funkčního předání kupujícímu je </w:t>
      </w:r>
      <w:r w:rsidR="007C55F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dnů od data podpisu smlouvy. </w:t>
      </w:r>
    </w:p>
    <w:p w:rsidR="005D623E" w:rsidRDefault="005D623E" w:rsidP="00DA53F8">
      <w:pPr>
        <w:pStyle w:val="Prosttext1"/>
        <w:jc w:val="both"/>
      </w:pPr>
    </w:p>
    <w:p w:rsidR="001B68A1" w:rsidRDefault="001B68A1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1B68A1" w:rsidRDefault="001B68A1">
      <w:pPr>
        <w:pStyle w:val="Prosttext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V. Platební podmínky a fakturace </w:t>
      </w:r>
    </w:p>
    <w:p w:rsidR="001B68A1" w:rsidRDefault="001B68A1">
      <w:pPr>
        <w:pStyle w:val="Prosttext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8A1" w:rsidRDefault="001B68A1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Cena za plnění zakázky bude uhrazena bezhotovostním platebním stykem po úplném dodání předmětu plnění, na základě faktury vystavené dodavatelem s termínem splatnosti 14 dnů. </w:t>
      </w:r>
    </w:p>
    <w:p w:rsidR="001B68A1" w:rsidRDefault="001B68A1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1B68A1" w:rsidRDefault="001B68A1">
      <w:pPr>
        <w:pStyle w:val="Prosttext1"/>
      </w:pPr>
      <w:r>
        <w:rPr>
          <w:rFonts w:ascii="Times New Roman" w:hAnsi="Times New Roman" w:cs="Times New Roman"/>
          <w:sz w:val="24"/>
          <w:szCs w:val="24"/>
        </w:rPr>
        <w:t xml:space="preserve">Dodavatel se zavazuje vystavit fakturu a dodat předmět plnění následovně: </w:t>
      </w:r>
    </w:p>
    <w:p w:rsidR="001B68A1" w:rsidRDefault="001B68A1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C55FF" w:rsidRPr="002A0CF5" w:rsidRDefault="001B68A1" w:rsidP="000C6CD4">
      <w:pPr>
        <w:pStyle w:val="Prosttext1"/>
        <w:ind w:firstLine="709"/>
        <w:rPr>
          <w:rFonts w:ascii="Times New Roman" w:hAnsi="Times New Roman" w:cs="Times New Roman"/>
          <w:b/>
        </w:rPr>
      </w:pPr>
      <w:r w:rsidRPr="002A0CF5">
        <w:rPr>
          <w:rFonts w:ascii="Times New Roman" w:hAnsi="Times New Roman" w:cs="Times New Roman"/>
          <w:b/>
          <w:sz w:val="24"/>
          <w:szCs w:val="24"/>
        </w:rPr>
        <w:t xml:space="preserve">Fakturační adresa: </w:t>
      </w:r>
    </w:p>
    <w:p w:rsidR="005D623E" w:rsidRDefault="007C55FF" w:rsidP="00F65B34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cs-CZ"/>
        </w:rPr>
      </w:pPr>
      <w:r w:rsidRPr="007C55FF">
        <w:rPr>
          <w:rFonts w:eastAsia="Times New Roman"/>
          <w:szCs w:val="28"/>
          <w:lang w:eastAsia="cs-CZ"/>
        </w:rPr>
        <w:t xml:space="preserve">Město Aš </w:t>
      </w:r>
    </w:p>
    <w:p w:rsidR="005D623E" w:rsidRDefault="007C55FF" w:rsidP="00F65B34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cs-CZ"/>
        </w:rPr>
      </w:pPr>
      <w:r w:rsidRPr="007C55FF">
        <w:rPr>
          <w:rFonts w:eastAsia="Times New Roman"/>
          <w:szCs w:val="28"/>
          <w:lang w:eastAsia="cs-CZ"/>
        </w:rPr>
        <w:t>Kamenná 473/52</w:t>
      </w:r>
    </w:p>
    <w:p w:rsidR="007C55FF" w:rsidRPr="007C55FF" w:rsidRDefault="007C55FF" w:rsidP="00F65B34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szCs w:val="28"/>
          <w:lang w:eastAsia="cs-CZ"/>
        </w:rPr>
      </w:pPr>
      <w:r w:rsidRPr="007C55FF">
        <w:rPr>
          <w:rFonts w:eastAsia="Times New Roman"/>
          <w:szCs w:val="28"/>
          <w:lang w:eastAsia="cs-CZ"/>
        </w:rPr>
        <w:t>352 01 Aš</w:t>
      </w:r>
    </w:p>
    <w:p w:rsidR="001B68A1" w:rsidRDefault="001B68A1" w:rsidP="00F65B34">
      <w:pPr>
        <w:pStyle w:val="Prosttext1"/>
        <w:ind w:firstLine="709"/>
        <w:rPr>
          <w:rFonts w:ascii="Times New Roman" w:hAnsi="Times New Roman" w:cs="Times New Roman"/>
          <w:sz w:val="24"/>
          <w:szCs w:val="24"/>
        </w:rPr>
      </w:pPr>
      <w:r w:rsidRPr="007C55FF">
        <w:rPr>
          <w:rFonts w:ascii="Times New Roman" w:hAnsi="Times New Roman" w:cs="Times New Roman"/>
          <w:sz w:val="24"/>
          <w:szCs w:val="24"/>
        </w:rPr>
        <w:t xml:space="preserve">IČ: </w:t>
      </w:r>
      <w:r w:rsidR="007C55FF" w:rsidRPr="007C55FF">
        <w:rPr>
          <w:rFonts w:ascii="Times New Roman" w:hAnsi="Times New Roman" w:cs="Times New Roman"/>
          <w:sz w:val="24"/>
          <w:szCs w:val="24"/>
        </w:rPr>
        <w:t>00253901</w:t>
      </w:r>
    </w:p>
    <w:p w:rsidR="005D623E" w:rsidRPr="007C55FF" w:rsidRDefault="005D623E" w:rsidP="00F65B34">
      <w:pPr>
        <w:pStyle w:val="Prosttext1"/>
        <w:ind w:firstLine="709"/>
        <w:rPr>
          <w:rFonts w:ascii="Times New Roman" w:hAnsi="Times New Roman" w:cs="Times New Roman"/>
        </w:rPr>
      </w:pPr>
    </w:p>
    <w:p w:rsidR="001B68A1" w:rsidRDefault="001B68A1">
      <w:pPr>
        <w:pStyle w:val="Prosttext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VI. Místo plnění </w:t>
      </w:r>
    </w:p>
    <w:p w:rsidR="001B68A1" w:rsidRDefault="001B68A1">
      <w:pPr>
        <w:pStyle w:val="Prosttext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5FF" w:rsidRDefault="001B68A1" w:rsidP="007C55FF">
      <w:pPr>
        <w:widowControl/>
        <w:suppressAutoHyphens w:val="0"/>
        <w:autoSpaceDE w:val="0"/>
        <w:autoSpaceDN w:val="0"/>
        <w:adjustRightInd w:val="0"/>
        <w:rPr>
          <w:rFonts w:eastAsia="Times New Roman"/>
          <w:szCs w:val="28"/>
          <w:lang w:eastAsia="cs-CZ"/>
        </w:rPr>
      </w:pPr>
      <w:r w:rsidRPr="007C55FF">
        <w:t xml:space="preserve">Místem dodávky je </w:t>
      </w:r>
      <w:r w:rsidR="007C55FF" w:rsidRPr="007C55FF">
        <w:rPr>
          <w:rFonts w:eastAsia="Times New Roman"/>
          <w:szCs w:val="28"/>
          <w:lang w:eastAsia="cs-CZ"/>
        </w:rPr>
        <w:t>Město Aš, Kamenná 473/52, 352 01 Aš</w:t>
      </w:r>
      <w:r w:rsidR="00F65B34">
        <w:rPr>
          <w:rFonts w:eastAsia="Times New Roman"/>
          <w:szCs w:val="28"/>
          <w:lang w:eastAsia="cs-CZ"/>
        </w:rPr>
        <w:t>.</w:t>
      </w:r>
    </w:p>
    <w:p w:rsidR="005D623E" w:rsidRPr="007C55FF" w:rsidRDefault="005D623E" w:rsidP="007C55FF">
      <w:pPr>
        <w:widowControl/>
        <w:suppressAutoHyphens w:val="0"/>
        <w:autoSpaceDE w:val="0"/>
        <w:autoSpaceDN w:val="0"/>
        <w:adjustRightInd w:val="0"/>
        <w:rPr>
          <w:rFonts w:eastAsia="Times New Roman"/>
          <w:szCs w:val="28"/>
          <w:lang w:eastAsia="cs-CZ"/>
        </w:rPr>
      </w:pPr>
    </w:p>
    <w:p w:rsidR="001B68A1" w:rsidRDefault="001B68A1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1B68A1" w:rsidRDefault="001B68A1">
      <w:pPr>
        <w:pStyle w:val="Prosttext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VII. Povinnosti dodavatele </w:t>
      </w:r>
    </w:p>
    <w:p w:rsidR="001B68A1" w:rsidRDefault="001B68A1">
      <w:pPr>
        <w:pStyle w:val="Prosttext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8A1" w:rsidRDefault="001B68A1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Dodavatel je povinen předat předmět plnění bez vad a nedodělků. Dodavatel odpovídá za to, že předmět plnění jako celek i každá jeho jednotlivá dílčí část bude způsobilá k účelu, pro který byla kupujícím objednána a dodavatelem dodána. </w:t>
      </w:r>
    </w:p>
    <w:p w:rsidR="001B68A1" w:rsidRDefault="001B68A1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1B68A1" w:rsidRDefault="001B68A1"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Záruční doba na dodávku je </w:t>
      </w:r>
      <w:r w:rsidR="00AF1F2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měsíců</w:t>
      </w:r>
      <w:r w:rsidR="00EF024E">
        <w:rPr>
          <w:rFonts w:ascii="Times New Roman" w:hAnsi="Times New Roman" w:cs="Times New Roman"/>
          <w:sz w:val="24"/>
          <w:szCs w:val="24"/>
        </w:rPr>
        <w:t xml:space="preserve"> na notebooky a </w:t>
      </w:r>
      <w:r w:rsidR="00AF1F23">
        <w:rPr>
          <w:rFonts w:ascii="Times New Roman" w:hAnsi="Times New Roman" w:cs="Times New Roman"/>
          <w:sz w:val="24"/>
          <w:szCs w:val="24"/>
        </w:rPr>
        <w:t>24</w:t>
      </w:r>
      <w:r w:rsidR="00EF024E">
        <w:rPr>
          <w:rFonts w:ascii="Times New Roman" w:hAnsi="Times New Roman" w:cs="Times New Roman"/>
          <w:sz w:val="24"/>
          <w:szCs w:val="24"/>
        </w:rPr>
        <w:t xml:space="preserve"> měsíců na </w:t>
      </w:r>
      <w:r w:rsidR="00AF1F23">
        <w:rPr>
          <w:rFonts w:ascii="Times New Roman" w:hAnsi="Times New Roman" w:cs="Times New Roman"/>
          <w:sz w:val="24"/>
          <w:szCs w:val="24"/>
        </w:rPr>
        <w:t>brašny</w:t>
      </w:r>
      <w:r w:rsidR="00EF0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7C1B" w:rsidRDefault="004F7C1B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4F7C1B" w:rsidRDefault="004F7C1B">
      <w:pPr>
        <w:pStyle w:val="Prosttext1"/>
      </w:pPr>
    </w:p>
    <w:p w:rsidR="001B68A1" w:rsidRDefault="001B68A1">
      <w:pPr>
        <w:pStyle w:val="Prosttext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VIII. Povinnosti kupujícího </w:t>
      </w:r>
    </w:p>
    <w:p w:rsidR="001B68A1" w:rsidRDefault="001B68A1">
      <w:pPr>
        <w:pStyle w:val="Prosttext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8A1" w:rsidRDefault="001B68A1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je povinen zaplatit dodavateli kupní cenu v uvedené výši a dohodnutým způsobem dle bodu V. Platební podmínky a fakturace. </w:t>
      </w:r>
    </w:p>
    <w:p w:rsidR="005D623E" w:rsidRDefault="005D623E">
      <w:pPr>
        <w:pStyle w:val="Prosttext1"/>
        <w:jc w:val="both"/>
      </w:pPr>
    </w:p>
    <w:p w:rsidR="001B68A1" w:rsidRDefault="001B68A1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1B68A1" w:rsidRDefault="001B68A1">
      <w:pPr>
        <w:pStyle w:val="Prosttext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IX. Smluvní pokuty </w:t>
      </w:r>
    </w:p>
    <w:p w:rsidR="001B68A1" w:rsidRDefault="001B68A1">
      <w:pPr>
        <w:pStyle w:val="Prosttext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8A1" w:rsidRDefault="001B68A1">
      <w:pPr>
        <w:pStyle w:val="Prosttext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Dodavatel je povinen zaplatit kupujícímu na jeho výzvu smluvní pokutu ve výši 0,05% z dlužné částky bez DPH za nedodané zboží za každý den prodlení s plněním předmětu smlouvy.  </w:t>
      </w:r>
    </w:p>
    <w:p w:rsidR="001B68A1" w:rsidRDefault="001B68A1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1B68A1" w:rsidRDefault="001B68A1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je povinen zaplatit dodavateli na jeho výzvu smluvní úrok z prodlení v případě prodlení se zaplacením peněžitých závazků v dohodnuté lhůtě splatnosti ve výši 0,05% z dlužné částky za každý den prodlení. </w:t>
      </w:r>
    </w:p>
    <w:p w:rsidR="00F80694" w:rsidRDefault="00F80694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F80694" w:rsidRDefault="00F80694">
      <w:pPr>
        <w:pStyle w:val="Prosttext1"/>
        <w:jc w:val="both"/>
      </w:pPr>
    </w:p>
    <w:p w:rsidR="001B68A1" w:rsidRDefault="001B68A1">
      <w:pPr>
        <w:pStyle w:val="Prosttext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X. Závěrečné ujednání </w:t>
      </w:r>
    </w:p>
    <w:p w:rsidR="001B68A1" w:rsidRDefault="001B68A1">
      <w:pPr>
        <w:pStyle w:val="Prosttext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DE6" w:rsidRPr="00B02DE6" w:rsidRDefault="001B68A1" w:rsidP="00B02DE6">
      <w:pPr>
        <w:pStyle w:val="Prosttext1"/>
        <w:numPr>
          <w:ilvl w:val="0"/>
          <w:numId w:val="2"/>
        </w:numPr>
        <w:spacing w:after="100"/>
        <w:ind w:left="357" w:hanging="357"/>
        <w:jc w:val="both"/>
      </w:pPr>
      <w:r w:rsidRPr="00B02DE6">
        <w:rPr>
          <w:rFonts w:ascii="Times New Roman" w:hAnsi="Times New Roman" w:cs="Times New Roman"/>
          <w:sz w:val="24"/>
          <w:szCs w:val="24"/>
        </w:rPr>
        <w:t>Dodavatel je povinen sdělit v případě zániku firmy tuto skutečnost, event. právního nástupce.</w:t>
      </w:r>
    </w:p>
    <w:p w:rsidR="00B02DE6" w:rsidRPr="00B02DE6" w:rsidRDefault="001B68A1" w:rsidP="00B02DE6">
      <w:pPr>
        <w:pStyle w:val="Prosttext1"/>
        <w:numPr>
          <w:ilvl w:val="0"/>
          <w:numId w:val="2"/>
        </w:numPr>
        <w:spacing w:after="100"/>
        <w:ind w:left="357" w:hanging="357"/>
        <w:jc w:val="both"/>
      </w:pPr>
      <w:r w:rsidRPr="00B02DE6">
        <w:rPr>
          <w:rFonts w:ascii="Times New Roman" w:hAnsi="Times New Roman" w:cs="Times New Roman"/>
          <w:sz w:val="24"/>
          <w:szCs w:val="24"/>
        </w:rPr>
        <w:t xml:space="preserve">Veškeré doplňky a změny této smlouvy mohou být sjednány pouze v písemných číslovaných dodatcích této kupní smlouvy, odsouhlasených statutárními orgány nebo zmocněnými zástupci obou smluvních stran. </w:t>
      </w:r>
    </w:p>
    <w:p w:rsidR="00B02DE6" w:rsidRPr="00B02DE6" w:rsidRDefault="001B68A1" w:rsidP="00B02DE6">
      <w:pPr>
        <w:pStyle w:val="Prosttext1"/>
        <w:numPr>
          <w:ilvl w:val="0"/>
          <w:numId w:val="2"/>
        </w:numPr>
        <w:spacing w:after="100"/>
        <w:ind w:left="357" w:hanging="357"/>
        <w:jc w:val="both"/>
      </w:pPr>
      <w:r w:rsidRPr="00B02DE6">
        <w:rPr>
          <w:rFonts w:ascii="Times New Roman" w:hAnsi="Times New Roman" w:cs="Times New Roman"/>
          <w:sz w:val="24"/>
          <w:szCs w:val="24"/>
        </w:rPr>
        <w:t>Práva a povinnosti smluvních stran výslovně neupravená touto smlouvou se řídí příslušnými ustanoveními občanského zákoníku.</w:t>
      </w:r>
    </w:p>
    <w:p w:rsidR="00B02DE6" w:rsidRPr="00B02DE6" w:rsidRDefault="001B68A1" w:rsidP="00B02DE6">
      <w:pPr>
        <w:pStyle w:val="Prosttext1"/>
        <w:numPr>
          <w:ilvl w:val="0"/>
          <w:numId w:val="2"/>
        </w:numPr>
        <w:spacing w:after="100"/>
        <w:ind w:left="357" w:hanging="357"/>
        <w:jc w:val="both"/>
      </w:pPr>
      <w:r w:rsidRPr="00B02DE6">
        <w:rPr>
          <w:rFonts w:ascii="Times New Roman" w:hAnsi="Times New Roman" w:cs="Times New Roman"/>
          <w:sz w:val="24"/>
          <w:szCs w:val="24"/>
        </w:rPr>
        <w:t xml:space="preserve">Tato smlouva je vyhotovena ve </w:t>
      </w:r>
      <w:r w:rsidR="00D87ED6">
        <w:rPr>
          <w:rFonts w:ascii="Times New Roman" w:hAnsi="Times New Roman" w:cs="Times New Roman"/>
          <w:sz w:val="24"/>
          <w:szCs w:val="24"/>
        </w:rPr>
        <w:t>dvou vyhotoveních</w:t>
      </w:r>
      <w:r w:rsidRPr="00B02DE6">
        <w:rPr>
          <w:rFonts w:ascii="Times New Roman" w:hAnsi="Times New Roman" w:cs="Times New Roman"/>
          <w:sz w:val="24"/>
          <w:szCs w:val="24"/>
        </w:rPr>
        <w:t xml:space="preserve">, přičemž každá smluvní strana obdrží </w:t>
      </w:r>
      <w:r w:rsidR="00D87ED6">
        <w:rPr>
          <w:rFonts w:ascii="Times New Roman" w:hAnsi="Times New Roman" w:cs="Times New Roman"/>
          <w:sz w:val="24"/>
          <w:szCs w:val="24"/>
        </w:rPr>
        <w:t>po jednom</w:t>
      </w:r>
      <w:r w:rsidRPr="00B02DE6">
        <w:rPr>
          <w:rFonts w:ascii="Times New Roman" w:hAnsi="Times New Roman" w:cs="Times New Roman"/>
          <w:sz w:val="24"/>
          <w:szCs w:val="24"/>
        </w:rPr>
        <w:t>.</w:t>
      </w:r>
    </w:p>
    <w:p w:rsidR="00B02DE6" w:rsidRPr="00B02DE6" w:rsidRDefault="001B68A1" w:rsidP="00B02DE6">
      <w:pPr>
        <w:pStyle w:val="Prosttext1"/>
        <w:numPr>
          <w:ilvl w:val="0"/>
          <w:numId w:val="2"/>
        </w:numPr>
        <w:spacing w:after="100"/>
        <w:ind w:left="357" w:hanging="357"/>
        <w:jc w:val="both"/>
      </w:pPr>
      <w:r w:rsidRPr="00B02DE6">
        <w:rPr>
          <w:rFonts w:ascii="Times New Roman" w:hAnsi="Times New Roman" w:cs="Times New Roman"/>
          <w:sz w:val="24"/>
          <w:szCs w:val="24"/>
        </w:rPr>
        <w:t>Smluvní strany prohlašují, že byly řádně seznámeny s obsahem této smlouvy</w:t>
      </w:r>
      <w:r w:rsidR="00B02DE6" w:rsidRPr="00B02DE6">
        <w:rPr>
          <w:rFonts w:ascii="Times New Roman" w:hAnsi="Times New Roman" w:cs="Times New Roman"/>
          <w:sz w:val="24"/>
          <w:szCs w:val="24"/>
        </w:rPr>
        <w:t>.</w:t>
      </w:r>
    </w:p>
    <w:p w:rsidR="00B02DE6" w:rsidRPr="00B02DE6" w:rsidRDefault="001B68A1" w:rsidP="00B02DE6">
      <w:pPr>
        <w:pStyle w:val="Prosttext1"/>
        <w:numPr>
          <w:ilvl w:val="0"/>
          <w:numId w:val="2"/>
        </w:numPr>
        <w:spacing w:after="100"/>
        <w:ind w:left="357" w:hanging="357"/>
        <w:jc w:val="both"/>
      </w:pPr>
      <w:r w:rsidRPr="00B02DE6">
        <w:rPr>
          <w:rFonts w:ascii="Times New Roman" w:hAnsi="Times New Roman" w:cs="Times New Roman"/>
          <w:sz w:val="24"/>
          <w:szCs w:val="24"/>
        </w:rPr>
        <w:t>Smlouva nabývá platnosti a účinnosti dnem jejího podpisu oprávněnými zástupci dodavatele a kupujícího</w:t>
      </w:r>
      <w:r w:rsidR="00B02DE6" w:rsidRPr="00B02DE6">
        <w:rPr>
          <w:rFonts w:ascii="Times New Roman" w:hAnsi="Times New Roman" w:cs="Times New Roman"/>
          <w:sz w:val="24"/>
          <w:szCs w:val="24"/>
        </w:rPr>
        <w:t>.</w:t>
      </w:r>
    </w:p>
    <w:p w:rsidR="000D5F90" w:rsidRPr="00D87ED6" w:rsidRDefault="001B68A1" w:rsidP="000D5F90">
      <w:pPr>
        <w:pStyle w:val="Prosttext1"/>
        <w:numPr>
          <w:ilvl w:val="0"/>
          <w:numId w:val="2"/>
        </w:numPr>
        <w:spacing w:after="100"/>
        <w:ind w:left="357" w:hanging="357"/>
        <w:jc w:val="both"/>
      </w:pPr>
      <w:r w:rsidRPr="00B02DE6">
        <w:rPr>
          <w:rFonts w:ascii="Times New Roman" w:hAnsi="Times New Roman" w:cs="Times New Roman"/>
          <w:sz w:val="24"/>
          <w:szCs w:val="24"/>
        </w:rPr>
        <w:t>Smlouva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hodnoty, vždy ve znění platných předpisů).</w:t>
      </w:r>
    </w:p>
    <w:p w:rsidR="00D87ED6" w:rsidRPr="00D87ED6" w:rsidRDefault="00D87ED6" w:rsidP="000D5F90">
      <w:pPr>
        <w:pStyle w:val="Prosttext1"/>
        <w:numPr>
          <w:ilvl w:val="0"/>
          <w:numId w:val="2"/>
        </w:numPr>
        <w:spacing w:after="10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7ED6">
        <w:rPr>
          <w:rFonts w:ascii="Times New Roman" w:hAnsi="Times New Roman" w:cs="Times New Roman"/>
          <w:sz w:val="24"/>
          <w:szCs w:val="24"/>
        </w:rPr>
        <w:t>Smluvní strany prohlašují, že skutečnosti uvedené v této smlouvě nepovažují za obchodní tajemství ve smyslu ustanovení občanského zákoníku a udělují svolení k jejich užití a zveřejnění bez stanovení jakýchkoliv dalších podmínek.</w:t>
      </w:r>
    </w:p>
    <w:p w:rsidR="004B0DA7" w:rsidRPr="004B0DA7" w:rsidRDefault="004B0DA7" w:rsidP="000D5F90">
      <w:pPr>
        <w:pStyle w:val="Prosttext1"/>
        <w:numPr>
          <w:ilvl w:val="0"/>
          <w:numId w:val="2"/>
        </w:numPr>
        <w:spacing w:after="10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0DA7">
        <w:rPr>
          <w:rFonts w:ascii="Times New Roman" w:hAnsi="Times New Roman" w:cs="Times New Roman"/>
          <w:sz w:val="24"/>
          <w:szCs w:val="24"/>
        </w:rPr>
        <w:t>Smluvní strany souhlasí se zveřejněním této smlouvy v jejím plném znění dle zákona č. 340/2015 Sb., o zvláštních podmínkách účinnosti některých smluv, uveřejňování těchto smluv a o registru smluv (zákon o registru smluv), ve znění pozdějších předpisů.</w:t>
      </w:r>
    </w:p>
    <w:p w:rsidR="000D5F90" w:rsidRPr="000D5F90" w:rsidRDefault="000D5F90" w:rsidP="000D5F90">
      <w:pPr>
        <w:pStyle w:val="Prosttext1"/>
        <w:numPr>
          <w:ilvl w:val="0"/>
          <w:numId w:val="2"/>
        </w:numPr>
        <w:spacing w:after="10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5F90">
        <w:rPr>
          <w:rFonts w:ascii="Times New Roman" w:hAnsi="Times New Roman" w:cs="Times New Roman"/>
          <w:sz w:val="24"/>
          <w:szCs w:val="24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smluv), ve znění pozdějších předpisů, zajistí zákazník.</w:t>
      </w:r>
    </w:p>
    <w:p w:rsidR="00C94B0D" w:rsidRPr="00C94B0D" w:rsidRDefault="00C94B0D" w:rsidP="00C94B0D">
      <w:pPr>
        <w:pStyle w:val="Prosttext1"/>
        <w:numPr>
          <w:ilvl w:val="0"/>
          <w:numId w:val="2"/>
        </w:numPr>
        <w:spacing w:after="10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4B0D">
        <w:rPr>
          <w:rFonts w:ascii="Times New Roman" w:hAnsi="Times New Roman" w:cs="Times New Roman"/>
          <w:sz w:val="24"/>
          <w:szCs w:val="24"/>
        </w:rPr>
        <w:t xml:space="preserve">V souladu s § 41 odst. 1 zákona č. 128/2000 Sb., o obcích (obecní zřízení), ve znění pozdějších předpisů Město Aš potvrzuje, že byly splněny podmínky pro uzavření této smlouvy. Uzavření </w:t>
      </w:r>
      <w:r w:rsidRPr="00C94B0D">
        <w:rPr>
          <w:rFonts w:ascii="Times New Roman" w:hAnsi="Times New Roman" w:cs="Times New Roman"/>
          <w:sz w:val="24"/>
          <w:szCs w:val="24"/>
        </w:rPr>
        <w:lastRenderedPageBreak/>
        <w:t>této smlouvy bylo schváleno usnesením RM 10/496/22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B0D">
        <w:rPr>
          <w:rFonts w:ascii="Times New Roman" w:hAnsi="Times New Roman" w:cs="Times New Roman"/>
          <w:sz w:val="24"/>
          <w:szCs w:val="24"/>
        </w:rPr>
        <w:t>ze dne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94B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října </w:t>
      </w:r>
      <w:r w:rsidRPr="00C94B0D">
        <w:rPr>
          <w:rFonts w:ascii="Times New Roman" w:hAnsi="Times New Roman" w:cs="Times New Roman"/>
          <w:sz w:val="24"/>
          <w:szCs w:val="24"/>
        </w:rPr>
        <w:t>2022 a to na základě řádně vyhlášeného a vyhodnoceného výběrového řízení.</w:t>
      </w:r>
    </w:p>
    <w:p w:rsidR="00C94B0D" w:rsidRDefault="00C94B0D" w:rsidP="00C94B0D">
      <w:pPr>
        <w:pStyle w:val="Prosttext1"/>
        <w:spacing w:after="100"/>
        <w:jc w:val="both"/>
      </w:pPr>
    </w:p>
    <w:p w:rsidR="00F80694" w:rsidRDefault="00F80694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1B68A1" w:rsidRDefault="001B68A1" w:rsidP="00E5769C">
      <w:pPr>
        <w:pStyle w:val="Prosttext1"/>
        <w:ind w:firstLine="426"/>
      </w:pPr>
      <w:r>
        <w:rPr>
          <w:rFonts w:ascii="Times New Roman" w:hAnsi="Times New Roman" w:cs="Times New Roman"/>
          <w:sz w:val="24"/>
          <w:szCs w:val="24"/>
        </w:rPr>
        <w:t xml:space="preserve">za kupujícího: </w:t>
      </w:r>
      <w:r w:rsidR="00D87ED6">
        <w:rPr>
          <w:rFonts w:ascii="Times New Roman" w:hAnsi="Times New Roman" w:cs="Times New Roman"/>
          <w:sz w:val="24"/>
          <w:szCs w:val="24"/>
        </w:rPr>
        <w:tab/>
      </w:r>
      <w:r w:rsidR="00D87ED6">
        <w:rPr>
          <w:rFonts w:ascii="Times New Roman" w:hAnsi="Times New Roman" w:cs="Times New Roman"/>
          <w:sz w:val="24"/>
          <w:szCs w:val="24"/>
        </w:rPr>
        <w:tab/>
      </w:r>
      <w:r w:rsidR="00D87ED6">
        <w:rPr>
          <w:rFonts w:ascii="Times New Roman" w:hAnsi="Times New Roman" w:cs="Times New Roman"/>
          <w:sz w:val="24"/>
          <w:szCs w:val="24"/>
        </w:rPr>
        <w:tab/>
      </w:r>
      <w:r w:rsidR="00D87ED6">
        <w:rPr>
          <w:rFonts w:ascii="Times New Roman" w:hAnsi="Times New Roman" w:cs="Times New Roman"/>
          <w:sz w:val="24"/>
          <w:szCs w:val="24"/>
        </w:rPr>
        <w:tab/>
      </w:r>
      <w:r w:rsidR="00D87ED6">
        <w:rPr>
          <w:rFonts w:ascii="Times New Roman" w:hAnsi="Times New Roman" w:cs="Times New Roman"/>
          <w:sz w:val="24"/>
          <w:szCs w:val="24"/>
        </w:rPr>
        <w:tab/>
      </w:r>
      <w:r w:rsidR="00E576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 dodavatele: </w:t>
      </w:r>
    </w:p>
    <w:p w:rsidR="00D87ED6" w:rsidRDefault="00D87ED6" w:rsidP="00E5769C">
      <w:pPr>
        <w:pStyle w:val="Prosttext1"/>
        <w:ind w:firstLine="426"/>
      </w:pPr>
    </w:p>
    <w:p w:rsidR="00D87ED6" w:rsidRPr="008C0CE3" w:rsidRDefault="00D87ED6" w:rsidP="00E5769C">
      <w:pPr>
        <w:ind w:firstLine="426"/>
      </w:pPr>
      <w:r>
        <w:t>V Aši dne ………………</w:t>
      </w:r>
      <w:r>
        <w:tab/>
      </w:r>
      <w:r>
        <w:tab/>
      </w:r>
      <w:r>
        <w:tab/>
      </w:r>
      <w:r>
        <w:tab/>
      </w:r>
      <w:r w:rsidRPr="00BB5AD7">
        <w:t xml:space="preserve">V </w:t>
      </w:r>
      <w:r>
        <w:t xml:space="preserve">Sokolově </w:t>
      </w:r>
      <w:r w:rsidRPr="00BB5AD7">
        <w:t xml:space="preserve">dne </w:t>
      </w:r>
      <w:r>
        <w:t>………………</w:t>
      </w:r>
    </w:p>
    <w:p w:rsidR="00D87ED6" w:rsidRPr="008C0CE3" w:rsidRDefault="00D87ED6" w:rsidP="00E5769C">
      <w:pPr>
        <w:ind w:firstLine="426"/>
      </w:pPr>
    </w:p>
    <w:p w:rsidR="00D87ED6" w:rsidRPr="008C0CE3" w:rsidRDefault="00D87ED6" w:rsidP="00E5769C">
      <w:pPr>
        <w:ind w:firstLine="426"/>
      </w:pPr>
    </w:p>
    <w:p w:rsidR="00D87ED6" w:rsidRDefault="00D87ED6" w:rsidP="00E5769C">
      <w:pPr>
        <w:ind w:firstLine="426"/>
      </w:pPr>
    </w:p>
    <w:p w:rsidR="00D87ED6" w:rsidRDefault="00D87ED6" w:rsidP="00E5769C">
      <w:pPr>
        <w:ind w:firstLine="426"/>
      </w:pPr>
    </w:p>
    <w:p w:rsidR="00D87ED6" w:rsidRPr="008C0CE3" w:rsidRDefault="00D87ED6" w:rsidP="00E5769C">
      <w:pPr>
        <w:ind w:firstLine="426"/>
      </w:pPr>
    </w:p>
    <w:p w:rsidR="00D87ED6" w:rsidRPr="008C0CE3" w:rsidRDefault="00D87ED6" w:rsidP="00E5769C">
      <w:pPr>
        <w:ind w:firstLine="426"/>
      </w:pPr>
      <w:r w:rsidRPr="008C0CE3">
        <w:t>--------------------------------------------</w:t>
      </w:r>
      <w:r w:rsidRPr="008C0CE3">
        <w:tab/>
      </w:r>
      <w:r w:rsidRPr="008C0CE3">
        <w:tab/>
      </w:r>
      <w:r w:rsidRPr="008C0CE3">
        <w:tab/>
        <w:t>------------------------------------------</w:t>
      </w:r>
    </w:p>
    <w:p w:rsidR="00D87ED6" w:rsidRPr="00BB5AD7" w:rsidRDefault="00D87ED6" w:rsidP="00E5769C">
      <w:pPr>
        <w:ind w:firstLine="426"/>
      </w:pPr>
      <w:r w:rsidRPr="00BB5AD7">
        <w:t>Mgr. Dalibor Blažek</w:t>
      </w:r>
      <w:r w:rsidRPr="00BB5AD7">
        <w:tab/>
      </w:r>
      <w:r w:rsidRPr="00BB5AD7">
        <w:tab/>
      </w:r>
      <w:r w:rsidRPr="00BB5AD7">
        <w:tab/>
      </w:r>
      <w:r w:rsidRPr="00BB5AD7">
        <w:tab/>
      </w:r>
      <w:r w:rsidRPr="00BB5AD7">
        <w:tab/>
      </w:r>
      <w:r>
        <w:t>Ing. Josef Vůjtěch</w:t>
      </w:r>
    </w:p>
    <w:p w:rsidR="00D87ED6" w:rsidRPr="00BB5AD7" w:rsidRDefault="00D87ED6" w:rsidP="00E5769C">
      <w:pPr>
        <w:ind w:firstLine="426"/>
      </w:pPr>
      <w:r w:rsidRPr="00BB5AD7">
        <w:t>starosta Města Aše</w:t>
      </w:r>
      <w:r w:rsidRPr="00BB5AD7">
        <w:tab/>
      </w:r>
      <w:r w:rsidRPr="00BB5AD7">
        <w:tab/>
      </w:r>
      <w:r w:rsidRPr="00BB5AD7">
        <w:tab/>
      </w:r>
      <w:r w:rsidRPr="00BB5AD7">
        <w:tab/>
      </w:r>
      <w:r w:rsidRPr="00BB5AD7">
        <w:tab/>
      </w:r>
      <w:r>
        <w:t>oprávněná osoba</w:t>
      </w:r>
    </w:p>
    <w:p w:rsidR="00D87ED6" w:rsidRDefault="00D87ED6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Default="009673B4" w:rsidP="00E5769C">
      <w:pPr>
        <w:pStyle w:val="Prosttext1"/>
        <w:ind w:firstLine="426"/>
      </w:pPr>
    </w:p>
    <w:p w:rsidR="009673B4" w:rsidRPr="009673B4" w:rsidRDefault="009673B4" w:rsidP="00E5769C">
      <w:pPr>
        <w:pStyle w:val="Prosttext1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Za věcnou správnost: Ing. Petr </w:t>
      </w:r>
      <w:proofErr w:type="spellStart"/>
      <w:r>
        <w:rPr>
          <w:sz w:val="16"/>
          <w:szCs w:val="16"/>
        </w:rPr>
        <w:t>Maceják</w:t>
      </w:r>
      <w:bookmarkStart w:id="1" w:name="_GoBack"/>
      <w:bookmarkEnd w:id="1"/>
      <w:proofErr w:type="spellEnd"/>
    </w:p>
    <w:sectPr w:rsidR="009673B4" w:rsidRPr="009673B4" w:rsidSect="009673B4">
      <w:footerReference w:type="default" r:id="rId10"/>
      <w:footerReference w:type="first" r:id="rId11"/>
      <w:pgSz w:w="11906" w:h="16838"/>
      <w:pgMar w:top="1739" w:right="1134" w:bottom="142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78" w:rsidRDefault="00027B78">
      <w:r>
        <w:separator/>
      </w:r>
    </w:p>
  </w:endnote>
  <w:endnote w:type="continuationSeparator" w:id="0">
    <w:p w:rsidR="00027B78" w:rsidRDefault="0002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A1" w:rsidRDefault="001B68A1">
    <w:pPr>
      <w:pStyle w:val="Zpat"/>
      <w:jc w:val="right"/>
    </w:pPr>
    <w:proofErr w:type="gramStart"/>
    <w:r>
      <w:t xml:space="preserve">Stránka </w:t>
    </w:r>
    <w:proofErr w:type="gramEnd"/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673B4">
      <w:rPr>
        <w:b/>
        <w:bCs/>
        <w:noProof/>
      </w:rPr>
      <w:t>2</w:t>
    </w:r>
    <w:r>
      <w:rPr>
        <w:b/>
        <w:bCs/>
      </w:rPr>
      <w:fldChar w:fldCharType="end"/>
    </w:r>
    <w:proofErr w:type="gramStart"/>
    <w:r>
      <w:t xml:space="preserve"> z </w:t>
    </w:r>
    <w:proofErr w:type="gramEnd"/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 w:rsidR="009673B4">
      <w:rPr>
        <w:b/>
        <w:bCs/>
        <w:noProof/>
      </w:rPr>
      <w:t>4</w:t>
    </w:r>
    <w:r>
      <w:rPr>
        <w:b/>
        <w:bCs/>
      </w:rPr>
      <w:fldChar w:fldCharType="end"/>
    </w:r>
  </w:p>
  <w:p w:rsidR="001B68A1" w:rsidRDefault="001B68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A1" w:rsidRDefault="001B68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78" w:rsidRDefault="00027B78">
      <w:r>
        <w:separator/>
      </w:r>
    </w:p>
  </w:footnote>
  <w:footnote w:type="continuationSeparator" w:id="0">
    <w:p w:rsidR="00027B78" w:rsidRDefault="0002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167E"/>
    <w:multiLevelType w:val="multilevel"/>
    <w:tmpl w:val="917CBD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635F5B"/>
    <w:multiLevelType w:val="hybridMultilevel"/>
    <w:tmpl w:val="FBF0E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725BB"/>
    <w:multiLevelType w:val="hybridMultilevel"/>
    <w:tmpl w:val="57C82D4A"/>
    <w:lvl w:ilvl="0" w:tplc="8676E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94"/>
    <w:rsid w:val="00002B79"/>
    <w:rsid w:val="00027147"/>
    <w:rsid w:val="00027B78"/>
    <w:rsid w:val="00096980"/>
    <w:rsid w:val="000C6CD4"/>
    <w:rsid w:val="000D5F90"/>
    <w:rsid w:val="000E1552"/>
    <w:rsid w:val="000E2FF1"/>
    <w:rsid w:val="00100F01"/>
    <w:rsid w:val="00173457"/>
    <w:rsid w:val="00180663"/>
    <w:rsid w:val="001B68A1"/>
    <w:rsid w:val="001C12CA"/>
    <w:rsid w:val="00265865"/>
    <w:rsid w:val="00285810"/>
    <w:rsid w:val="002A0CF5"/>
    <w:rsid w:val="00394BB0"/>
    <w:rsid w:val="00394FB4"/>
    <w:rsid w:val="003A1D79"/>
    <w:rsid w:val="003A1FAD"/>
    <w:rsid w:val="00434DA0"/>
    <w:rsid w:val="004A589A"/>
    <w:rsid w:val="004B0DA7"/>
    <w:rsid w:val="004F4103"/>
    <w:rsid w:val="004F7C1B"/>
    <w:rsid w:val="005644B3"/>
    <w:rsid w:val="005D623E"/>
    <w:rsid w:val="006F2A83"/>
    <w:rsid w:val="00723F24"/>
    <w:rsid w:val="007C55FF"/>
    <w:rsid w:val="00850C46"/>
    <w:rsid w:val="00921966"/>
    <w:rsid w:val="009673B4"/>
    <w:rsid w:val="009D4430"/>
    <w:rsid w:val="00A10DE7"/>
    <w:rsid w:val="00A200EE"/>
    <w:rsid w:val="00A36D88"/>
    <w:rsid w:val="00A533BB"/>
    <w:rsid w:val="00A75130"/>
    <w:rsid w:val="00A9326B"/>
    <w:rsid w:val="00AF1F23"/>
    <w:rsid w:val="00B02DE6"/>
    <w:rsid w:val="00BA3268"/>
    <w:rsid w:val="00BF28BF"/>
    <w:rsid w:val="00C94B0D"/>
    <w:rsid w:val="00D015FA"/>
    <w:rsid w:val="00D87ED6"/>
    <w:rsid w:val="00DA53F8"/>
    <w:rsid w:val="00E5769C"/>
    <w:rsid w:val="00EF024E"/>
    <w:rsid w:val="00EF1488"/>
    <w:rsid w:val="00F43DF5"/>
    <w:rsid w:val="00F65B34"/>
    <w:rsid w:val="00F80694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A9CDE3"/>
  <w15:chartTrackingRefBased/>
  <w15:docId w15:val="{7D79D1B0-3BC0-4880-B796-29A00929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5FF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patChar">
    <w:name w:val="Zápatí Char"/>
    <w:rPr>
      <w:rFonts w:eastAsia="Lucida Sans Unicode"/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Nzev">
    <w:name w:val="Title"/>
    <w:basedOn w:val="Normln"/>
    <w:next w:val="Zkladntext"/>
    <w:qFormat/>
    <w:pPr>
      <w:jc w:val="center"/>
    </w:pPr>
    <w:rPr>
      <w:b/>
      <w:bCs/>
      <w:sz w:val="28"/>
      <w:u w:val="single"/>
    </w:rPr>
  </w:style>
  <w:style w:type="paragraph" w:customStyle="1" w:styleId="Prosttext1">
    <w:name w:val="Prostý text1"/>
    <w:basedOn w:val="Normln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E2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C94B0D"/>
    <w:pPr>
      <w:widowControl/>
      <w:suppressAutoHyphens w:val="0"/>
      <w:ind w:left="720"/>
    </w:pPr>
    <w:rPr>
      <w:rFonts w:eastAsia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C9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76F01F82B5D429678E15B15714444" ma:contentTypeVersion="16" ma:contentTypeDescription="Vytvoří nový dokument" ma:contentTypeScope="" ma:versionID="a1188e3e9e9574a169dcd90aa84c1d5d">
  <xsd:schema xmlns:xsd="http://www.w3.org/2001/XMLSchema" xmlns:xs="http://www.w3.org/2001/XMLSchema" xmlns:p="http://schemas.microsoft.com/office/2006/metadata/properties" xmlns:ns2="492dcca4-c9b5-49a4-8a16-fdc4b3ef78ed" xmlns:ns3="93079506-c2de-43e9-97ff-6b5dff6bbf8f" targetNamespace="http://schemas.microsoft.com/office/2006/metadata/properties" ma:root="true" ma:fieldsID="2a7223940bef26e118797b3d3312e5b4" ns2:_="" ns3:_="">
    <xsd:import namespace="492dcca4-c9b5-49a4-8a16-fdc4b3ef78ed"/>
    <xsd:import namespace="93079506-c2de-43e9-97ff-6b5dff6bb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cca4-c9b5-49a4-8a16-fdc4b3ef7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e3cbe7c-a8ee-4dc5-b010-e39b45199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9506-c2de-43e9-97ff-6b5dff6bb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93befd-e567-4531-8c53-c5d7922e257b}" ma:internalName="TaxCatchAll" ma:showField="CatchAllData" ma:web="93079506-c2de-43e9-97ff-6b5dff6bb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079506-c2de-43e9-97ff-6b5dff6bbf8f"/>
    <lcf76f155ced4ddcb4097134ff3c332f xmlns="492dcca4-c9b5-49a4-8a16-fdc4b3ef78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C3F7FC-E748-4B3A-9F08-C6FF6BE33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32317-93D4-4A7E-83AC-A89335A4F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dcca4-c9b5-49a4-8a16-fdc4b3ef78ed"/>
    <ds:schemaRef ds:uri="93079506-c2de-43e9-97ff-6b5dff6bb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2998A-E2C2-4A47-95CB-469CE7677383}">
  <ds:schemaRefs>
    <ds:schemaRef ds:uri="http://schemas.microsoft.com/office/2006/metadata/properties"/>
    <ds:schemaRef ds:uri="http://schemas.microsoft.com/office/infopath/2007/PartnerControls"/>
    <ds:schemaRef ds:uri="93079506-c2de-43e9-97ff-6b5dff6bbf8f"/>
    <ds:schemaRef ds:uri="492dcca4-c9b5-49a4-8a16-fdc4b3ef78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Ředitel</dc:creator>
  <cp:keywords/>
  <cp:lastModifiedBy>Blanka Vaněčková Rašková</cp:lastModifiedBy>
  <cp:revision>6</cp:revision>
  <cp:lastPrinted>2022-10-12T06:15:00Z</cp:lastPrinted>
  <dcterms:created xsi:type="dcterms:W3CDTF">2022-10-11T11:32:00Z</dcterms:created>
  <dcterms:modified xsi:type="dcterms:W3CDTF">2022-10-12T06:17:00Z</dcterms:modified>
</cp:coreProperties>
</file>