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8"/>
        <w:widowControl w:val="0"/>
        <w:keepNext/>
        <w:keepLines/>
        <w:shd w:val="clear" w:color="auto" w:fill="auto"/>
        <w:bidi w:val="0"/>
        <w:spacing w:before="0" w:after="452" w:line="240" w:lineRule="exact"/>
        <w:ind w:left="0" w:right="280" w:firstLine="0"/>
      </w:pPr>
      <w:bookmarkStart w:id="0" w:name="bookmark0"/>
      <w:r>
        <w:rPr>
          <w:rStyle w:val="CharStyle9"/>
          <w:lang w:val="cs"/>
          <w:sz w:val="24"/>
          <w:szCs w:val="24"/>
          <w:rFonts w:ascii="Times New Roman" w:eastAsia="Times New Roman" w:hAnsi="Times New Roman" w:cs="Times New Roman"/>
          <w:w w:val="100"/>
          <w:color w:val="000000"/>
          <w:position w:val="0"/>
        </w:rPr>
        <w:t>Smlouva o kartách euroShelI Card</w:t>
      </w:r>
      <w:bookmarkEnd w:id="0"/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0" w:right="0" w:firstLine="0"/>
      </w:pPr>
      <w:r>
        <w:rPr>
          <w:rStyle w:val="CharStyle11"/>
          <w:lang w:val="cs"/>
          <w:rFonts w:ascii="Times New Roman" w:eastAsia="Times New Roman" w:hAnsi="Times New Roman" w:cs="Times New Roman"/>
          <w:w w:val="100"/>
          <w:color w:val="000000"/>
          <w:position w:val="0"/>
        </w:rPr>
        <w:t>Shell Czech Republic a.s.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0" w:right="0" w:firstLine="0"/>
      </w:pPr>
      <w:r>
        <w:rPr>
          <w:rStyle w:val="CharStyle13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se sídlem Antala Staška 2027/79, 140 00 Praha 4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0" w:right="0" w:firstLine="0"/>
      </w:pPr>
      <w:r>
        <w:rPr>
          <w:rStyle w:val="CharStyle13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IČ: 15890554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0" w:right="0" w:firstLine="0"/>
      </w:pPr>
      <w:r>
        <w:rPr>
          <w:rStyle w:val="CharStyle13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DIČ: CZ15890554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0" w:right="0" w:firstLine="0"/>
      </w:pPr>
      <w:r>
        <w:rPr>
          <w:rStyle w:val="CharStyle13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plátce DPH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540"/>
        <w:ind w:left="20" w:right="1680" w:firstLine="0"/>
      </w:pPr>
      <w:r>
        <w:rPr>
          <w:rStyle w:val="CharStyle13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zapsaná v obchodním rejstříku u Městského soudu v Praze, oddíl B, vložka 690, dne 26.dubna 1991</w:t>
        <w:br/>
        <w:t>společnost zastupuje Milan Pudich, Sales Manager Czech &amp; Slovakiana základě pověření ze dne 21.12.2011</w:t>
        <w:br/>
        <w:t>(dále jen „Společnost Shell")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0" w:right="0" w:firstLine="0"/>
      </w:pPr>
      <w:r>
        <w:rPr>
          <w:rStyle w:val="CharStyle11"/>
          <w:lang w:val="cs"/>
          <w:rFonts w:ascii="Times New Roman" w:eastAsia="Times New Roman" w:hAnsi="Times New Roman" w:cs="Times New Roman"/>
          <w:w w:val="100"/>
          <w:color w:val="000000"/>
          <w:position w:val="0"/>
        </w:rPr>
        <w:t>HORTUS správa zeleně s.r.o.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0" w:right="0" w:firstLine="0"/>
      </w:pPr>
      <w:r>
        <w:rPr>
          <w:rStyle w:val="CharStyle13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Praha 9, Rubeška 389/5, PSČ 190 00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0" w:right="0" w:firstLine="0"/>
      </w:pPr>
      <w:r>
        <w:rPr>
          <w:rStyle w:val="CharStyle13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zapsána u Městského soudu v Praze, oddíl C, vložka 27110, dne 2.března 1994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0" w:right="0" w:firstLine="0"/>
      </w:pPr>
      <w:r>
        <w:rPr>
          <w:rStyle w:val="CharStyle13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společnost zastupuje pan Jan Poupě, jednatel společnosti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0" w:right="0" w:firstLine="0"/>
      </w:pPr>
      <w:r>
        <w:rPr>
          <w:rStyle w:val="CharStyle13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IČ: 604 86 791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0" w:right="0" w:firstLine="0"/>
      </w:pPr>
      <w:r>
        <w:rPr>
          <w:rStyle w:val="CharStyle13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DIČ: CZ60486791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244"/>
        <w:ind w:left="20" w:right="0" w:firstLine="0"/>
      </w:pPr>
      <w:r>
        <w:rPr>
          <w:rStyle w:val="CharStyle13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(dále jen „Hlavní držitel karty")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304" w:line="150" w:lineRule="exact"/>
        <w:ind w:left="20" w:right="0" w:firstLine="0"/>
      </w:pPr>
      <w:r>
        <w:rPr>
          <w:rStyle w:val="CharStyle13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uzavřely níže uvedeného dne, měsíce a roku tuto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center"/>
        <w:spacing w:before="0" w:after="458" w:line="150" w:lineRule="exact"/>
        <w:ind w:left="0" w:right="280" w:firstLine="0"/>
      </w:pPr>
      <w:r>
        <w:rPr>
          <w:rStyle w:val="CharStyle14"/>
          <w:u w:val="none"/>
          <w:sz w:val="15"/>
          <w:szCs w:val="15"/>
        </w:rPr>
        <w:t>smlouvu o kartách euroShell Card</w:t>
      </w:r>
    </w:p>
    <w:p>
      <w:pPr>
        <w:pStyle w:val="Style15"/>
        <w:widowControl w:val="0"/>
        <w:keepNext/>
        <w:keepLines/>
        <w:shd w:val="clear" w:color="auto" w:fill="auto"/>
        <w:bidi w:val="0"/>
        <w:spacing w:before="0" w:after="0"/>
        <w:ind w:left="0" w:right="0" w:firstLine="0"/>
      </w:pPr>
      <w:bookmarkStart w:id="1" w:name="bookmark1"/>
      <w:r>
        <w:rPr>
          <w:rStyle w:val="CharStyle16"/>
          <w:lang w:val="cs"/>
          <w:rFonts w:ascii="Times New Roman" w:eastAsia="Times New Roman" w:hAnsi="Times New Roman" w:cs="Times New Roman"/>
          <w:w w:val="100"/>
          <w:color w:val="000000"/>
          <w:position w:val="0"/>
        </w:rPr>
        <w:t>ČI. I</w:t>
      </w:r>
      <w:bookmarkEnd w:id="1"/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center"/>
        <w:spacing w:before="0" w:after="0"/>
        <w:ind w:left="0" w:right="0" w:firstLine="0"/>
      </w:pPr>
      <w:r>
        <w:rPr>
          <w:rStyle w:val="CharStyle11"/>
          <w:lang w:val="cs"/>
          <w:rFonts w:ascii="Times New Roman" w:eastAsia="Times New Roman" w:hAnsi="Times New Roman" w:cs="Times New Roman"/>
          <w:w w:val="100"/>
          <w:color w:val="000000"/>
          <w:position w:val="0"/>
        </w:rPr>
        <w:t>Předmět smlouvy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both"/>
        <w:spacing w:before="0" w:after="180"/>
        <w:ind w:left="20" w:right="20" w:firstLine="0"/>
      </w:pPr>
      <w:r>
        <w:rPr>
          <w:rStyle w:val="CharStyle13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Společnost Shell se zavazuje zabezpečit vydání Karty/Karet Hlavnímu držiteli karty a vykonávat takové činnosti, aby Hlavnímu</w:t>
        <w:br/>
        <w:t>držiteli karty bylo umožněno nakupovat Dodávky na prodejních místech Účastníka programu karet euroShell prostřednictvím</w:t>
        <w:br/>
        <w:t>Karty a Hlavní držitel karty se zavazuje platit řádně a včas Poplatky za kartu a manipulační poplatky, jakož i cenu Dodávky.</w:t>
      </w:r>
    </w:p>
    <w:p>
      <w:pPr>
        <w:pStyle w:val="Style15"/>
        <w:widowControl w:val="0"/>
        <w:keepNext/>
        <w:keepLines/>
        <w:shd w:val="clear" w:color="auto" w:fill="auto"/>
        <w:bidi w:val="0"/>
        <w:spacing w:before="0" w:after="0"/>
        <w:ind w:left="0" w:right="0" w:firstLine="0"/>
      </w:pPr>
      <w:bookmarkStart w:id="2" w:name="bookmark2"/>
      <w:r>
        <w:rPr>
          <w:rStyle w:val="CharStyle16"/>
          <w:lang w:val="cs"/>
          <w:rFonts w:ascii="Times New Roman" w:eastAsia="Times New Roman" w:hAnsi="Times New Roman" w:cs="Times New Roman"/>
          <w:w w:val="100"/>
          <w:color w:val="000000"/>
          <w:position w:val="0"/>
        </w:rPr>
        <w:t>ČI. II</w:t>
      </w:r>
      <w:bookmarkEnd w:id="2"/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center"/>
        <w:spacing w:before="0" w:after="0"/>
        <w:ind w:left="0" w:right="0" w:firstLine="0"/>
      </w:pPr>
      <w:r>
        <w:rPr>
          <w:rStyle w:val="CharStyle11"/>
          <w:lang w:val="cs"/>
          <w:rFonts w:ascii="Times New Roman" w:eastAsia="Times New Roman" w:hAnsi="Times New Roman" w:cs="Times New Roman"/>
          <w:w w:val="100"/>
          <w:color w:val="000000"/>
          <w:position w:val="0"/>
        </w:rPr>
        <w:t>Cena Dodávky a způsob jejího vyúčtování</w:t>
      </w:r>
    </w:p>
    <w:p>
      <w:pPr>
        <w:pStyle w:val="Style12"/>
        <w:numPr>
          <w:ilvl w:val="0"/>
          <w:numId w:val="1"/>
        </w:numPr>
        <w:tabs>
          <w:tab w:leader="none" w:pos="26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20" w:right="20" w:firstLine="0"/>
      </w:pPr>
      <w:r>
        <w:rPr>
          <w:rStyle w:val="CharStyle13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Pro vyúčtování ceny Dodávky je rozhodná cena Dodávky platná v okamžiku její realizace na prodejním místě Účastníka</w:t>
        <w:br/>
        <w:t>programu karet euroShell, pokud v příloze, která je nedílnou součástí této Smlouvy a připojuje se k ní jako Příloha č.2, není</w:t>
        <w:br/>
        <w:t>uvedeno jinak.</w:t>
      </w:r>
    </w:p>
    <w:p>
      <w:pPr>
        <w:pStyle w:val="Style12"/>
        <w:numPr>
          <w:ilvl w:val="0"/>
          <w:numId w:val="1"/>
        </w:numPr>
        <w:tabs>
          <w:tab w:leader="none" w:pos="21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88"/>
        <w:ind w:left="20" w:right="0" w:firstLine="0"/>
      </w:pPr>
      <w:r>
        <w:rPr>
          <w:rStyle w:val="CharStyle13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Zúčtovací interval pro fakturaci (čl.6.1. Podmínek) je uveden v Příloze č.2 Smlouvy.</w:t>
      </w:r>
    </w:p>
    <w:p>
      <w:pPr>
        <w:pStyle w:val="Style15"/>
        <w:widowControl w:val="0"/>
        <w:keepNext/>
        <w:keepLines/>
        <w:shd w:val="clear" w:color="auto" w:fill="auto"/>
        <w:bidi w:val="0"/>
        <w:spacing w:before="0" w:after="0" w:line="221" w:lineRule="exact"/>
        <w:ind w:left="0" w:right="0" w:firstLine="0"/>
      </w:pPr>
      <w:bookmarkStart w:id="3" w:name="bookmark3"/>
      <w:r>
        <w:rPr>
          <w:rStyle w:val="CharStyle16"/>
          <w:lang w:val="cs"/>
          <w:rFonts w:ascii="Times New Roman" w:eastAsia="Times New Roman" w:hAnsi="Times New Roman" w:cs="Times New Roman"/>
          <w:w w:val="100"/>
          <w:color w:val="000000"/>
          <w:position w:val="0"/>
        </w:rPr>
        <w:t>ČI. III</w:t>
      </w:r>
      <w:bookmarkEnd w:id="3"/>
    </w:p>
    <w:p>
      <w:pPr>
        <w:pStyle w:val="Style15"/>
        <w:widowControl w:val="0"/>
        <w:keepNext/>
        <w:keepLines/>
        <w:shd w:val="clear" w:color="auto" w:fill="auto"/>
        <w:bidi w:val="0"/>
        <w:spacing w:before="0" w:after="0" w:line="221" w:lineRule="exact"/>
        <w:ind w:left="0" w:right="0" w:firstLine="0"/>
      </w:pPr>
      <w:bookmarkStart w:id="4" w:name="bookmark4"/>
      <w:r>
        <w:rPr>
          <w:rStyle w:val="CharStyle16"/>
          <w:lang w:val="cs"/>
          <w:rFonts w:ascii="Times New Roman" w:eastAsia="Times New Roman" w:hAnsi="Times New Roman" w:cs="Times New Roman"/>
          <w:w w:val="100"/>
          <w:color w:val="000000"/>
          <w:position w:val="0"/>
        </w:rPr>
        <w:t>Poplatky za kartu a manipulační poplatky</w:t>
      </w:r>
      <w:bookmarkEnd w:id="4"/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both"/>
        <w:spacing w:before="0" w:after="180" w:line="221" w:lineRule="exact"/>
        <w:ind w:left="20" w:right="20" w:firstLine="0"/>
      </w:pPr>
      <w:r>
        <w:rPr>
          <w:rStyle w:val="CharStyle13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Výše Poplatků za kartu a manipulačních poplatků a způsob jejich vyúčtování jsou uvedeny v příloze, která je nedílnou součástí</w:t>
        <w:br/>
        <w:t>Smlouvy a připojuje se k nijako Příloha č.3.</w:t>
      </w:r>
    </w:p>
    <w:p>
      <w:pPr>
        <w:pStyle w:val="Style15"/>
        <w:widowControl w:val="0"/>
        <w:keepNext/>
        <w:keepLines/>
        <w:shd w:val="clear" w:color="auto" w:fill="auto"/>
        <w:bidi w:val="0"/>
        <w:spacing w:before="0" w:after="0" w:line="221" w:lineRule="exact"/>
        <w:ind w:left="0" w:right="0" w:firstLine="0"/>
      </w:pPr>
      <w:bookmarkStart w:id="5" w:name="bookmark5"/>
      <w:r>
        <w:rPr>
          <w:rStyle w:val="CharStyle16"/>
          <w:lang w:val="cs"/>
          <w:rFonts w:ascii="Times New Roman" w:eastAsia="Times New Roman" w:hAnsi="Times New Roman" w:cs="Times New Roman"/>
          <w:w w:val="100"/>
          <w:color w:val="000000"/>
          <w:position w:val="0"/>
        </w:rPr>
        <w:t>ČI. IV</w:t>
      </w:r>
      <w:bookmarkEnd w:id="5"/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center"/>
        <w:spacing w:before="0" w:after="0" w:line="221" w:lineRule="exact"/>
        <w:ind w:left="0" w:right="0" w:firstLine="0"/>
      </w:pPr>
      <w:r>
        <w:rPr>
          <w:rStyle w:val="CharStyle11"/>
          <w:lang w:val="cs"/>
          <w:rFonts w:ascii="Times New Roman" w:eastAsia="Times New Roman" w:hAnsi="Times New Roman" w:cs="Times New Roman"/>
          <w:w w:val="100"/>
          <w:color w:val="000000"/>
          <w:position w:val="0"/>
        </w:rPr>
        <w:t>Všeobecné obchodní podmínky pro vydávání a používání karty euroShell Card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both"/>
        <w:spacing w:before="0" w:after="173" w:line="221" w:lineRule="exact"/>
        <w:ind w:left="20" w:right="20" w:firstLine="0"/>
      </w:pPr>
      <w:r>
        <w:rPr>
          <w:rStyle w:val="CharStyle13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Pokud není ve Smlouvě a jejích Přílohách č.2 až 3 výslovně uvedeno jinak, řídí se vydávání a používání Karet a další právní</w:t>
        <w:br/>
        <w:t>vztahy ze Smlouvy vyplývající a se Smlouvou související Podmínkami, které jsou uvedeny v příloze, jež je nedílnou součástí</w:t>
        <w:br/>
        <w:t>Smlouvy a připojuje se k ní jako Příloha č. 1.</w:t>
      </w:r>
    </w:p>
    <w:p>
      <w:pPr>
        <w:pStyle w:val="Style15"/>
        <w:widowControl w:val="0"/>
        <w:keepNext/>
        <w:keepLines/>
        <w:shd w:val="clear" w:color="auto" w:fill="auto"/>
        <w:bidi w:val="0"/>
        <w:spacing w:before="0" w:after="0"/>
        <w:ind w:left="0" w:right="0" w:firstLine="0"/>
      </w:pPr>
      <w:bookmarkStart w:id="6" w:name="bookmark6"/>
      <w:r>
        <w:rPr>
          <w:rStyle w:val="CharStyle16"/>
          <w:lang w:val="cs"/>
          <w:rFonts w:ascii="Times New Roman" w:eastAsia="Times New Roman" w:hAnsi="Times New Roman" w:cs="Times New Roman"/>
          <w:w w:val="100"/>
          <w:color w:val="000000"/>
          <w:position w:val="0"/>
        </w:rPr>
        <w:t>ČI. V</w:t>
      </w:r>
      <w:bookmarkEnd w:id="6"/>
    </w:p>
    <w:p>
      <w:pPr>
        <w:pStyle w:val="Style15"/>
        <w:widowControl w:val="0"/>
        <w:keepNext/>
        <w:keepLines/>
        <w:shd w:val="clear" w:color="auto" w:fill="auto"/>
        <w:bidi w:val="0"/>
        <w:spacing w:before="0" w:after="0"/>
        <w:ind w:left="0" w:right="0" w:firstLine="0"/>
      </w:pPr>
      <w:bookmarkStart w:id="7" w:name="bookmark7"/>
      <w:r>
        <w:rPr>
          <w:rStyle w:val="CharStyle16"/>
          <w:lang w:val="cs"/>
          <w:rFonts w:ascii="Times New Roman" w:eastAsia="Times New Roman" w:hAnsi="Times New Roman" w:cs="Times New Roman"/>
          <w:w w:val="100"/>
          <w:color w:val="000000"/>
          <w:position w:val="0"/>
        </w:rPr>
        <w:t>Platnost a účinnost Smlouvy</w:t>
      </w:r>
      <w:bookmarkEnd w:id="7"/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20" w:right="0" w:firstLine="0"/>
      </w:pPr>
      <w:r>
        <w:rPr>
          <w:rStyle w:val="CharStyle13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 .Smlouva se uzavírá na dobu neurčitou.</w:t>
      </w:r>
    </w:p>
    <w:p>
      <w:pPr>
        <w:pStyle w:val="Style12"/>
        <w:numPr>
          <w:ilvl w:val="1"/>
          <w:numId w:val="1"/>
        </w:numPr>
        <w:tabs>
          <w:tab w:leader="none" w:pos="22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20" w:right="0" w:firstLine="0"/>
      </w:pPr>
      <w:r>
        <w:rPr>
          <w:rStyle w:val="CharStyle13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Smlouvaje platná i účinná dnem jejího podpisu oběma smluvními stranami.</w:t>
      </w:r>
    </w:p>
    <w:p>
      <w:pPr>
        <w:pStyle w:val="Style12"/>
        <w:numPr>
          <w:ilvl w:val="1"/>
          <w:numId w:val="1"/>
        </w:numPr>
        <w:tabs>
          <w:tab w:leader="none" w:pos="24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1" w:lineRule="exact"/>
        <w:ind w:left="20" w:right="20" w:firstLine="0"/>
      </w:pPr>
      <w:r>
        <w:rPr>
          <w:rStyle w:val="CharStyle13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Pokud tato Smlouva nahrazuje dřívější smluvní ujednání a Hlavní držitel karty již obdržel Kartu/Karty a poskytl Společnosti</w:t>
        <w:br/>
        <w:t>Shell účinné zajištění, je tato Smlouva účinná dnem jejího podpisu oběma smluvními stranami.</w:t>
      </w:r>
    </w:p>
    <w:p>
      <w:pPr>
        <w:pStyle w:val="Style12"/>
        <w:numPr>
          <w:ilvl w:val="1"/>
          <w:numId w:val="1"/>
        </w:numPr>
        <w:tabs>
          <w:tab w:leader="none" w:pos="27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1" w:lineRule="exact"/>
        <w:ind w:left="20" w:right="20" w:firstLine="0"/>
      </w:pPr>
      <w:r>
        <w:rPr>
          <w:rStyle w:val="CharStyle13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Pokud tato Smlouva nahrazuje dřívější smluvní ujednání a Hlavní držitel karty již obdržel Kartu/Karty, avšak neposkytl</w:t>
        <w:br/>
        <w:t>Společnosti Shell doposud účinné zajištění, je tato Smlouva účinná dnem účinnosti takového zajištění. Neposkytne-li Hlavní</w:t>
        <w:br/>
        <w:t>držitel karty účinné zajištění do 15 dnů od podpisu této smlouvy zaniká automaticky tato smlouva marným uplynutím této</w:t>
        <w:br/>
      </w:r>
      <w:r>
        <w:rPr>
          <w:rStyle w:val="CharStyle17"/>
          <w:u w:val="none"/>
        </w:rPr>
        <w:t>patnáctidenní lhůty.</w:t>
      </w:r>
      <w:r>
        <w:br w:type="page"/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center"/>
        <w:spacing w:before="0" w:after="0"/>
        <w:ind w:left="0" w:right="0" w:firstLine="0"/>
      </w:pPr>
      <w:r>
        <w:rPr>
          <w:rStyle w:val="CharStyle18"/>
          <w:u w:val="none"/>
          <w:sz w:val="15"/>
          <w:szCs w:val="15"/>
        </w:rPr>
        <w:t>ČI. VI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center"/>
        <w:spacing w:before="0" w:after="0"/>
        <w:ind w:left="0" w:right="0" w:firstLine="0"/>
      </w:pPr>
      <w:r>
        <w:rPr>
          <w:rStyle w:val="CharStyle18"/>
          <w:u w:val="none"/>
          <w:sz w:val="15"/>
          <w:szCs w:val="15"/>
        </w:rPr>
        <w:t>Ustanovení společná a závěrečná</w:t>
      </w:r>
    </w:p>
    <w:p>
      <w:pPr>
        <w:pStyle w:val="Style12"/>
        <w:numPr>
          <w:ilvl w:val="0"/>
          <w:numId w:val="3"/>
        </w:numPr>
        <w:tabs>
          <w:tab w:leader="none" w:pos="25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40" w:right="40" w:firstLine="0"/>
      </w:pPr>
      <w:r>
        <w:rPr>
          <w:rStyle w:val="CharStyle19"/>
          <w:u w:val="none"/>
          <w:sz w:val="15"/>
          <w:szCs w:val="15"/>
        </w:rPr>
        <w:t>Společnost Shell zašle Hlavnímu držiteli karty Kartu/Karty bez zbytečného odkladu po té, kdy nastanou účinky zajištění, které</w:t>
        <w:br/>
        <w:t>Hlavní držitel karty dohodl se Společností Shell. Výše a forma zajištění jsou uvedeny v Příloze č.2 Smlouvy. Ustanovení čl.V</w:t>
        <w:br/>
        <w:t>odst.2) a 3) Smlouvy tím není dotčeno.</w:t>
      </w:r>
    </w:p>
    <w:p>
      <w:pPr>
        <w:pStyle w:val="Style12"/>
        <w:numPr>
          <w:ilvl w:val="0"/>
          <w:numId w:val="3"/>
        </w:numPr>
        <w:tabs>
          <w:tab w:leader="none" w:pos="27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40" w:right="40" w:firstLine="0"/>
      </w:pPr>
      <w:r>
        <w:rPr>
          <w:rStyle w:val="CharStyle19"/>
          <w:u w:val="none"/>
          <w:sz w:val="15"/>
          <w:szCs w:val="15"/>
        </w:rPr>
        <w:t>Karta není elektronickým peněžním prostředkem ve smyslu zákona č.21/1992 Sb.v platném znění, elektronickým platebním</w:t>
        <w:br/>
        <w:t>prostředkem ve smyslu zákona č. 284/2009 Sb. v platném znění ani bezhotovostním platebním prostředkem ve smyslu zákona č.</w:t>
        <w:br/>
        <w:t>253/2008 Sb. v platném znění.</w:t>
      </w:r>
    </w:p>
    <w:p>
      <w:pPr>
        <w:pStyle w:val="Style12"/>
        <w:numPr>
          <w:ilvl w:val="0"/>
          <w:numId w:val="3"/>
        </w:numPr>
        <w:tabs>
          <w:tab w:leader="none" w:pos="23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40" w:right="0" w:firstLine="0"/>
      </w:pPr>
      <w:r>
        <w:rPr>
          <w:rStyle w:val="CharStyle19"/>
          <w:u w:val="none"/>
          <w:sz w:val="15"/>
          <w:szCs w:val="15"/>
        </w:rPr>
        <w:t>Veškerá slova, pojmy, výrazy uvedená v této smlouvě mající význam definic, mají význam uvedený v čl.l Podmínek.</w:t>
      </w:r>
    </w:p>
    <w:p>
      <w:pPr>
        <w:pStyle w:val="Style12"/>
        <w:numPr>
          <w:ilvl w:val="0"/>
          <w:numId w:val="3"/>
        </w:numPr>
        <w:tabs>
          <w:tab w:leader="none" w:pos="29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40" w:right="40" w:firstLine="0"/>
      </w:pPr>
      <w:r>
        <w:rPr>
          <w:rStyle w:val="CharStyle19"/>
          <w:u w:val="none"/>
          <w:sz w:val="15"/>
          <w:szCs w:val="15"/>
        </w:rPr>
        <w:t>Práva a povinnosti, které nejsou výslovně upraveny ve Smlouvě nebo v Podmínkách, řídí se příslušnými ustanoveními</w:t>
        <w:br/>
        <w:t>obchodního zákoníku a občanského zákoníku v platných zněních, jakož i dalšími předpisy platného českého práva.</w:t>
      </w:r>
    </w:p>
    <w:p>
      <w:pPr>
        <w:pStyle w:val="Style12"/>
        <w:numPr>
          <w:ilvl w:val="0"/>
          <w:numId w:val="3"/>
        </w:numPr>
        <w:tabs>
          <w:tab w:leader="none" w:pos="29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40" w:right="40" w:firstLine="0"/>
      </w:pPr>
      <w:r>
        <w:rPr>
          <w:rStyle w:val="CharStyle19"/>
          <w:u w:val="none"/>
          <w:sz w:val="15"/>
          <w:szCs w:val="15"/>
        </w:rPr>
        <w:t>Smluvní strany se zavazují řešit všechny vzájemné spory, které by mezi nimi vznikly v souvislosti se Smlouvou vzájemným</w:t>
        <w:br/>
        <w:t>jednáním. Pokud takové spory nebudou jednáním řešitelné, aplikují se příslušná ustanovení Podmínek.</w:t>
      </w:r>
    </w:p>
    <w:p>
      <w:pPr>
        <w:pStyle w:val="Style12"/>
        <w:numPr>
          <w:ilvl w:val="0"/>
          <w:numId w:val="3"/>
        </w:numPr>
        <w:tabs>
          <w:tab w:leader="none" w:pos="24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40" w:right="40" w:firstLine="0"/>
      </w:pPr>
      <w:r>
        <w:rPr>
          <w:rStyle w:val="CharStyle19"/>
          <w:u w:val="none"/>
          <w:sz w:val="15"/>
          <w:szCs w:val="15"/>
        </w:rPr>
        <w:t>Tato Smlouva nahrazuje ode dne její účinnosti všechny předcházející smlouvy a dohody, které upravovaly vydávání, používání</w:t>
        <w:br/>
        <w:t>a další technické a právní otázky týkající se Karet. Smluvní strany konstatují, že pokud byla předcházející smlouva nebo</w:t>
        <w:br/>
        <w:t>dohoda zajištěna způsobem uvedeným v ust.§ 572 odst.(l) občanského zákoníku v platném znění, je tato Smlouva zajištěna ve</w:t>
        <w:br/>
        <w:t>smyslu citovaného ustanoveni stejným způsobem.</w:t>
      </w:r>
    </w:p>
    <w:p>
      <w:pPr>
        <w:pStyle w:val="Style12"/>
        <w:numPr>
          <w:ilvl w:val="0"/>
          <w:numId w:val="3"/>
        </w:numPr>
        <w:tabs>
          <w:tab w:leader="none" w:pos="24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40" w:right="40" w:firstLine="0"/>
      </w:pPr>
      <w:r>
        <w:rPr>
          <w:rStyle w:val="CharStyle19"/>
          <w:u w:val="none"/>
          <w:sz w:val="15"/>
          <w:szCs w:val="15"/>
        </w:rPr>
        <w:t>Tato Smlouva je vyhotovena ve čtyřech výtiscích, z nichž každý má povahu originálu. Hlavní držitel karty obdrží jeden výtisk</w:t>
        <w:br/>
        <w:t>Společnost Shell tři výtisky.</w:t>
      </w:r>
    </w:p>
    <w:p>
      <w:pPr>
        <w:pStyle w:val="Style12"/>
        <w:numPr>
          <w:ilvl w:val="0"/>
          <w:numId w:val="3"/>
        </w:numPr>
        <w:tabs>
          <w:tab w:leader="none" w:pos="24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40" w:right="0" w:firstLine="0"/>
      </w:pPr>
      <w:r>
        <w:rPr>
          <w:rStyle w:val="CharStyle19"/>
          <w:u w:val="none"/>
          <w:sz w:val="15"/>
          <w:szCs w:val="15"/>
        </w:rPr>
        <w:t>Smlouva má tyto přílohy: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0" w:right="3020" w:firstLine="0"/>
      </w:pPr>
      <w:r>
        <w:rPr>
          <w:rStyle w:val="CharStyle19"/>
          <w:u w:val="none"/>
          <w:sz w:val="15"/>
          <w:szCs w:val="15"/>
        </w:rPr>
        <w:t>Příloha č. 1 - Všeobecné obchodní podmínky pro vydávání a používání karty euroShell Card</w:t>
        <w:br/>
        <w:t>Příloha č.2 - Zvláštní ujednání</w:t>
        <w:br/>
        <w:t>Příloha č.3 - Ceník placených služeb</w:t>
      </w:r>
    </w:p>
    <w:p>
      <w:pPr>
        <w:pStyle w:val="Style12"/>
        <w:numPr>
          <w:ilvl w:val="0"/>
          <w:numId w:val="3"/>
        </w:numPr>
        <w:tabs>
          <w:tab w:leader="none" w:pos="25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914"/>
        <w:ind w:left="40" w:right="40" w:firstLin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33.05pt;margin-top:52.8pt;width:270.25pt;height:111.35pt;z-index:-251658752;mso-wrap-distance-left:5.pt;mso-wrap-distance-top:5.pt;mso-wrap-distance-right:5.pt;mso-wrap-distance-bottom:5.pt;mso-position-horizontal-relative:margin" wrapcoords="0 0 21600 0 21600 21600 0 21600 0 0">
            <v:imagedata r:id="rId5" r:href="rId6"/>
            <w10:wrap type="tight" anchorx="margin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81.55pt;margin-top:128.65pt;width:81.1pt;height:33.6pt;z-index:2;mso-wrap-distance-left:5.pt;mso-wrap-distance-top:5.pt;mso-wrap-distance-right:5.pt;mso-wrap-distance-bottom:5.pt;mso-position-horizontal-relative:margin" filled="0" stroked="0">
            <v:textbox style="mso-fit-shape-to-text:t" inset="0,0,0,0">
              <w:txbxContent>
                <w:p>
                  <w:pPr>
                    <w:pStyle w:val="Style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40" w:lineRule="exact"/>
                    <w:ind w:left="0" w:right="0" w:firstLine="0"/>
                  </w:pPr>
                  <w:r>
                    <w:rPr>
                      <w:rStyle w:val="CharStyle4"/>
                      <w:lang w:val="cs"/>
                      <w:u w:val="none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HORTimJďHl</w:t>
                  </w:r>
                </w:p>
                <w:p>
                  <w:pPr>
                    <w:pStyle w:val="Style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1" w:lineRule="exact"/>
                    <w:ind w:left="0" w:right="20" w:firstLine="0"/>
                  </w:pPr>
                  <w:r>
                    <w:rPr>
                      <w:rStyle w:val="CharStyle4"/>
                      <w:lang w:val="cs"/>
                      <w:u w:val="none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Jan Poupě^^fc</w:t>
                    <w:br/>
                    <w:t>Jednatel společnosti</w:t>
                  </w:r>
                </w:p>
              </w:txbxContent>
            </v:textbox>
            <w10:wrap type="square" anchorx="margin"/>
          </v:shape>
        </w:pict>
      </w:r>
      <w:r>
        <w:pict>
          <v:shape id="_x0000_s1028" type="#_x0000_t202" style="position:absolute;margin-left:404.9pt;margin-top:134.4pt;width:49.45pt;height:24.5pt;z-index:3;mso-wrap-distance-left:5.pt;mso-wrap-distance-top:5.pt;mso-wrap-distance-right:5.pt;mso-wrap-distance-bottom:5.pt;mso-position-horizontal-relative:margin" filled="0" stroked="0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60" w:firstLine="0"/>
                  </w:pPr>
                  <w:r>
                    <w:rPr>
                      <w:rStyle w:val="CharStyle6"/>
                      <w:lang w:val="cs"/>
                      <w:vertAlign w:val="superscript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00</w:t>
                  </w:r>
                  <w:r>
                    <w:rPr>
                      <w:rStyle w:val="CharStyle6"/>
                      <w:lang w:val="cs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 xml:space="preserve"> Praha 9</w:t>
                    <w:br/>
                  </w:r>
                  <w:r>
                    <w:rPr>
                      <w:rStyle w:val="CharStyle7"/>
                      <w:vertAlign w:val="superscript"/>
                      <w:u w:val="none"/>
                      <w:spacing w:val="0"/>
                    </w:rPr>
                    <w:t>CZ6</w:t>
                  </w:r>
                  <w:r>
                    <w:rPr>
                      <w:rStyle w:val="CharStyle7"/>
                      <w:u w:val="none"/>
                      <w:spacing w:val="0"/>
                    </w:rPr>
                    <w:t>04867</w:t>
                  </w:r>
                  <w:r>
                    <w:rPr>
                      <w:rStyle w:val="CharStyle7"/>
                      <w:vertAlign w:val="subscript"/>
                      <w:u w:val="none"/>
                      <w:spacing w:val="0"/>
                    </w:rPr>
                    <w:t>91</w:t>
                  </w:r>
                </w:p>
              </w:txbxContent>
            </v:textbox>
            <w10:wrap type="square" anchorx="margin"/>
          </v:shape>
        </w:pict>
      </w:r>
      <w:r>
        <w:rPr>
          <w:rStyle w:val="CharStyle19"/>
          <w:u w:val="none"/>
          <w:sz w:val="15"/>
          <w:szCs w:val="15"/>
        </w:rPr>
        <w:t>Zástupci obou stran této Smlouvy výslovně prohlašují, že (i) Smlouva vyjadřuje jejich pravou, vážnou a svobodnou vůli, (ii)</w:t>
        <w:br/>
        <w:t>Smlouva nebyla ujednána v tísni ani za nápadně nevýhodných podmínek, (iii) jsou oprávněni Smlouvu podepsat jménem stran,</w:t>
        <w:br/>
        <w:t>které zastupují.</w:t>
      </w:r>
    </w:p>
    <w:p>
      <w:pPr>
        <w:pStyle w:val="Style2"/>
        <w:framePr w:h="394" w:wrap="notBeside" w:vAnchor="text" w:hAnchor="text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rStyle w:val="CharStyle21"/>
          <w:u w:val="none"/>
          <w:sz w:val="15"/>
          <w:szCs w:val="15"/>
        </w:rPr>
        <w:t>V Praze dne 28. března 2012</w:t>
      </w:r>
    </w:p>
    <w:p>
      <w:pPr>
        <w:framePr w:h="394" w:wrap="notBeside" w:vAnchor="text" w:hAnchor="text" w:y="1"/>
        <w:widowControl w:val="0"/>
        <w:jc w:val="center"/>
        <w:rPr>
          <w:sz w:val="0"/>
          <w:szCs w:val="0"/>
        </w:rPr>
      </w:pPr>
      <w:r>
        <w:pict>
          <v:shape id="_x0000_s1029" type="#_x0000_t75" style="width:133pt;height:20pt;">
            <v:imagedata r:id="rId7" r:href="rId8"/>
          </v:shape>
        </w:pict>
      </w:r>
    </w:p>
    <w:p>
      <w:pPr>
        <w:widowControl w:val="0"/>
        <w:rPr>
          <w:sz w:val="2"/>
          <w:szCs w:val="2"/>
        </w:rPr>
      </w:pP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both"/>
        <w:spacing w:before="0" w:after="0" w:line="221" w:lineRule="exact"/>
        <w:ind w:left="40" w:right="0" w:firstLine="0"/>
      </w:pPr>
      <w:r>
        <w:rPr>
          <w:rStyle w:val="CharStyle19"/>
          <w:u w:val="none"/>
          <w:sz w:val="15"/>
          <w:szCs w:val="15"/>
        </w:rPr>
        <w:t>Shell Czech Republic a.s.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/>
        <w:ind w:left="40" w:right="0" w:firstLine="0"/>
      </w:pPr>
      <w:r>
        <w:rPr>
          <w:rStyle w:val="CharStyle23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Milan Pudich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center"/>
        <w:spacing w:before="0" w:after="0" w:line="221" w:lineRule="exact"/>
        <w:ind w:left="0" w:right="0" w:firstLine="0"/>
        <w:sectPr>
          <w:footnotePr>
            <w:pos w:val="pageBottom"/>
            <w:numFmt w:val="decimal"/>
            <w:numRestart w:val="continuous"/>
          </w:footnotePr>
          <w:type w:val="continuous"/>
          <w:pgSz w:w="11904" w:h="16838"/>
          <w:pgMar w:top="536" w:left="706" w:right="706" w:bottom="1369" w:header="0" w:footer="3" w:gutter="346"/>
          <w:rtlGutter/>
          <w:cols w:space="720"/>
          <w:noEndnote/>
          <w:docGrid w:linePitch="360"/>
        </w:sectPr>
      </w:pPr>
      <w:r>
        <w:rPr>
          <w:rStyle w:val="CharStyle19"/>
          <w:u w:val="none"/>
          <w:sz w:val="15"/>
          <w:szCs w:val="15"/>
        </w:rPr>
        <w:t>Sales Manager Czech &amp; Slovakia na základě pověření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  <w:sectPr>
          <w:pgSz w:w="11904" w:h="16838"/>
          <w:pgMar w:top="72" w:left="10540" w:right="442" w:bottom="527" w:header="0" w:footer="3" w:gutter="0"/>
          <w:rtlGutter w:val="0"/>
          <w:cols w:space="720"/>
          <w:noEndnote/>
          <w:docGrid w:linePitch="360"/>
        </w:sectPr>
      </w:pPr>
      <w:r>
        <w:rPr>
          <w:rStyle w:val="CharStyle26"/>
          <w:u w:val="none"/>
          <w:sz w:val="19"/>
          <w:szCs w:val="19"/>
        </w:rPr>
        <w:t>PHIolw (.1</w:t>
      </w:r>
    </w:p>
    <w:p>
      <w:pPr>
        <w:widowControl w:val="0"/>
        <w:spacing w:line="2" w:lineRule="exact"/>
        <w:rPr>
          <w:sz w:val="0"/>
          <w:szCs w:val="0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4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7"/>
        <w:widowControl w:val="0"/>
        <w:keepNext/>
        <w:keepLines/>
        <w:shd w:val="clear" w:color="auto" w:fill="auto"/>
        <w:bidi w:val="0"/>
        <w:jc w:val="left"/>
        <w:spacing w:before="0" w:after="0"/>
        <w:ind w:left="0" w:right="340"/>
      </w:pPr>
      <w:bookmarkStart w:id="8" w:name="bookmark8"/>
      <w:r>
        <w:rPr>
          <w:rStyle w:val="CharStyle28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VŠEOBECNE OBCHODNÍ PODMÍNKY</w:t>
        <w:br/>
        <w:t>pro vydávání a používání karty euroShcll Card</w:t>
      </w:r>
      <w:bookmarkEnd w:id="8"/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left"/>
        <w:spacing w:before="0" w:after="0" w:line="130" w:lineRule="exact"/>
        <w:ind w:left="1560" w:right="0" w:firstLine="0"/>
        <w:sectPr>
          <w:type w:val="continuous"/>
          <w:pgSz w:w="11904" w:h="16838"/>
          <w:pgMar w:top="72" w:left="3686" w:right="3456" w:bottom="527" w:header="0" w:footer="3" w:gutter="0"/>
          <w:rtlGutter w:val="0"/>
          <w:cols w:space="720"/>
          <w:noEndnote/>
          <w:docGrid w:linePitch="360"/>
        </w:sectPr>
      </w:pPr>
      <w:r>
        <w:rPr>
          <w:rStyle w:val="CharStyle30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platní od 1. 6. 2010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8" w:after="18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4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60" w:line="192" w:lineRule="exact"/>
        <w:ind w:left="20" w:right="60" w:firstLine="0"/>
      </w:pPr>
      <w:r>
        <w:rPr>
          <w:rStyle w:val="CharStyle30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Tyto Všeobecné obchodní podmínky upravují vydáváni a používání karet</w:t>
        <w:br/>
        <w:t>euroShell Card mezi Shell Czech Republic as. a jakoukoliv právnickou</w:t>
        <w:br/>
        <w:t>osobou nebo fyzickou osobou - podnikatelem, registrovanou v České</w:t>
        <w:br/>
        <w:t>republice, které se takové karty vydávají nebojsou vydány.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60" w:line="192" w:lineRule="exact"/>
        <w:ind w:left="20" w:right="60" w:firstLine="0"/>
      </w:pPr>
      <w:r>
        <w:rPr>
          <w:rStyle w:val="CharStyle30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Tyto Všeobecné obchodní podmínky jsou nedílnou součástí Smlouvy o kartách</w:t>
        <w:br/>
        <w:t>euroShell Card uzavřenou mezi Shell Czech Republic a.s. a jakoukoliv</w:t>
        <w:br/>
        <w:t>fyzickou nebo právnickou osobou, které se takové karty vydávají nebo jsou</w:t>
        <w:br/>
        <w:t>vydány.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110" w:line="192" w:lineRule="exact"/>
        <w:ind w:left="20" w:right="60" w:firstLine="0"/>
      </w:pPr>
      <w:r>
        <w:pict>
          <v:shape id="_x0000_s1030" type="#_x0000_t202" style="position:absolute;margin-left:12.65pt;margin-top:229.2pt;width:14.55pt;height:7.2pt;z-index:4;mso-wrap-distance-left:5.pt;mso-wrap-distance-top:8.15pt;mso-wrap-distance-right:14.55pt;mso-wrap-distance-bottom:16.35pt;mso-position-horizontal-relative:margin;mso-position-vertical-relative:margin" filled="0" stroked="0">
            <v:textbox style="mso-fit-shape-to-text:t" inset="0,0,0,0">
              <w:txbxContent>
                <w:p>
                  <w:pPr>
                    <w:pStyle w:val="Style1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40" w:lineRule="exact"/>
                    <w:ind w:left="100" w:right="0" w:firstLine="0"/>
                  </w:pPr>
                  <w:r>
                    <w:rPr>
                      <w:rStyle w:val="CharStyle32"/>
                      <w:u w:val="none"/>
                      <w:spacing w:val="30"/>
                    </w:rPr>
                    <w:t>I.</w:t>
                  </w:r>
                </w:p>
              </w:txbxContent>
            </v:textbox>
            <w10:wrap type="square" anchorx="margin" anchory="margin"/>
          </v:shape>
        </w:pict>
      </w:r>
      <w:r>
        <w:rPr>
          <w:rStyle w:val="CharStyle30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Tyto Všeobecné obchodní podmínky, v jejich platném znění, nahrazuji</w:t>
        <w:br/>
        <w:t>jakékoliv dřívější podmínky vydané společností Shell Czech Republic a.s.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5" w:line="130" w:lineRule="exact"/>
        <w:ind w:left="20" w:right="0" w:firstLine="0"/>
      </w:pPr>
      <w:r>
        <w:rPr>
          <w:rStyle w:val="CharStyle30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Definice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60" w:line="192" w:lineRule="exact"/>
        <w:ind w:left="420" w:right="60" w:firstLine="420"/>
      </w:pPr>
      <w:r>
        <w:rPr>
          <w:rStyle w:val="CharStyle30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Slova, pojmy či výrazy uvedené v těchto Všeobecných</w:t>
        <w:br/>
        <w:t>podmínkách nebo ve Smlouvč o kartách euroShell Cards, jak je uvedena</w:t>
        <w:br/>
        <w:t>shora, mají tylo významy: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60" w:line="192" w:lineRule="exact"/>
        <w:ind w:left="420" w:right="60" w:firstLine="0"/>
      </w:pPr>
      <w:r>
        <w:rPr>
          <w:rStyle w:val="CharStyle30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"Account Velocity Limit'" je finanční částka, kterou je Společnost Shell</w:t>
        <w:br/>
        <w:t>oprávnčna stanovit pro Hlavního držitele karty. Výše této finanční částky</w:t>
        <w:br/>
        <w:t>je stanovena na základě rozhodnuti Společnosti Shell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68" w:line="192" w:lineRule="exact"/>
        <w:ind w:left="420" w:right="60" w:firstLine="40"/>
      </w:pPr>
      <w:r>
        <w:rPr>
          <w:rStyle w:val="CharStyle30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„Dodávky" jsou jakékoliv zboží či služby, které je Oprávněný držitel</w:t>
        <w:br/>
        <w:t>karty případně Hlavní držitel karty oprávněn získat od Účastníků</w:t>
        <w:br/>
        <w:t>programu karet euroShell v souladu s těmito Podmínkami, a které spadají</w:t>
        <w:br/>
        <w:t>do jedné z následujících kategorii: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52" w:line="182" w:lineRule="exact"/>
        <w:ind w:left="420" w:right="60" w:firstLine="0"/>
      </w:pPr>
      <w:r>
        <w:rPr>
          <w:rStyle w:val="CharStyle30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kategorie 0 - pouze nafta a poplatky za průjezd tunelem, převoz</w:t>
        <w:br/>
        <w:t>trajektem, dálniční poplatky a silniční daně a poplatky, nebo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60" w:line="192" w:lineRule="exact"/>
        <w:ind w:left="420" w:right="60" w:firstLine="0"/>
      </w:pPr>
      <w:r>
        <w:rPr>
          <w:rStyle w:val="CharStyle30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kategorie 1 - všechny typy pohonných hmot, poplatky za průjezd</w:t>
        <w:br/>
        <w:t>tunelem, převoz trajektem a dálniční poplatky a silniční daně a poplatky;</w:t>
        <w:br/>
        <w:t>nebo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68" w:line="192" w:lineRule="exact"/>
        <w:ind w:left="420" w:right="60" w:firstLine="0"/>
      </w:pPr>
      <w:r>
        <w:rPr>
          <w:rStyle w:val="CharStyle30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kategorie 2 - všechny typy pohonných hmot, maziv, autopříslušenství,</w:t>
        <w:br/>
        <w:t>opravy, servis (kromě zákonných technických prohlídek), myli auta,</w:t>
        <w:br/>
        <w:t>poplatky za průjezd tunelem, převoz trajektem a dálniční poplatky a</w:t>
        <w:br/>
        <w:t>silniční daně a poplatky; nebo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52" w:line="182" w:lineRule="exact"/>
        <w:ind w:left="420" w:right="60" w:firstLine="0"/>
      </w:pPr>
      <w:r>
        <w:rPr>
          <w:rStyle w:val="CharStyle30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kategorie 3 - všechny typy pohonných hmot, maziv, autopříslušenství,</w:t>
        <w:br/>
        <w:t>opravy, servis (kromě zákonných technických prohlídek), myti auta,</w:t>
        <w:br/>
        <w:t>poplatky za průjezd tunelem, převoz trajektem a dálniční poplatky a</w:t>
        <w:br/>
        <w:t>silniční daně a poplatky a veškeré zboží prodávané na čerpacích</w:t>
        <w:br/>
        <w:t>stanicích. Kategorie, která se týká jakékoliv vydané Karty, bude uvedena</w:t>
        <w:br/>
        <w:t>na přední straně Karty.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68" w:line="192" w:lineRule="exact"/>
        <w:ind w:left="420" w:right="60" w:firstLine="0"/>
      </w:pPr>
      <w:r>
        <w:rPr>
          <w:rStyle w:val="CharStyle30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Dodávkou se rozumí i nákup mylného prostřednictvím elektronických</w:t>
        <w:br/>
        <w:t>mylných systémů při splnění pravidel daných těmito systémy.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45" w:line="182" w:lineRule="exact"/>
        <w:ind w:left="420" w:right="60" w:firstLine="0"/>
      </w:pPr>
      <w:r>
        <w:rPr>
          <w:rStyle w:val="CharStyle30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„Duševní vlastnictví" jsou patenty, obchodili značky, servisní značky,</w:t>
        <w:br/>
        <w:t>práva (zaregistrovaná či nezaregistrovaná) na jakékoliv návrhy, přihlášky</w:t>
        <w:br/>
        <w:t>čehokoliv výše uvedeného, obchodní názvy, autorská práva (včetně práv</w:t>
        <w:br/>
        <w:t>k počítačovému software) a topografická práva; know-how, seznamy</w:t>
        <w:br/>
        <w:t>dodavatelů a zákazníků a jiné zákonem chráněné poznatky a informace;</w:t>
        <w:br/>
        <w:t>jména internetových domén; práva ochraňující dobré jméno a pověst a</w:t>
        <w:br/>
        <w:t>všechna práva a formy ochrany podobné povahy jako jsou ta uvedená</w:t>
        <w:br/>
        <w:t>výše, nebo které mají stejnou působnost kdekoliv na světě a všechna</w:t>
        <w:br/>
        <w:t>práva udělená na základě licencí a povolení ve vztahu k jakýmkoliv</w:t>
        <w:br/>
        <w:t>právům a formám ochrany uvedeným v této definici.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76" w:line="202" w:lineRule="exact"/>
        <w:ind w:left="420" w:right="60" w:firstLine="0"/>
      </w:pPr>
      <w:r>
        <w:rPr>
          <w:rStyle w:val="CharStyle30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„Elektronická faktura" je daňový doklad opatřený elektronickým</w:t>
        <w:br/>
        <w:t>podpisem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60" w:line="182" w:lineRule="exact"/>
        <w:ind w:left="420" w:right="60" w:firstLine="0"/>
      </w:pPr>
      <w:r>
        <w:rPr>
          <w:rStyle w:val="CharStyle30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„Elektronická fakturace" je služba zasílání elektronických faktur za</w:t>
        <w:br/>
        <w:t>nákupy podléhající DPH a jsou realizované Hlavním držitelem karty</w:t>
        <w:br/>
        <w:t>nebo Oprávněným držitelem karty na území ČR, tzv. národní fakturace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left"/>
        <w:spacing w:before="0" w:after="45" w:line="182" w:lineRule="exact"/>
        <w:ind w:left="420" w:right="60" w:firstLine="0"/>
      </w:pPr>
      <w:r>
        <w:rPr>
          <w:rStyle w:val="CharStyle30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„Elektronicky mýtný systém" znamená placení všech druhů silničních,</w:t>
        <w:br/>
        <w:t>dálničních a jiných obdobných poplatků na základě elektronicky</w:t>
        <w:br/>
        <w:t>získaných údajů prostřednictvím elektronických zařízení, zejména</w:t>
        <w:br/>
        <w:t>prostřednictvím nainstalované palubní jednotky.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76" w:line="202" w:lineRule="exact"/>
        <w:ind w:left="480" w:right="60" w:firstLine="0"/>
      </w:pPr>
      <w:r>
        <w:rPr>
          <w:rStyle w:val="CharStyle30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„Heslo" je jakékoliv heslo či kód vydaný Hlavnímu nebo Oprávněnému</w:t>
        <w:br/>
        <w:t>držiteli karty společností Shell pro použití v souvislosti s internetovými</w:t>
        <w:br/>
        <w:t>stránkami Shell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0" w:line="182" w:lineRule="exact"/>
        <w:ind w:left="480" w:right="60" w:firstLine="0"/>
      </w:pPr>
      <w:r>
        <w:rPr>
          <w:rStyle w:val="CharStyle30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„Havarijní asistenční služba Shell" je havarijní služba poskytované</w:t>
        <w:br/>
        <w:t>automobilovou asociací nebo jinými osobami jako Dodávka při</w:t>
        <w:br/>
        <w:t>používání Karty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60" w:line="192" w:lineRule="exact"/>
        <w:ind w:left="60" w:right="60" w:firstLine="0"/>
      </w:pPr>
      <w:r>
        <w:rPr>
          <w:rStyle w:val="CharStyle30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„Hlavní držitel karty" je právnická osoba nebo fyzická osoba -</w:t>
        <w:br/>
        <w:t>podnikatel, registrovaná v České republice, které se vydávají nebo jsou</w:t>
        <w:br/>
        <w:t>vydány Karty.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68" w:line="192" w:lineRule="exact"/>
        <w:ind w:left="60" w:right="60" w:firstLine="0"/>
      </w:pPr>
      <w:r>
        <w:rPr>
          <w:rStyle w:val="CharStyle30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„Internetové stránky Shell" jsou </w:t>
      </w:r>
      <w:r>
        <w:fldChar w:fldCharType="begin"/>
      </w:r>
      <w:r>
        <w:rPr/>
        <w:instrText> HYPERLINK "http://www.euroshell.cz" </w:instrText>
      </w:r>
      <w:r>
        <w:fldChar w:fldCharType="separate"/>
      </w:r>
      <w:r>
        <w:rPr>
          <w:rStyle w:val="CharStyle30"/>
          <w:lang w:val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www.euroshell.cz</w:t>
      </w:r>
      <w:r>
        <w:fldChar w:fldCharType="end"/>
      </w:r>
      <w:r>
        <w:rPr>
          <w:rStyle w:val="CharStyle30"/>
          <w:lang w:val="en-U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 </w:t>
      </w:r>
      <w:r>
        <w:rPr>
          <w:rStyle w:val="CharStyle30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nebo taková jiná URL</w:t>
        <w:br/>
        <w:t>adresa, o níž je hlavní držitel karty příležitostně informován.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45" w:line="182" w:lineRule="exact"/>
        <w:ind w:left="60" w:right="60" w:firstLine="0"/>
      </w:pPr>
      <w:r>
        <w:rPr>
          <w:rStyle w:val="CharStyle30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„Karta" znamená všechny karty euroShell Card vydané Společností Shell</w:t>
        <w:br/>
        <w:t>Hlavnímu držiteli karty.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68" w:line="202" w:lineRule="exact"/>
        <w:ind w:left="60" w:right="60" w:firstLine="0"/>
      </w:pPr>
      <w:r>
        <w:rPr>
          <w:rStyle w:val="CharStyle30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„Karta řidiče" je karta určená pro použití Oprávněným držitelem karty,</w:t>
        <w:br/>
        <w:t>jehož jméno je uvedeno na této kartě, s jakýmkoliv vozidlem.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60" w:line="192" w:lineRule="exact"/>
        <w:ind w:left="60" w:right="60" w:firstLine="0"/>
      </w:pPr>
      <w:r>
        <w:rPr>
          <w:rStyle w:val="CharStyle30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„Karta řidiče/vozidla" je karta určená pro použití Oprávněným držitelem</w:t>
        <w:br/>
        <w:t>karty, jehož jméno je uvedeno na této kartě, s vozidlem uvedeným na této</w:t>
        <w:br/>
        <w:t>kartě.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60" w:line="192" w:lineRule="exact"/>
        <w:ind w:left="60" w:right="60" w:firstLine="80"/>
      </w:pPr>
      <w:r>
        <w:rPr>
          <w:rStyle w:val="CharStyle30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„Karta vozidla" je karta určená pro použití kterýmkoliv Oprávněným</w:t>
        <w:br/>
        <w:t>držitelem karty s vozidlem uvedeným v této kartě.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60" w:line="192" w:lineRule="exact"/>
        <w:ind w:left="60" w:right="60" w:firstLine="80"/>
      </w:pPr>
      <w:r>
        <w:rPr>
          <w:rStyle w:val="CharStyle30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„Karta společnosti" je karta, na které je uvedeno pouze jméno Hlavního</w:t>
        <w:br/>
        <w:t>držitele karty a pořadové číslo Karty, je vydávana v mimořádných</w:t>
        <w:br/>
        <w:t>případech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60" w:line="192" w:lineRule="exact"/>
        <w:ind w:left="60" w:right="60" w:firstLine="80"/>
      </w:pPr>
      <w:r>
        <w:rPr>
          <w:rStyle w:val="CharStyle30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„Limity" jsou jakékoliv omezení či limity stanovené Společností Shell</w:t>
        <w:br/>
        <w:t>pro použiti jakékoliv jednotlivé Karty a uplatňované technologií systémů</w:t>
        <w:br/>
        <w:t>Shell nebo popsané v jakýchkoliv samostatně platných smlouvách Či</w:t>
        <w:br/>
        <w:t>definicích produktů.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68" w:line="192" w:lineRule="exact"/>
        <w:ind w:left="60" w:right="60" w:firstLine="80"/>
      </w:pPr>
      <w:r>
        <w:rPr>
          <w:rStyle w:val="CharStyle30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„Mýtnými službami" se rozumí užívání vymezených ůseků dálnic, silnic</w:t>
        <w:br/>
        <w:t>a dalších stavebních konstrukcí i jiných prostředků využívaných</w:t>
        <w:br/>
        <w:t>dopravními prostředky, za jejichž využití se platí mýto nebo jiné</w:t>
        <w:br/>
        <w:t>poplatky, nájem nebo nákup palubní jednotky případně další produkty a</w:t>
        <w:br/>
        <w:t>služby Provozovatele myla, které jsou spojené s Elektronickým mýtným</w:t>
        <w:br/>
        <w:t>systémem.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60" w:line="182" w:lineRule="exact"/>
        <w:ind w:left="60" w:right="60" w:firstLine="80"/>
      </w:pPr>
      <w:r>
        <w:rPr>
          <w:rStyle w:val="CharStyle30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„Objednávka", „žádost" znamená pisemný dokument, jehož vzor je</w:t>
        <w:br/>
        <w:t>přiložen k těmto Podmínkám nebo jakýkoliv jiný písemný dokument,</w:t>
        <w:br/>
        <w:t>dále vydaný Společností Shell , včetně jakékoliv relevantní průvodní</w:t>
        <w:br/>
        <w:t>dokumentace, ve kterém je v písemné formě zachycen projev vůle</w:t>
        <w:br/>
        <w:t>Zájemce směřující k získáni užívacích práv spojených s držbou Karty</w:t>
        <w:br/>
        <w:t>podle Podmínek a který je Zájemcem v souladu s platnými právními</w:t>
        <w:br/>
        <w:t>předpisy řádně podepsán.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52" w:line="182" w:lineRule="exact"/>
        <w:ind w:left="60" w:right="60" w:firstLine="80"/>
      </w:pPr>
      <w:r>
        <w:rPr>
          <w:rStyle w:val="CharStyle30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„Obsah" znamená obsah internetových stránek Shell, kromě jiného</w:t>
        <w:br/>
        <w:t>včetně veškerého kódování, textů, obrázků, odkazů a internetových</w:t>
        <w:br/>
        <w:t>stránek.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68" w:line="192" w:lineRule="exact"/>
        <w:ind w:left="60" w:right="60" w:firstLine="80"/>
      </w:pPr>
      <w:r>
        <w:rPr>
          <w:rStyle w:val="CharStyle30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„Oprávněný držitel karty" je osoba, které Hlavní držitel karty poskytnul</w:t>
        <w:br/>
        <w:t>Kartu, a kterou Hlavní držitel karty oprávnil tuto Kartu používat.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60" w:line="182" w:lineRule="exact"/>
        <w:ind w:left="60" w:right="60" w:firstLine="0"/>
      </w:pPr>
      <w:r>
        <w:rPr>
          <w:rStyle w:val="CharStyle30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„Online služby" jsou služby dostupné prostřednictvím internetových</w:t>
        <w:br/>
        <w:t>stránek Shell, kromě jiných včetně objednáváni Karet, zobrazeni zpráv o</w:t>
        <w:br/>
        <w:t>transakcích, fakturačních přehledů a jiných online informací pro řízeni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102" w:line="182" w:lineRule="exact"/>
        <w:ind w:left="60" w:right="60" w:firstLine="0"/>
      </w:pPr>
      <w:r>
        <w:rPr>
          <w:rStyle w:val="CharStyle30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„Označení karty jako prostředku úhrady" znamená uvedení určité Karty</w:t>
        <w:br/>
        <w:t>nebo Karet jako prostředek úhrady při Registraci v mýtném systému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5" w:line="130" w:lineRule="exact"/>
        <w:ind w:left="60" w:right="0" w:firstLine="0"/>
      </w:pPr>
      <w:r>
        <w:rPr>
          <w:rStyle w:val="CharStyle30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„P1N" je osobní identifikační číslo držitele karty.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60" w:line="192" w:lineRule="exact"/>
        <w:ind w:left="60" w:right="60" w:firstLine="0"/>
      </w:pPr>
      <w:r>
        <w:rPr>
          <w:rStyle w:val="CharStyle30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„Platby za mýtné služby" znamenají veškeré peněžní závazky zaplatit za</w:t>
        <w:br/>
        <w:t>Mýtné služby na základě evidence využití těchto služeb v Režimu</w:t>
        <w:br/>
        <w:t>následně placených služeb.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60" w:line="192" w:lineRule="exact"/>
        <w:ind w:left="60" w:right="60" w:firstLine="0"/>
      </w:pPr>
      <w:r>
        <w:rPr>
          <w:rStyle w:val="CharStyle30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„Podmínky" jsou tyto Všeobecné obchodní podmínky pro vydávání a</w:t>
        <w:br/>
        <w:t>používání karty euroShell Card.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left"/>
        <w:spacing w:before="0" w:after="68" w:line="192" w:lineRule="exact"/>
        <w:ind w:left="60" w:right="60" w:firstLine="80"/>
      </w:pPr>
      <w:r>
        <w:rPr>
          <w:rStyle w:val="CharStyle30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„Poplatky za kartu a manipulační poplatky" jsou poplatky či jiné částky</w:t>
        <w:br/>
        <w:t>stanovené v těchto Podmínkách, nebo které jsou jinak dohodnuté v</w:t>
        <w:br/>
        <w:t>žádosti a jakékoliv jiné přiměřené poplatky příležitostně ohlášené</w:t>
        <w:br/>
        <w:t>Hlavnímu držiteli karty společností Shell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60" w:line="182" w:lineRule="exact"/>
        <w:ind w:left="140" w:right="60" w:firstLine="0"/>
      </w:pPr>
      <w:r>
        <w:rPr>
          <w:rStyle w:val="CharStyle30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„Provozovatel mýtného systému" je osoba, která má právní vztah</w:t>
        <w:br/>
        <w:t>s uživateli Mýtných služeb a vykonává činnosti při správě</w:t>
        <w:br/>
        <w:t>Elektronického mýtného systému.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0" w:line="182" w:lineRule="exact"/>
        <w:ind w:left="140" w:right="60" w:firstLine="0"/>
        <w:sectPr>
          <w:type w:val="continuous"/>
          <w:pgSz w:w="11904" w:h="16838"/>
          <w:pgMar w:top="72" w:left="576" w:right="462" w:bottom="761" w:header="0" w:footer="3" w:gutter="0"/>
          <w:rtlGutter w:val="0"/>
          <w:cols w:num="2" w:sep="1" w:space="521"/>
          <w:noEndnote/>
          <w:docGrid w:linePitch="360"/>
        </w:sectPr>
      </w:pPr>
      <w:r>
        <w:rPr>
          <w:rStyle w:val="CharStyle30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„Registrace v mýtném systému" znamená vznik právního vztahu mezi</w:t>
        <w:br/>
        <w:t>Hlavním držitelem karty a Provozovatelem mýta, na základě kterého</w:t>
        <w:br/>
        <w:t>může Hlavní držitel karty nakupovat Mýtné služby. Takovýto právní</w:t>
        <w:br/>
        <w:t>vztah může vzniknout na základě smlouvy nebo jiného úkonu a to</w:t>
        <w:br/>
        <w:t>v závislosti na zvyklostech toho kterého Provozovatele mýta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53" w:line="202" w:lineRule="exact"/>
        <w:ind w:left="60" w:right="40" w:firstLine="0"/>
      </w:pPr>
      <w:r>
        <w:rPr>
          <w:rStyle w:val="CharStyle33"/>
          <w:u w:val="none"/>
          <w:sz w:val="13"/>
          <w:szCs w:val="13"/>
        </w:rPr>
        <w:t>Režim následní placených služeb, tzv. „post-pay" je placeni za Mýtné</w:t>
        <w:br/>
        <w:t>služby Hlavním držitelem karty za určité období pozadu.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75" w:line="211" w:lineRule="exact"/>
        <w:ind w:left="60" w:right="40" w:firstLine="0"/>
      </w:pPr>
      <w:r>
        <w:rPr>
          <w:rStyle w:val="CharStyle33"/>
          <w:u w:val="none"/>
          <w:sz w:val="13"/>
          <w:szCs w:val="13"/>
        </w:rPr>
        <w:t>Režim předplacených služeb, tzv. „pre-pay" je placení za Mýtné služby</w:t>
        <w:br/>
        <w:t>Hlavním držitelem karty dopředu.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60" w:line="192" w:lineRule="exact"/>
        <w:ind w:left="60" w:right="40" w:firstLine="0"/>
      </w:pPr>
      <w:r>
        <w:rPr>
          <w:rStyle w:val="CharStyle33"/>
          <w:u w:val="none"/>
          <w:sz w:val="13"/>
          <w:szCs w:val="13"/>
        </w:rPr>
        <w:t>„Royal Dutch/Shcll Group" znamená N.V. Koninklijke Nederlandsche</w:t>
        <w:br/>
        <w:t>Petroleum Maatschappij, a The "Shell" Transport and Trading Company,</w:t>
        <w:br/>
        <w:t>p.l.c a jakoukoliv společnost, která je v dané dobč přímo či nepřímo</w:t>
        <w:br/>
        <w:t>ovládána společnosti N.V. Koninklijke Nederlandsche Petroleum</w:t>
        <w:br/>
        <w:t>Maatschappij a The "Shell" Transport and Trading Company, p.l.c. nebo</w:t>
        <w:br/>
        <w:t>kteroukoliv z nich.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60" w:line="192" w:lineRule="exact"/>
        <w:ind w:left="60" w:right="40" w:firstLine="0"/>
      </w:pPr>
      <w:r>
        <w:rPr>
          <w:rStyle w:val="CharStyle33"/>
          <w:u w:val="none"/>
          <w:sz w:val="13"/>
          <w:szCs w:val="13"/>
        </w:rPr>
        <w:t>„Společnost Shell" je Shell Czech Republic a s., která je stranou</w:t>
        <w:br/>
        <w:t>Smlouvy a členem skupiny Royal Dutch/Shcll Group.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60" w:line="192" w:lineRule="exact"/>
        <w:ind w:left="60" w:right="40" w:firstLine="0"/>
      </w:pPr>
      <w:r>
        <w:rPr>
          <w:rStyle w:val="CharStyle33"/>
          <w:u w:val="none"/>
          <w:sz w:val="13"/>
          <w:szCs w:val="13"/>
        </w:rPr>
        <w:t>„Smlouva" jc Smlouva o kartách euroShell Card uzavřená mezi</w:t>
        <w:br/>
        <w:t>Společnosti Shell a Hlavním držitelem karty se všemi jejími součástmi,</w:t>
        <w:br/>
        <w:t>přílohami a dodatky.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68" w:line="192" w:lineRule="exact"/>
        <w:ind w:left="60" w:right="40" w:firstLine="0"/>
      </w:pPr>
      <w:r>
        <w:rPr>
          <w:rStyle w:val="CharStyle33"/>
          <w:u w:val="none"/>
          <w:sz w:val="13"/>
          <w:szCs w:val="13"/>
        </w:rPr>
        <w:t>„Účastník programu karet euroShell" je čerpací stanice nebo jiná osoba</w:t>
        <w:br/>
        <w:t>(zpravidla maloobchodník) určená Společností Shell nebo členem</w:t>
        <w:br/>
        <w:t>skupiny Royal Dutch/Shcll Group k provádční Dodávek při předloženi</w:t>
        <w:br/>
        <w:t>Karty.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52" w:line="182" w:lineRule="exact"/>
        <w:ind w:left="60" w:right="40" w:firstLine="0"/>
      </w:pPr>
      <w:r>
        <w:rPr>
          <w:rStyle w:val="CharStyle33"/>
          <w:u w:val="none"/>
          <w:sz w:val="13"/>
          <w:szCs w:val="13"/>
        </w:rPr>
        <w:t>„Účetní doklad" je doklad (ručnč či elektronicky zhotovený)</w:t>
        <w:br/>
        <w:t>zaznamenávající poskytnutí Dodávek Hlavnímu nebo Oprávnčnému</w:t>
        <w:br/>
        <w:t>držiteli karty při transakci pomocí Karty. Je nutné upozornit, že</w:t>
        <w:br/>
        <w:t>identifikace podpisu Oprávnčného držitele karty na účetním dokladu sahá</w:t>
        <w:br/>
        <w:t>mimo rámec této Smlouvy.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60" w:line="192" w:lineRule="exact"/>
        <w:ind w:left="60" w:right="40" w:firstLine="0"/>
      </w:pPr>
      <w:r>
        <w:rPr>
          <w:rStyle w:val="CharStyle33"/>
          <w:u w:val="none"/>
          <w:sz w:val="13"/>
          <w:szCs w:val="13"/>
        </w:rPr>
        <w:t>„Uživatel" je Hlavni držitel karty nebo osoba, pro kterou Shell</w:t>
        <w:br/>
        <w:t>zaregistrovala Uživatelské identifikační čislo, a která je Hlavním</w:t>
        <w:br/>
        <w:t>držitelem karty oprávnčna používat online služby.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110" w:line="192" w:lineRule="exact"/>
        <w:ind w:left="60" w:right="40" w:firstLine="0"/>
      </w:pPr>
      <w:r>
        <w:rPr>
          <w:rStyle w:val="CharStyle33"/>
          <w:u w:val="none"/>
          <w:sz w:val="13"/>
          <w:szCs w:val="13"/>
        </w:rPr>
        <w:t>„Uživatelské identifikační čislo" je jakýkoliv identifikační kód přidělený</w:t>
        <w:br/>
        <w:t>Společností Shell Uživateli pro použití v souvislosti s internetovými</w:t>
        <w:br/>
        <w:t>stránkami Shell.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13" w:line="130" w:lineRule="exact"/>
        <w:ind w:left="60" w:right="0" w:firstLine="0"/>
      </w:pPr>
      <w:r>
        <w:rPr>
          <w:rStyle w:val="CharStyle33"/>
          <w:u w:val="none"/>
          <w:sz w:val="13"/>
          <w:szCs w:val="13"/>
        </w:rPr>
        <w:t>„Vydavatel Karty" je Společnost Shell.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52" w:line="182" w:lineRule="exact"/>
        <w:ind w:left="60" w:right="40" w:firstLine="0"/>
      </w:pPr>
      <w:r>
        <w:rPr>
          <w:rStyle w:val="CharStyle33"/>
          <w:u w:val="none"/>
          <w:sz w:val="13"/>
          <w:szCs w:val="13"/>
        </w:rPr>
        <w:t>„Zájemce" je právnická osoba nebo fyzická osoba - podnikatel,</w:t>
        <w:br/>
        <w:t>registrovaná v České republice mající zájem o získání užívacích práv</w:t>
        <w:br/>
        <w:t>spojených s držbou Karty.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52" w:line="192" w:lineRule="exact"/>
        <w:ind w:left="60" w:right="40" w:firstLine="0"/>
      </w:pPr>
      <w:r>
        <w:rPr>
          <w:rStyle w:val="CharStyle33"/>
          <w:u w:val="none"/>
          <w:sz w:val="13"/>
          <w:szCs w:val="13"/>
        </w:rPr>
        <w:t>..Zákon" je jakýkoliv obecné závazný právní předpis (zákon, nařízeni,</w:t>
        <w:br/>
        <w:t>vyhláška, smčrnice apod.) či jakýkoliv jiný akt řídící se jinou než českou</w:t>
        <w:br/>
        <w:t>jurisdikcí mající stejné nebo podobné účinky, pokud jim jakákoliv strana</w:t>
        <w:br/>
        <w:t>této smlouvy momentálnč podléhá.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76" w:line="202" w:lineRule="exact"/>
        <w:ind w:left="60" w:right="40" w:firstLine="0"/>
      </w:pPr>
      <w:r>
        <w:rPr>
          <w:rStyle w:val="CharStyle33"/>
          <w:u w:val="none"/>
          <w:sz w:val="13"/>
          <w:szCs w:val="13"/>
        </w:rPr>
        <w:t>„Zásilka PIN" je dokument a jakákoliv obálka použitá k doručení PIN</w:t>
        <w:br/>
        <w:t>souvisejícího s jakoukoliv jednotlivou Kartou Hlavnímu držiteli karty.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102" w:line="182" w:lineRule="exact"/>
        <w:ind w:left="60" w:right="40" w:firstLine="0"/>
      </w:pPr>
      <w:r>
        <w:rPr>
          <w:rStyle w:val="CharStyle33"/>
          <w:u w:val="none"/>
          <w:sz w:val="13"/>
          <w:szCs w:val="13"/>
        </w:rPr>
        <w:t>„Závazný celkový finanční limit" je součtem výše celkových</w:t>
        <w:br/>
        <w:t>vyfakturovaných pohledávek a výše celkových nevyfakturovaných</w:t>
        <w:br/>
        <w:t>transakcí Společnosti Shell vůči Hlavnímu držiteli karty.</w:t>
      </w:r>
    </w:p>
    <w:p>
      <w:pPr>
        <w:pStyle w:val="Style29"/>
        <w:numPr>
          <w:ilvl w:val="0"/>
          <w:numId w:val="5"/>
        </w:numPr>
        <w:tabs>
          <w:tab w:leader="none" w:pos="55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3" w:line="130" w:lineRule="exact"/>
        <w:ind w:left="60" w:right="0" w:firstLine="0"/>
      </w:pPr>
      <w:r>
        <w:rPr>
          <w:rStyle w:val="CharStyle33"/>
          <w:u w:val="none"/>
          <w:sz w:val="13"/>
          <w:szCs w:val="13"/>
        </w:rPr>
        <w:t>Přijetí Podmínek</w:t>
      </w:r>
    </w:p>
    <w:p>
      <w:pPr>
        <w:pStyle w:val="Style29"/>
        <w:numPr>
          <w:ilvl w:val="1"/>
          <w:numId w:val="5"/>
        </w:numPr>
        <w:tabs>
          <w:tab w:leader="none" w:pos="5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 w:line="182" w:lineRule="exact"/>
        <w:ind w:left="60" w:right="40" w:firstLine="0"/>
      </w:pPr>
      <w:r>
        <w:rPr>
          <w:rStyle w:val="CharStyle33"/>
          <w:u w:val="none"/>
          <w:sz w:val="13"/>
          <w:szCs w:val="13"/>
        </w:rPr>
        <w:t>Uzavřením Smlouvy mezi Společností Shell a Hlavním držitelem</w:t>
        <w:br/>
        <w:t>karty, jejíž nedílnou součástí jsou Podmínky, akceptují strany Smlouvy</w:t>
        <w:br/>
        <w:t>bezvýhradné rovnčž Podmínky a to v celém rozsahu, ncní-li ve Smlouvé</w:t>
        <w:br/>
        <w:t>výslovně uvedeno jinak.</w:t>
      </w:r>
    </w:p>
    <w:p>
      <w:pPr>
        <w:pStyle w:val="Style29"/>
        <w:numPr>
          <w:ilvl w:val="1"/>
          <w:numId w:val="5"/>
        </w:numPr>
        <w:tabs>
          <w:tab w:leader="none" w:pos="55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02" w:line="182" w:lineRule="exact"/>
        <w:ind w:left="60" w:right="40" w:firstLine="0"/>
      </w:pPr>
      <w:r>
        <w:rPr>
          <w:rStyle w:val="CharStyle33"/>
          <w:u w:val="none"/>
          <w:sz w:val="13"/>
          <w:szCs w:val="13"/>
        </w:rPr>
        <w:t>Smluvní strany mohou uzavřít zvláštní dohody, které by</w:t>
        <w:br/>
        <w:t>upravovaly právní vztahy týkající se Mýtných služeb Takovéto dohody</w:t>
        <w:br/>
        <w:t>mají přednost před tčmito VOP.</w:t>
      </w:r>
    </w:p>
    <w:p>
      <w:pPr>
        <w:pStyle w:val="Style29"/>
        <w:numPr>
          <w:ilvl w:val="0"/>
          <w:numId w:val="5"/>
        </w:numPr>
        <w:tabs>
          <w:tab w:leader="none" w:pos="55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3" w:line="130" w:lineRule="exact"/>
        <w:ind w:left="60" w:right="0" w:firstLine="0"/>
      </w:pPr>
      <w:r>
        <w:rPr>
          <w:rStyle w:val="CharStyle33"/>
          <w:u w:val="none"/>
          <w:sz w:val="13"/>
          <w:szCs w:val="13"/>
        </w:rPr>
        <w:t>Vydání Karty Držiteli karty</w:t>
      </w:r>
    </w:p>
    <w:p>
      <w:pPr>
        <w:pStyle w:val="Style29"/>
        <w:numPr>
          <w:ilvl w:val="1"/>
          <w:numId w:val="5"/>
        </w:numPr>
        <w:tabs>
          <w:tab w:leader="none" w:pos="55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2" w:line="182" w:lineRule="exact"/>
        <w:ind w:left="60" w:right="40" w:firstLine="0"/>
      </w:pPr>
      <w:r>
        <w:rPr>
          <w:rStyle w:val="CharStyle33"/>
          <w:u w:val="none"/>
          <w:sz w:val="13"/>
          <w:szCs w:val="13"/>
        </w:rPr>
        <w:t>Zájemce předá Společnosti Shell řádné vyplněnou a podepsanou</w:t>
        <w:br/>
        <w:t>Objednávku spolu sc všemi požadovanými doklady. Na základč</w:t>
        <w:br/>
        <w:t>informací uvedených v Objednávce a po podpisu Smlouvy občma</w:t>
        <w:br/>
        <w:t>smluvními stranami zajistí Společnost Shell výrobu Karty/Karet se</w:t>
        <w:br/>
        <w:t>zakódovanými a vyznačenými údaji o Zájemci/Držiteli karty, vydání</w:t>
        <w:br/>
        <w:t>Zásilky/Zásilek PIN a následné odesláni Karty/Karet a Zásilky/Zásilek</w:t>
        <w:br/>
        <w:t>PIN Držiteli karty. Zásilka PIN bude tvořit samostatnou zásilku, která</w:t>
        <w:br/>
        <w:t>bude vždy oddčlena od Kartv/Karet.</w:t>
      </w:r>
    </w:p>
    <w:p>
      <w:pPr>
        <w:pStyle w:val="Style29"/>
        <w:numPr>
          <w:ilvl w:val="1"/>
          <w:numId w:val="5"/>
        </w:numPr>
        <w:tabs>
          <w:tab w:leader="none" w:pos="55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92" w:lineRule="exact"/>
        <w:ind w:left="60" w:right="40" w:firstLine="0"/>
      </w:pPr>
      <w:r>
        <w:rPr>
          <w:rStyle w:val="CharStyle33"/>
          <w:u w:val="none"/>
          <w:sz w:val="13"/>
          <w:szCs w:val="13"/>
        </w:rPr>
        <w:t>Nebude-li mít projev vůle - objednávka Zájemce charakter</w:t>
        <w:br/>
        <w:t>Objednávky, jak je definována v těchto Podmínkách, Společnost Shell</w:t>
        <w:br/>
        <w:t>lakovou objednávku odmítne.</w:t>
      </w:r>
    </w:p>
    <w:p>
      <w:pPr>
        <w:pStyle w:val="Style29"/>
        <w:numPr>
          <w:ilvl w:val="1"/>
          <w:numId w:val="5"/>
        </w:numPr>
        <w:tabs>
          <w:tab w:leader="none" w:pos="42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60" w:right="0" w:firstLine="0"/>
      </w:pPr>
      <w:r>
        <w:rPr>
          <w:rStyle w:val="CharStyle33"/>
          <w:u w:val="none"/>
          <w:sz w:val="13"/>
          <w:szCs w:val="13"/>
        </w:rPr>
        <w:t>Veškeré Objednávky dalších Karet musí být učiněny:</w:t>
      </w:r>
    </w:p>
    <w:p>
      <w:pPr>
        <w:pStyle w:val="Style37"/>
        <w:numPr>
          <w:ilvl w:val="2"/>
          <w:numId w:val="5"/>
        </w:numPr>
        <w:tabs>
          <w:tab w:leader="none" w:pos="55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60" w:right="0" w:firstLine="0"/>
      </w:pPr>
      <w:r>
        <w:rPr>
          <w:rStyle w:val="CharStyle38"/>
          <w:lang w:val="cs"/>
          <w:rFonts w:ascii="Times New Roman" w:eastAsia="Times New Roman" w:hAnsi="Times New Roman" w:cs="Times New Roman"/>
          <w:spacing w:val="0"/>
          <w:color w:val="000000"/>
          <w:position w:val="0"/>
        </w:rPr>
        <w:t>Objednávkou doručenou Společnosti Shell osobné nebo poslem;</w:t>
      </w:r>
    </w:p>
    <w:p>
      <w:pPr>
        <w:pStyle w:val="Style29"/>
        <w:numPr>
          <w:ilvl w:val="2"/>
          <w:numId w:val="5"/>
        </w:numPr>
        <w:tabs>
          <w:tab w:leader="none" w:pos="5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60" w:right="0" w:firstLine="0"/>
      </w:pPr>
      <w:r>
        <w:rPr>
          <w:rStyle w:val="CharStyle33"/>
          <w:u w:val="none"/>
          <w:sz w:val="13"/>
          <w:szCs w:val="13"/>
        </w:rPr>
        <w:t>Objednávkou doručenou Společnosti Shell poštou nebo jinou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left"/>
        <w:spacing w:before="0" w:after="127" w:line="130" w:lineRule="exact"/>
        <w:ind w:left="540" w:right="0" w:firstLine="0"/>
      </w:pPr>
      <w:r>
        <w:rPr>
          <w:rStyle w:val="CharStyle33"/>
          <w:u w:val="none"/>
          <w:sz w:val="13"/>
          <w:szCs w:val="13"/>
        </w:rPr>
        <w:t>osobou mající řádné oprávnění k doručování zásilek;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68" w:line="202" w:lineRule="exact"/>
        <w:ind w:left="540" w:right="40" w:hanging="500"/>
      </w:pPr>
      <w:r>
        <w:rPr>
          <w:rStyle w:val="CharStyle33"/>
          <w:u w:val="none"/>
          <w:sz w:val="13"/>
          <w:szCs w:val="13"/>
        </w:rPr>
        <w:t>(iii) Objednávkou doručenou Společnosti Shell faxem. Elektronickou</w:t>
        <w:br/>
        <w:t>poštou (e-maii) nebo prostřednictvím Internetových stránek Shell.</w:t>
      </w:r>
    </w:p>
    <w:p>
      <w:pPr>
        <w:pStyle w:val="Style29"/>
        <w:numPr>
          <w:ilvl w:val="1"/>
          <w:numId w:val="5"/>
        </w:numPr>
        <w:tabs>
          <w:tab w:leader="none" w:pos="53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2" w:line="192" w:lineRule="exact"/>
        <w:ind w:left="40" w:right="40" w:firstLine="0"/>
      </w:pPr>
      <w:r>
        <w:rPr>
          <w:rStyle w:val="CharStyle33"/>
          <w:u w:val="none"/>
          <w:sz w:val="13"/>
          <w:szCs w:val="13"/>
        </w:rPr>
        <w:t>Objcdná-li Hlavní držitel karty v souladu s odstavcem 3.2 další</w:t>
        <w:br/>
        <w:t>Karty, je Společnost Shell podle svého výhradního uvážení oprávněna</w:t>
        <w:br/>
        <w:t>požadovat (Cl.5 Podmínek) ve výši stanovené dodatečnou jistotu</w:t>
        <w:br/>
        <w:t>Společností Shell. Pokud Hlavní držitel karty tuto jistotu neposkytne, má</w:t>
        <w:br/>
        <w:t>Společnost Shell právo odmítnout Objednávku Hlavního držitele karty o</w:t>
        <w:br/>
        <w:t>vydání další Karty. Ustanovení odst. 3.2 se aplikuje i na takovéto dalši</w:t>
        <w:br/>
        <w:t>objednávky.</w:t>
      </w:r>
    </w:p>
    <w:p>
      <w:pPr>
        <w:pStyle w:val="Style29"/>
        <w:numPr>
          <w:ilvl w:val="1"/>
          <w:numId w:val="5"/>
        </w:numPr>
        <w:tabs>
          <w:tab w:leader="none" w:pos="53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8" w:line="202" w:lineRule="exact"/>
        <w:ind w:left="40" w:right="40" w:firstLine="0"/>
      </w:pPr>
      <w:r>
        <w:rPr>
          <w:rStyle w:val="CharStyle33"/>
          <w:u w:val="none"/>
          <w:sz w:val="13"/>
          <w:szCs w:val="13"/>
        </w:rPr>
        <w:t>Všechny změny adres pro doručeni Karet a Zásilek PIN, které se</w:t>
        <w:br/>
        <w:t>liší od adres uvedených v Objednávce, musí být písemně potvrzeny</w:t>
        <w:br/>
        <w:t>Hlavním držitelem karty.</w:t>
      </w:r>
    </w:p>
    <w:p>
      <w:pPr>
        <w:pStyle w:val="Style29"/>
        <w:numPr>
          <w:ilvl w:val="1"/>
          <w:numId w:val="5"/>
        </w:numPr>
        <w:tabs>
          <w:tab w:leader="none" w:pos="53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10" w:line="192" w:lineRule="exact"/>
        <w:ind w:left="40" w:right="40" w:firstLine="0"/>
      </w:pPr>
      <w:r>
        <w:rPr>
          <w:rStyle w:val="CharStyle33"/>
          <w:u w:val="none"/>
          <w:sz w:val="13"/>
          <w:szCs w:val="13"/>
        </w:rPr>
        <w:t>Karty zůstávají po celou dobu majetkem Společnosti Shell a</w:t>
        <w:br/>
        <w:t>Hlavní držitel karty je povinen na žádost Společnosti Shell jakoukoliv</w:t>
        <w:br/>
        <w:t>Kartu/Karty ihned vrátit Společnosti Shell. Stejně tak je povinen vrátit</w:t>
        <w:br/>
        <w:t>Kartu/Karty Vydavateli po skončení platnosti Karty/Kartet stejně jako ve</w:t>
        <w:br/>
        <w:t>všech dalších případech, kdy nemůže nebo nehodlá Kartu/Karty dále</w:t>
        <w:br/>
        <w:t>používat.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123" w:line="130" w:lineRule="exact"/>
        <w:ind w:left="40" w:right="0" w:firstLine="0"/>
      </w:pPr>
      <w:r>
        <w:rPr>
          <w:rStyle w:val="CharStyle33"/>
          <w:u w:val="none"/>
          <w:sz w:val="13"/>
          <w:szCs w:val="13"/>
        </w:rPr>
        <w:t>4. Používáni Karty a používání internetových stránek Shell</w:t>
      </w:r>
    </w:p>
    <w:p>
      <w:pPr>
        <w:pStyle w:val="Style29"/>
        <w:numPr>
          <w:ilvl w:val="0"/>
          <w:numId w:val="7"/>
        </w:numPr>
        <w:tabs>
          <w:tab w:leader="none" w:pos="53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2" w:line="182" w:lineRule="exact"/>
        <w:ind w:left="40" w:right="40" w:firstLine="0"/>
      </w:pPr>
      <w:r>
        <w:rPr>
          <w:rStyle w:val="CharStyle33"/>
          <w:u w:val="none"/>
          <w:sz w:val="13"/>
          <w:szCs w:val="13"/>
        </w:rPr>
        <w:t>Karta není platná, pokud není podpisový pásek na zadní straně</w:t>
        <w:br/>
        <w:t>Karty podepsán Oprávněným držitelem karty v souladu s pokyny</w:t>
        <w:br/>
        <w:t>sdělovanými Společností Shell, které mohou být čas od času měněny.</w:t>
        <w:br/>
        <w:t>Podpis není vyžadován u Karty vozidla a u Karty společnosti.</w:t>
      </w:r>
    </w:p>
    <w:p>
      <w:pPr>
        <w:pStyle w:val="Style29"/>
        <w:numPr>
          <w:ilvl w:val="0"/>
          <w:numId w:val="7"/>
        </w:numPr>
        <w:tabs>
          <w:tab w:leader="none" w:pos="54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10" w:line="192" w:lineRule="exact"/>
        <w:ind w:left="40" w:right="40" w:firstLine="0"/>
      </w:pPr>
      <w:r>
        <w:rPr>
          <w:rStyle w:val="CharStyle33"/>
          <w:u w:val="none"/>
          <w:sz w:val="13"/>
          <w:szCs w:val="13"/>
        </w:rPr>
        <w:t>Hlavní držitel karty a Oprávněný držitel karty jsou povinni</w:t>
        <w:br/>
        <w:t>dodržovat následující pravidla:</w:t>
      </w:r>
    </w:p>
    <w:p>
      <w:pPr>
        <w:pStyle w:val="Style29"/>
        <w:numPr>
          <w:ilvl w:val="1"/>
          <w:numId w:val="7"/>
        </w:numPr>
        <w:tabs>
          <w:tab w:leader="none" w:pos="53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18" w:line="130" w:lineRule="exact"/>
        <w:ind w:left="40" w:right="0" w:firstLine="0"/>
      </w:pPr>
      <w:r>
        <w:rPr>
          <w:rStyle w:val="CharStyle33"/>
          <w:u w:val="none"/>
          <w:sz w:val="13"/>
          <w:szCs w:val="13"/>
        </w:rPr>
        <w:t>zabezpečit, aby Kartu používal jen Oprávněný držitel karty;</w:t>
      </w:r>
    </w:p>
    <w:p>
      <w:pPr>
        <w:pStyle w:val="Style29"/>
        <w:numPr>
          <w:ilvl w:val="1"/>
          <w:numId w:val="7"/>
        </w:numPr>
        <w:tabs>
          <w:tab w:leader="none" w:pos="53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8" w:line="202" w:lineRule="exact"/>
        <w:ind w:left="540" w:right="40" w:hanging="500"/>
      </w:pPr>
      <w:r>
        <w:rPr>
          <w:rStyle w:val="CharStyle33"/>
          <w:u w:val="none"/>
          <w:sz w:val="13"/>
          <w:szCs w:val="13"/>
        </w:rPr>
        <w:t>udržovat PIN v tajnosti, tj. zejména nesdělovat jej žádným třetím</w:t>
        <w:br/>
        <w:t>osobám;</w:t>
      </w:r>
    </w:p>
    <w:p>
      <w:pPr>
        <w:pStyle w:val="Style29"/>
        <w:numPr>
          <w:ilvl w:val="1"/>
          <w:numId w:val="7"/>
        </w:numPr>
        <w:tabs>
          <w:tab w:leader="none" w:pos="53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8" w:line="192" w:lineRule="exact"/>
        <w:ind w:left="540" w:right="40" w:hanging="500"/>
      </w:pPr>
      <w:r>
        <w:rPr>
          <w:rStyle w:val="CharStyle33"/>
          <w:u w:val="none"/>
          <w:sz w:val="13"/>
          <w:szCs w:val="13"/>
        </w:rPr>
        <w:t>nevyznačovat PIN na Kartě nebo na předmětech, které se obvykle</w:t>
        <w:br/>
        <w:t>spolu s Kartou používají, ani ukládat jej tak, aby byl přístupný</w:t>
        <w:br/>
        <w:t>spolu s Kartou:</w:t>
      </w:r>
    </w:p>
    <w:p>
      <w:pPr>
        <w:pStyle w:val="Style29"/>
        <w:numPr>
          <w:ilvl w:val="1"/>
          <w:numId w:val="7"/>
        </w:numPr>
        <w:tabs>
          <w:tab w:leader="none" w:pos="53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 w:line="182" w:lineRule="exact"/>
        <w:ind w:left="540" w:right="40" w:hanging="500"/>
      </w:pPr>
      <w:r>
        <w:rPr>
          <w:rStyle w:val="CharStyle33"/>
          <w:u w:val="none"/>
          <w:sz w:val="13"/>
          <w:szCs w:val="13"/>
        </w:rPr>
        <w:t>chránit Kartu před ztrátou a odcizením, zejména ji nikdy</w:t>
        <w:br/>
        <w:t>neponechávat v opuštěném vozidle nebo na místech, kde nemůže</w:t>
        <w:br/>
        <w:t>být dostatečně zabezpečena proti odcizení;</w:t>
      </w:r>
    </w:p>
    <w:p>
      <w:pPr>
        <w:pStyle w:val="Style29"/>
        <w:numPr>
          <w:ilvl w:val="1"/>
          <w:numId w:val="7"/>
        </w:numPr>
        <w:tabs>
          <w:tab w:leader="none" w:pos="53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2" w:line="182" w:lineRule="exact"/>
        <w:ind w:left="540" w:right="40" w:hanging="500"/>
      </w:pPr>
      <w:r>
        <w:rPr>
          <w:rStyle w:val="CharStyle33"/>
          <w:u w:val="none"/>
          <w:sz w:val="13"/>
          <w:szCs w:val="13"/>
        </w:rPr>
        <w:t>chránit Kartu před mechanickým, chemickým nebo jiným</w:t>
        <w:br/>
        <w:t>obdobným poškozením a před účinky magnetického pole;</w:t>
      </w:r>
    </w:p>
    <w:p>
      <w:pPr>
        <w:pStyle w:val="Style29"/>
        <w:numPr>
          <w:ilvl w:val="1"/>
          <w:numId w:val="7"/>
        </w:numPr>
        <w:tabs>
          <w:tab w:leader="none" w:pos="53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10" w:line="192" w:lineRule="exact"/>
        <w:ind w:left="540" w:right="40" w:hanging="500"/>
      </w:pPr>
      <w:r>
        <w:rPr>
          <w:rStyle w:val="CharStyle33"/>
          <w:u w:val="none"/>
          <w:sz w:val="13"/>
          <w:szCs w:val="13"/>
        </w:rPr>
        <w:t>případné zničení, ztrátu nebo odcizení Karty nahlásit bez</w:t>
        <w:br/>
        <w:t>zbytečného odkladu Společnosti Shell nebo třeti straně, která</w:t>
        <w:br/>
        <w:t>bude Hlavnímu držiteli karty Shell oznámena.</w:t>
      </w:r>
    </w:p>
    <w:p>
      <w:pPr>
        <w:pStyle w:val="Style29"/>
        <w:numPr>
          <w:ilvl w:val="0"/>
          <w:numId w:val="7"/>
        </w:numPr>
        <w:tabs>
          <w:tab w:leader="none" w:pos="53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23" w:line="130" w:lineRule="exact"/>
        <w:ind w:left="40" w:right="0" w:firstLine="0"/>
      </w:pPr>
      <w:r>
        <w:rPr>
          <w:rStyle w:val="CharStyle33"/>
          <w:u w:val="none"/>
          <w:sz w:val="13"/>
          <w:szCs w:val="13"/>
        </w:rPr>
        <w:t>Kartu může Oprávněný nebo 1 llavní držitel karty používat pouze:</w:t>
      </w:r>
    </w:p>
    <w:p>
      <w:pPr>
        <w:pStyle w:val="Style29"/>
        <w:numPr>
          <w:ilvl w:val="1"/>
          <w:numId w:val="7"/>
        </w:numPr>
        <w:tabs>
          <w:tab w:leader="none" w:pos="53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82" w:lineRule="exact"/>
        <w:ind w:left="40" w:right="0" w:firstLine="0"/>
      </w:pPr>
      <w:r>
        <w:rPr>
          <w:rStyle w:val="CharStyle33"/>
          <w:u w:val="none"/>
          <w:sz w:val="13"/>
          <w:szCs w:val="13"/>
        </w:rPr>
        <w:t>pokud je Karta platná, její platnost nevypršela, ani nebyla zrušena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102" w:line="182" w:lineRule="exact"/>
        <w:ind w:left="720" w:right="40" w:firstLine="0"/>
      </w:pPr>
      <w:r>
        <w:rPr>
          <w:rStyle w:val="CharStyle33"/>
          <w:u w:val="none"/>
          <w:sz w:val="13"/>
          <w:szCs w:val="13"/>
        </w:rPr>
        <w:t>či pozastavena buď ze strany Společnosti Shell nebo na žádost</w:t>
        <w:br/>
        <w:t>Hlavního držitele karty;</w:t>
      </w:r>
    </w:p>
    <w:p>
      <w:pPr>
        <w:pStyle w:val="Style29"/>
        <w:numPr>
          <w:ilvl w:val="1"/>
          <w:numId w:val="7"/>
        </w:numPr>
        <w:tabs>
          <w:tab w:leader="none" w:pos="53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5" w:line="130" w:lineRule="exact"/>
        <w:ind w:left="40" w:right="0" w:firstLine="0"/>
      </w:pPr>
      <w:r>
        <w:rPr>
          <w:rStyle w:val="CharStyle33"/>
          <w:u w:val="none"/>
          <w:sz w:val="13"/>
          <w:szCs w:val="13"/>
        </w:rPr>
        <w:t>k získání Dodávek od Účastníka programu karet euroShell, který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114" w:line="130" w:lineRule="exact"/>
        <w:ind w:left="720" w:right="0" w:firstLine="0"/>
      </w:pPr>
      <w:r>
        <w:rPr>
          <w:rStyle w:val="CharStyle33"/>
          <w:u w:val="none"/>
          <w:sz w:val="13"/>
          <w:szCs w:val="13"/>
        </w:rPr>
        <w:t>přijímá tuto Kartu;</w:t>
      </w:r>
    </w:p>
    <w:p>
      <w:pPr>
        <w:pStyle w:val="Style39"/>
        <w:numPr>
          <w:ilvl w:val="1"/>
          <w:numId w:val="7"/>
        </w:numPr>
        <w:tabs>
          <w:tab w:leader="none" w:pos="53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40" w:right="0" w:firstLine="0"/>
      </w:pPr>
      <w:r>
        <w:rPr>
          <w:rStyle w:val="CharStyle40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k získáni Dodávek, jak je definuje nákupní kategorie či jakékoliv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102" w:line="182" w:lineRule="exact"/>
        <w:ind w:left="720" w:right="40" w:firstLine="0"/>
      </w:pPr>
      <w:r>
        <w:rPr>
          <w:rStyle w:val="CharStyle33"/>
          <w:u w:val="none"/>
          <w:sz w:val="13"/>
          <w:szCs w:val="13"/>
        </w:rPr>
        <w:t>jiné nákupní omezeni příležitostně oznamované Společností</w:t>
        <w:br/>
        <w:t>Shell Hlavnímu držiteli karty a/nebo Oprávněnému držiteli</w:t>
        <w:br/>
        <w:t>karty s ohledem na zeměpisná a síťová omezení Karty;</w:t>
      </w:r>
    </w:p>
    <w:p>
      <w:pPr>
        <w:pStyle w:val="Style29"/>
        <w:numPr>
          <w:ilvl w:val="1"/>
          <w:numId w:val="7"/>
        </w:numPr>
        <w:tabs>
          <w:tab w:leader="none" w:pos="53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65" w:line="130" w:lineRule="exact"/>
        <w:ind w:left="40" w:right="0" w:firstLine="0"/>
      </w:pPr>
      <w:r>
        <w:rPr>
          <w:rStyle w:val="CharStyle33"/>
          <w:u w:val="none"/>
          <w:sz w:val="13"/>
          <w:szCs w:val="13"/>
        </w:rPr>
        <w:t>k získáni Dodávek až do maximální hodnoty na jednu transakci;</w:t>
      </w:r>
    </w:p>
    <w:p>
      <w:pPr>
        <w:pStyle w:val="Style29"/>
        <w:numPr>
          <w:ilvl w:val="1"/>
          <w:numId w:val="7"/>
        </w:numPr>
        <w:tabs>
          <w:tab w:leader="none" w:pos="53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08" w:line="130" w:lineRule="exact"/>
        <w:ind w:left="40" w:right="0" w:firstLine="0"/>
      </w:pPr>
      <w:r>
        <w:rPr>
          <w:rStyle w:val="CharStyle33"/>
          <w:u w:val="none"/>
          <w:sz w:val="13"/>
          <w:szCs w:val="13"/>
        </w:rPr>
        <w:t>pokud nebyla nahlášena ztráta, krádež či poškození Karty;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117" w:line="202" w:lineRule="exact"/>
        <w:ind w:left="40" w:right="40" w:firstLine="0"/>
      </w:pPr>
      <w:r>
        <w:rPr>
          <w:rStyle w:val="CharStyle33"/>
          <w:u w:val="none"/>
          <w:sz w:val="13"/>
          <w:szCs w:val="13"/>
        </w:rPr>
        <w:t>4.4. Při transakci s Kartou je Oprávněný držitel karty zejména</w:t>
        <w:br/>
        <w:t>povinen:</w:t>
      </w:r>
    </w:p>
    <w:p>
      <w:pPr>
        <w:pStyle w:val="Style29"/>
        <w:numPr>
          <w:ilvl w:val="2"/>
          <w:numId w:val="7"/>
        </w:numPr>
        <w:tabs>
          <w:tab w:leader="none" w:pos="53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65" w:line="130" w:lineRule="exact"/>
        <w:ind w:left="40" w:right="0" w:firstLine="0"/>
      </w:pPr>
      <w:r>
        <w:rPr>
          <w:rStyle w:val="CharStyle33"/>
          <w:u w:val="none"/>
          <w:sz w:val="13"/>
          <w:szCs w:val="13"/>
        </w:rPr>
        <w:t>ohlásit zamýšlenou transakci s Kartou příslušné pokladní obsluze;</w:t>
      </w:r>
    </w:p>
    <w:p>
      <w:pPr>
        <w:pStyle w:val="Style29"/>
        <w:numPr>
          <w:ilvl w:val="2"/>
          <w:numId w:val="7"/>
        </w:numPr>
        <w:tabs>
          <w:tab w:leader="none" w:pos="53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15" w:line="130" w:lineRule="exact"/>
        <w:ind w:left="40" w:right="0" w:firstLine="0"/>
      </w:pPr>
      <w:r>
        <w:rPr>
          <w:rStyle w:val="CharStyle33"/>
          <w:u w:val="none"/>
          <w:sz w:val="13"/>
          <w:szCs w:val="13"/>
        </w:rPr>
        <w:t>předložit Kartu příslušné pokladní obsluze;</w:t>
      </w:r>
    </w:p>
    <w:p>
      <w:pPr>
        <w:pStyle w:val="Style29"/>
        <w:numPr>
          <w:ilvl w:val="2"/>
          <w:numId w:val="7"/>
        </w:numPr>
        <w:tabs>
          <w:tab w:leader="none" w:pos="53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 w:line="192" w:lineRule="exact"/>
        <w:ind w:left="540" w:right="40" w:hanging="500"/>
      </w:pPr>
      <w:r>
        <w:rPr>
          <w:rStyle w:val="CharStyle33"/>
          <w:u w:val="none"/>
          <w:sz w:val="13"/>
          <w:szCs w:val="13"/>
        </w:rPr>
        <w:t>po načteni karty zkontrolovat cenu, druh a množství Dodávky</w:t>
        <w:br/>
        <w:t>zobrazenou na displeji příslušného zařízení;</w:t>
      </w:r>
    </w:p>
    <w:p>
      <w:pPr>
        <w:pStyle w:val="Style29"/>
        <w:numPr>
          <w:ilvl w:val="2"/>
          <w:numId w:val="7"/>
        </w:numPr>
        <w:tabs>
          <w:tab w:leader="none" w:pos="53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10" w:line="192" w:lineRule="exact"/>
        <w:ind w:left="540" w:right="40" w:hanging="500"/>
      </w:pPr>
      <w:r>
        <w:rPr>
          <w:rStyle w:val="CharStyle33"/>
          <w:u w:val="none"/>
          <w:sz w:val="13"/>
          <w:szCs w:val="13"/>
        </w:rPr>
        <w:t>zadal PIN Karty, eventuálně další údaje, pokud jsou Karlou</w:t>
        <w:br/>
        <w:t>požadovány; čímž potvrzuje převzetí Dodávky;</w:t>
      </w:r>
    </w:p>
    <w:p>
      <w:pPr>
        <w:pStyle w:val="Style29"/>
        <w:numPr>
          <w:ilvl w:val="2"/>
          <w:numId w:val="7"/>
        </w:numPr>
        <w:tabs>
          <w:tab w:leader="none" w:pos="53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27" w:line="130" w:lineRule="exact"/>
        <w:ind w:left="40" w:right="0" w:firstLine="0"/>
      </w:pPr>
      <w:r>
        <w:rPr>
          <w:rStyle w:val="CharStyle33"/>
          <w:u w:val="none"/>
          <w:sz w:val="13"/>
          <w:szCs w:val="13"/>
        </w:rPr>
        <w:t>potvrdit svým podpisem pokladní obsluze Účetní doklad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0" w:line="202" w:lineRule="exact"/>
        <w:ind w:left="40" w:right="40" w:firstLine="0"/>
      </w:pPr>
      <w:r>
        <w:rPr>
          <w:rStyle w:val="CharStyle33"/>
          <w:u w:val="none"/>
          <w:sz w:val="13"/>
          <w:szCs w:val="13"/>
        </w:rPr>
        <w:t>Pokud Oprávněný držitel karty nedodrží shora uvedené povinnosti.</w:t>
        <w:br/>
        <w:t>Společnost Shell neodpovídá za jakékoliv škody, které by v důsledku</w:t>
        <w:br/>
        <w:t>takového porušení vznikly Oprávněnému nebo Hlavnímu držiteli karty</w:t>
      </w:r>
      <w:r>
        <w:br w:type="page"/>
      </w:r>
    </w:p>
    <w:p>
      <w:pPr>
        <w:pStyle w:val="Style29"/>
        <w:numPr>
          <w:ilvl w:val="0"/>
          <w:numId w:val="9"/>
        </w:numPr>
        <w:tabs>
          <w:tab w:leader="none" w:pos="53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8" w:line="202" w:lineRule="exact"/>
        <w:ind w:left="40" w:right="40" w:firstLine="0"/>
      </w:pPr>
      <w:r>
        <w:rPr>
          <w:rStyle w:val="CharStyle33"/>
          <w:u w:val="none"/>
          <w:sz w:val="13"/>
          <w:szCs w:val="13"/>
        </w:rPr>
        <w:t>Pokud čtecí zařízeni pro transakce s Kartou není možné použit,</w:t>
        <w:br/>
        <w:t>obsluha tohoto zařízeni musí překontrolovat registrační značku vozidla</w:t>
        <w:br/>
        <w:t>uvedenou na Kartč s registrační značkou vozidla anebo jméno uvedené</w:t>
        <w:br/>
        <w:t>na Kartč se jménem uvedeným na osobních dokladech držitele Karty, aby</w:t>
        <w:br/>
        <w:t>mohla být Dodávka realizována.</w:t>
      </w:r>
    </w:p>
    <w:p>
      <w:pPr>
        <w:pStyle w:val="Style29"/>
        <w:numPr>
          <w:ilvl w:val="0"/>
          <w:numId w:val="9"/>
        </w:numPr>
        <w:tabs>
          <w:tab w:leader="none" w:pos="53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 w:line="192" w:lineRule="exact"/>
        <w:ind w:left="40" w:right="40" w:firstLine="0"/>
      </w:pPr>
      <w:r>
        <w:rPr>
          <w:rStyle w:val="CharStyle33"/>
          <w:u w:val="none"/>
          <w:sz w:val="13"/>
          <w:szCs w:val="13"/>
        </w:rPr>
        <w:t>Hlavního držitel karty nebo Oprávnčný držitel karty je povinen</w:t>
        <w:br/>
        <w:t>řádnč uchovávat účetní doklady vydané v dobč zakoupení Dodávek a</w:t>
        <w:br/>
        <w:t>v souvislosti s nimi.</w:t>
      </w:r>
    </w:p>
    <w:p>
      <w:pPr>
        <w:pStyle w:val="Style29"/>
        <w:numPr>
          <w:ilvl w:val="0"/>
          <w:numId w:val="9"/>
        </w:numPr>
        <w:tabs>
          <w:tab w:leader="none" w:pos="54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 w:line="192" w:lineRule="exact"/>
        <w:ind w:left="40" w:right="40" w:firstLine="0"/>
      </w:pPr>
      <w:r>
        <w:rPr>
          <w:rStyle w:val="CharStyle33"/>
          <w:u w:val="none"/>
          <w:sz w:val="13"/>
          <w:szCs w:val="13"/>
        </w:rPr>
        <w:t>Při každé transakci s Kartou musí Hlavni držitel karty a</w:t>
        <w:br/>
        <w:t>Oprávnčný držitel karty dodržovat Smlouvu, tyto Podmínky a všechny</w:t>
        <w:br/>
        <w:t>procedurální požadavky Účastníka programu karet euroShell ve vztahu k</w:t>
        <w:br/>
        <w:t>příslušné transakci pomocí Karty a zajistit, aby byla Karta použita pouze</w:t>
        <w:br/>
        <w:t>v souladu s ustanoveními odstavců 4.3 a 4.4.</w:t>
      </w:r>
    </w:p>
    <w:p>
      <w:pPr>
        <w:pStyle w:val="Style29"/>
        <w:numPr>
          <w:ilvl w:val="0"/>
          <w:numId w:val="9"/>
        </w:numPr>
        <w:tabs>
          <w:tab w:leader="none" w:pos="53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8" w:line="192" w:lineRule="exact"/>
        <w:ind w:left="40" w:right="40" w:firstLine="0"/>
      </w:pPr>
      <w:r>
        <w:rPr>
          <w:rStyle w:val="CharStyle33"/>
          <w:u w:val="none"/>
          <w:sz w:val="13"/>
          <w:szCs w:val="13"/>
        </w:rPr>
        <w:t>Nejsou-li splnčny jakékoliv procedurální požadavky Účastníka</w:t>
        <w:br/>
        <w:t>programu karet euroShell, nebo je-li Karta použita jinak než v souladu s</w:t>
        <w:br/>
        <w:t>témito Podmínkami, zůstává nicménč Hlavnímu držiteli karty povinnost</w:t>
        <w:br/>
        <w:t>zaplatit Společnosti Shell veškeré částky dlužné Společnosti Shell na</w:t>
        <w:br/>
        <w:t>základč příslušné transakce pomocí Karty. Tylo transakce jsou</w:t>
        <w:br/>
        <w:t>považovány za platné, jakmile jsou přijaty Účastníkem programu karet</w:t>
        <w:br/>
        <w:t>euroShell a Hlavni držitel karty je za tylo transakce odpovčdný.</w:t>
      </w:r>
    </w:p>
    <w:p>
      <w:pPr>
        <w:pStyle w:val="Style29"/>
        <w:numPr>
          <w:ilvl w:val="0"/>
          <w:numId w:val="9"/>
        </w:numPr>
        <w:tabs>
          <w:tab w:leader="none" w:pos="54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 w:line="182" w:lineRule="exact"/>
        <w:ind w:left="40" w:right="40" w:firstLine="0"/>
      </w:pPr>
      <w:r>
        <w:rPr>
          <w:rStyle w:val="CharStyle33"/>
          <w:u w:val="none"/>
          <w:sz w:val="13"/>
          <w:szCs w:val="13"/>
        </w:rPr>
        <w:t>Společnost Shell může přidělit uživatelům heslo a/nebo</w:t>
        <w:br/>
        <w:t>uživatelské identifikační číslo, aby jim umožnila využívat online služby.</w:t>
        <w:br/>
        <w:t>Jakékoliv takové heslo a/nebo uživatelské identifikační číslo může</w:t>
        <w:br/>
        <w:t>Společnost Shell zaslat emailem. Společnost Shell není odpovčdná za</w:t>
        <w:br/>
        <w:t>jakékoliv ncoprávnčné použití online služeb kýmkoliv jiným než</w:t>
        <w:br/>
        <w:t>příslušným uživatelem, pokud toto heslo a/nebo uživatelské identifikační</w:t>
        <w:br/>
        <w:t>číslo obdržela třetí strana během jejich přenosu emailem nebo poté, co</w:t>
        <w:br/>
        <w:t>email obdržel zamýšlený příjemce.</w:t>
      </w:r>
    </w:p>
    <w:p>
      <w:pPr>
        <w:pStyle w:val="Style29"/>
        <w:numPr>
          <w:ilvl w:val="0"/>
          <w:numId w:val="9"/>
        </w:numPr>
        <w:tabs>
          <w:tab w:leader="none" w:pos="54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 w:line="182" w:lineRule="exact"/>
        <w:ind w:left="40" w:right="40" w:firstLine="0"/>
      </w:pPr>
      <w:r>
        <w:rPr>
          <w:rStyle w:val="CharStyle33"/>
          <w:u w:val="none"/>
          <w:sz w:val="13"/>
          <w:szCs w:val="13"/>
        </w:rPr>
        <w:t>Uživatelé musí uchovávat jakékoliv takové heslo a/nebo</w:t>
        <w:br/>
        <w:t>uživatelské identifikační číslo v bezpečí a v tajnosti a hlavni držitel karty</w:t>
        <w:br/>
        <w:t>musí Společnost Shell ihned informovat, pokud se jakákoliv třetí strana</w:t>
        <w:br/>
        <w:t>dozví jakékoliv heslo a/nebo uživatelské identifikační číslo. Společnost</w:t>
        <w:br/>
        <w:t>Shell si vyhrazuje právo zmčnit hesla, zrušit jeho platnost a/nebo ukončit</w:t>
        <w:br/>
        <w:t>tuto smlouvu, pokud má důvod domnívat se, že uživatel porušuje</w:t>
        <w:br/>
        <w:t>ustanoveni tohoto odstavce.</w:t>
      </w:r>
    </w:p>
    <w:p>
      <w:pPr>
        <w:pStyle w:val="Style29"/>
        <w:numPr>
          <w:ilvl w:val="0"/>
          <w:numId w:val="9"/>
        </w:numPr>
        <w:tabs>
          <w:tab w:leader="none" w:pos="54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 w:line="182" w:lineRule="exact"/>
        <w:ind w:left="40" w:right="40" w:firstLine="0"/>
      </w:pPr>
      <w:r>
        <w:rPr>
          <w:rStyle w:val="CharStyle33"/>
          <w:u w:val="none"/>
          <w:sz w:val="13"/>
          <w:szCs w:val="13"/>
        </w:rPr>
        <w:t>Hlavni držitel karty je odpovčdný za jakoukoliv ztrátu, škodu,</w:t>
        <w:br/>
        <w:t>náklady a výdaje vzniklé Společnosti Shell nebo jakékoliv třetí stranč v</w:t>
        <w:br/>
        <w:t>důsledku neoprávněného použití hesla nebo uživatelského</w:t>
        <w:br/>
        <w:t>identifikačního čísla vyplývajícího z porušeni podmínky uchovat</w:t>
        <w:br/>
        <w:t>heslo/uživatelské identifikační číslo v tajnosti ze strany uživatele. Hlavní</w:t>
        <w:br/>
        <w:t>držitel karty zůstává odpovčdný za jakékoliv použití online služeb</w:t>
        <w:br/>
        <w:t>jakoukoliv osobou, oprávněnou či neoprávněnou, která se k online</w:t>
        <w:br/>
        <w:t>službám dostane za použití jakýchkoliv hesel a/nebo uživatelských</w:t>
        <w:br/>
        <w:t>identifikačních čísel.</w:t>
      </w:r>
    </w:p>
    <w:p>
      <w:pPr>
        <w:pStyle w:val="Style29"/>
        <w:numPr>
          <w:ilvl w:val="0"/>
          <w:numId w:val="9"/>
        </w:numPr>
        <w:tabs>
          <w:tab w:leader="none" w:pos="53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2" w:line="182" w:lineRule="exact"/>
        <w:ind w:left="40" w:right="40" w:firstLine="0"/>
      </w:pPr>
      <w:r>
        <w:rPr>
          <w:rStyle w:val="CharStyle33"/>
          <w:u w:val="none"/>
          <w:sz w:val="13"/>
          <w:szCs w:val="13"/>
        </w:rPr>
        <w:t>Společnost Shell může (ale nemusí) souhlasit s žádostí uživatele o</w:t>
        <w:br/>
        <w:t>provedení změny hesla. Od uživatele je možné vyžadovat uhrazeni</w:t>
        <w:br/>
        <w:t>poplatku za tuto změnu hesla.</w:t>
      </w:r>
    </w:p>
    <w:p>
      <w:pPr>
        <w:pStyle w:val="Style29"/>
        <w:numPr>
          <w:ilvl w:val="0"/>
          <w:numId w:val="9"/>
        </w:numPr>
        <w:tabs>
          <w:tab w:leader="none" w:pos="53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10" w:line="192" w:lineRule="exact"/>
        <w:ind w:left="40" w:right="40" w:firstLine="0"/>
      </w:pPr>
      <w:r>
        <w:rPr>
          <w:rStyle w:val="CharStyle33"/>
          <w:u w:val="none"/>
          <w:sz w:val="13"/>
          <w:szCs w:val="13"/>
        </w:rPr>
        <w:t>Společnost Shell může provést taková preventivní a nápravná</w:t>
        <w:br/>
        <w:t>opatřeni u internetových stránek Shell, která považuje za přiměřeně</w:t>
        <w:br/>
        <w:t>nezbytná pro řádné fungování online služeb.</w:t>
      </w:r>
    </w:p>
    <w:p>
      <w:pPr>
        <w:pStyle w:val="Style29"/>
        <w:numPr>
          <w:ilvl w:val="0"/>
          <w:numId w:val="9"/>
        </w:numPr>
        <w:tabs>
          <w:tab w:leader="none" w:pos="53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5" w:line="130" w:lineRule="exact"/>
        <w:ind w:left="40" w:right="0" w:firstLine="0"/>
      </w:pPr>
      <w:r>
        <w:rPr>
          <w:rStyle w:val="CharStyle33"/>
          <w:u w:val="none"/>
          <w:sz w:val="13"/>
          <w:szCs w:val="13"/>
        </w:rPr>
        <w:t>Společnost Shell může:</w:t>
      </w:r>
    </w:p>
    <w:p>
      <w:pPr>
        <w:pStyle w:val="Style29"/>
        <w:numPr>
          <w:ilvl w:val="1"/>
          <w:numId w:val="9"/>
        </w:numPr>
        <w:tabs>
          <w:tab w:leader="none" w:pos="53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30" w:lineRule="exact"/>
        <w:ind w:left="40" w:right="0" w:firstLine="0"/>
      </w:pPr>
      <w:r>
        <w:rPr>
          <w:rStyle w:val="CharStyle33"/>
          <w:u w:val="none"/>
          <w:sz w:val="13"/>
          <w:szCs w:val="13"/>
        </w:rPr>
        <w:t>v naléhavém případě přerušit online služby;</w:t>
      </w:r>
    </w:p>
    <w:p>
      <w:pPr>
        <w:pStyle w:val="Style29"/>
        <w:numPr>
          <w:ilvl w:val="1"/>
          <w:numId w:val="9"/>
        </w:numPr>
        <w:tabs>
          <w:tab w:leader="none" w:pos="53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60" w:line="192" w:lineRule="exact"/>
        <w:ind w:left="560" w:right="40" w:hanging="520"/>
      </w:pPr>
      <w:r>
        <w:rPr>
          <w:rStyle w:val="CharStyle33"/>
          <w:u w:val="none"/>
          <w:sz w:val="13"/>
          <w:szCs w:val="13"/>
        </w:rPr>
        <w:t>dočasně přerušit online služby či jakoukoliv jejich část, kvůli</w:t>
        <w:br/>
        <w:t>provedení</w:t>
      </w:r>
    </w:p>
    <w:p>
      <w:pPr>
        <w:pStyle w:val="Style29"/>
        <w:numPr>
          <w:ilvl w:val="1"/>
          <w:numId w:val="9"/>
        </w:numPr>
        <w:tabs>
          <w:tab w:leader="none" w:pos="53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60" w:line="192" w:lineRule="exact"/>
        <w:ind w:left="560" w:right="40" w:hanging="520"/>
      </w:pPr>
      <w:r>
        <w:rPr>
          <w:rStyle w:val="CharStyle33"/>
          <w:u w:val="none"/>
          <w:sz w:val="13"/>
          <w:szCs w:val="13"/>
        </w:rPr>
        <w:t>změn specifikace online služeb nebo kvůli opravě, údržbě či</w:t>
        <w:br/>
        <w:t>zdokonaleni;</w:t>
      </w:r>
    </w:p>
    <w:p>
      <w:pPr>
        <w:pStyle w:val="Style29"/>
        <w:numPr>
          <w:ilvl w:val="1"/>
          <w:numId w:val="9"/>
        </w:numPr>
        <w:tabs>
          <w:tab w:leader="none" w:pos="53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60" w:line="192" w:lineRule="exact"/>
        <w:ind w:left="560" w:right="40" w:hanging="520"/>
      </w:pPr>
      <w:r>
        <w:rPr>
          <w:rStyle w:val="CharStyle33"/>
          <w:u w:val="none"/>
          <w:sz w:val="13"/>
          <w:szCs w:val="13"/>
        </w:rPr>
        <w:t>vydat takové pokyny uživatelům, které považuje za přiměřeně</w:t>
        <w:br/>
        <w:t>nezbytné;a</w:t>
      </w:r>
    </w:p>
    <w:p>
      <w:pPr>
        <w:pStyle w:val="Style29"/>
        <w:numPr>
          <w:ilvl w:val="1"/>
          <w:numId w:val="9"/>
        </w:numPr>
        <w:tabs>
          <w:tab w:leader="none" w:pos="53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60" w:line="192" w:lineRule="exact"/>
        <w:ind w:left="560" w:right="40" w:hanging="520"/>
      </w:pPr>
      <w:r>
        <w:rPr>
          <w:rStyle w:val="CharStyle33"/>
          <w:u w:val="none"/>
          <w:sz w:val="13"/>
          <w:szCs w:val="13"/>
        </w:rPr>
        <w:t>přerušit online služby za jakýchkoliv okolnosti, za nichž je</w:t>
        <w:br/>
        <w:t>oprávněna ukončit tuto smlouvu</w:t>
      </w:r>
    </w:p>
    <w:p>
      <w:pPr>
        <w:pStyle w:val="Style29"/>
        <w:numPr>
          <w:ilvl w:val="0"/>
          <w:numId w:val="9"/>
        </w:numPr>
        <w:tabs>
          <w:tab w:leader="none" w:pos="42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8" w:line="192" w:lineRule="exact"/>
        <w:ind w:left="40" w:right="40" w:firstLine="0"/>
      </w:pPr>
      <w:r>
        <w:rPr>
          <w:rStyle w:val="CharStyle33"/>
          <w:u w:val="none"/>
          <w:sz w:val="13"/>
          <w:szCs w:val="13"/>
        </w:rPr>
        <w:t>Hlavní držitel karty nemá žádný nárok vůči Společnosti Shell za</w:t>
        <w:br/>
        <w:t>jakékoliv přerušení online služeb podle odstavce 4.14. Jakékoliv</w:t>
        <w:br/>
        <w:t>uplatnění práva ze strany Společnosti Shell přerušit tuto Smlouvu</w:t>
        <w:br/>
        <w:t>nevylučuje právo Společnosti Shell následně tuto Smlouvu ukončit.</w:t>
      </w:r>
    </w:p>
    <w:p>
      <w:pPr>
        <w:pStyle w:val="Style29"/>
        <w:numPr>
          <w:ilvl w:val="0"/>
          <w:numId w:val="9"/>
        </w:numPr>
        <w:tabs>
          <w:tab w:leader="none" w:pos="41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82" w:lineRule="exact"/>
        <w:ind w:left="40" w:right="40" w:firstLine="0"/>
      </w:pPr>
      <w:r>
        <w:rPr>
          <w:rStyle w:val="CharStyle33"/>
          <w:u w:val="none"/>
          <w:sz w:val="13"/>
          <w:szCs w:val="13"/>
        </w:rPr>
        <w:t>Pokud budou online služby nebo internetové stránky Společnosti</w:t>
        <w:br/>
        <w:t>Shell přerušeny kvůli zavinění uživatele, Hlavni držitel karty nahradí</w:t>
        <w:br/>
        <w:t>Společnosti Shell náklady a výdaje přiměřeně vzniklé při tomto přerušeni</w:t>
        <w:br/>
        <w:t>spolu se všemi neuhrazenými částkami dlužnými podle této smlouvy.</w:t>
        <w:br/>
        <w:t>Pokud Společnost Shell souhlasí (podle svého uvážení) s obnovením</w:t>
        <w:br/>
        <w:t>online služeb, složí Hlavní držitel karty přiměřenou zálohu ve vztahu k</w:t>
        <w:br/>
        <w:t>budoucím platbám</w:t>
      </w:r>
    </w:p>
    <w:p>
      <w:pPr>
        <w:pStyle w:val="Style29"/>
        <w:numPr>
          <w:ilvl w:val="0"/>
          <w:numId w:val="9"/>
        </w:numPr>
        <w:tabs>
          <w:tab w:leader="none" w:pos="59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8" w:line="192" w:lineRule="exact"/>
        <w:ind w:left="80" w:right="60" w:firstLine="0"/>
      </w:pPr>
      <w:r>
        <w:rPr>
          <w:rStyle w:val="CharStyle33"/>
          <w:u w:val="none"/>
          <w:sz w:val="13"/>
          <w:szCs w:val="13"/>
        </w:rPr>
        <w:t>Společnost Shell si vyhrazuje právo příležitostně zamítnout</w:t>
        <w:br/>
        <w:t>jakoukoliv jednotlivou transakci prostřednictvím Karty z jakéhokoliv</w:t>
        <w:br/>
        <w:t>důvodu souvisejícího se zabezpečením Karty nebo se situací, kdy byly</w:t>
        <w:br/>
        <w:t>překročeny Limity a Hlavní držitel karty tímto bere na vědomí a přijímá,</w:t>
        <w:br/>
        <w:t>že Společnost Shell za takovéto zamítnutí nenese žádnou odpovědnost.</w:t>
      </w:r>
    </w:p>
    <w:p>
      <w:pPr>
        <w:pStyle w:val="Style29"/>
        <w:numPr>
          <w:ilvl w:val="0"/>
          <w:numId w:val="9"/>
        </w:numPr>
        <w:tabs>
          <w:tab w:leader="none" w:pos="57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2" w:line="182" w:lineRule="exact"/>
        <w:ind w:left="80" w:right="60" w:firstLine="0"/>
      </w:pPr>
      <w:r>
        <w:rPr>
          <w:rStyle w:val="CharStyle33"/>
          <w:u w:val="none"/>
          <w:sz w:val="13"/>
          <w:szCs w:val="13"/>
        </w:rPr>
        <w:t>Hlavní uživatel karty je povinen neprodleně písemně oznámit</w:t>
        <w:br/>
        <w:t>Společnosti Shell jakékoliv případné změny na jeho stranč, které mohou</w:t>
        <w:br/>
        <w:t>zásadním způsobem ovlivnit obsah a trváni Smlouvy - jedná se zejména</w:t>
        <w:br/>
        <w:t>o změnu názvu/firmy, 1Č, právní formy podnikání, sídla, a bankovního</w:t>
        <w:br/>
        <w:t>spojení, jakož i jeho vstupu do likvidace, prohlášení konkursu apod.</w:t>
      </w:r>
    </w:p>
    <w:p>
      <w:pPr>
        <w:pStyle w:val="Style29"/>
        <w:numPr>
          <w:ilvl w:val="0"/>
          <w:numId w:val="9"/>
        </w:numPr>
        <w:tabs>
          <w:tab w:leader="none" w:pos="57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10" w:line="192" w:lineRule="exact"/>
        <w:ind w:left="80" w:right="60" w:firstLine="0"/>
      </w:pPr>
      <w:r>
        <w:rPr>
          <w:rStyle w:val="CharStyle33"/>
          <w:u w:val="none"/>
          <w:sz w:val="13"/>
          <w:szCs w:val="13"/>
        </w:rPr>
        <w:t>Hlavni držitel karty je oprávněn provést Registraci v mýtném</w:t>
        <w:br/>
        <w:t>systému a označit Kartu nebo Karty jako prostředek Platby za mýtné</w:t>
        <w:br/>
        <w:t>služby. Poklid tomu nebrání žádné technické nebo jiné důvody,</w:t>
        <w:br/>
        <w:t>společnosti Shell může umožnit nákup Mýtných služeb i v Režimu</w:t>
        <w:br/>
        <w:t>následně placených služeb prostřednictvím Karty. Hlavni držitel karty je</w:t>
        <w:br/>
        <w:t>na druhou stranu povinen zaplatit společnosti Shell Platby za Mýtné</w:t>
        <w:br/>
        <w:t>služby.</w:t>
      </w:r>
    </w:p>
    <w:p>
      <w:pPr>
        <w:pStyle w:val="Style29"/>
        <w:numPr>
          <w:ilvl w:val="0"/>
          <w:numId w:val="9"/>
        </w:numPr>
        <w:tabs>
          <w:tab w:leader="none" w:pos="57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" w:line="130" w:lineRule="exact"/>
        <w:ind w:left="80" w:right="0" w:firstLine="0"/>
      </w:pPr>
      <w:r>
        <w:rPr>
          <w:rStyle w:val="CharStyle33"/>
          <w:u w:val="none"/>
          <w:sz w:val="13"/>
          <w:szCs w:val="13"/>
        </w:rPr>
        <w:t>Mýtné služby</w:t>
      </w:r>
    </w:p>
    <w:p>
      <w:pPr>
        <w:pStyle w:val="Style29"/>
        <w:numPr>
          <w:ilvl w:val="1"/>
          <w:numId w:val="9"/>
        </w:numPr>
        <w:tabs>
          <w:tab w:leader="none" w:pos="57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 w:line="192" w:lineRule="exact"/>
        <w:ind w:left="560" w:right="60" w:hanging="480"/>
      </w:pPr>
      <w:r>
        <w:rPr>
          <w:rStyle w:val="CharStyle33"/>
          <w:u w:val="none"/>
          <w:sz w:val="13"/>
          <w:szCs w:val="13"/>
        </w:rPr>
        <w:t>V případě, že společnost Shell a Hlavní držitel karty uzavřeli</w:t>
        <w:br/>
        <w:t>zvláštní dohodu podle 2.2 těchto VOP, ustanovení těchto VOP se</w:t>
        <w:br/>
        <w:t>na tento vztah nepoužijí, pokud jsou podmínky v této dohodě</w:t>
        <w:br/>
        <w:t>upraveny rozdílně.</w:t>
      </w:r>
    </w:p>
    <w:p>
      <w:pPr>
        <w:pStyle w:val="Style29"/>
        <w:numPr>
          <w:ilvl w:val="1"/>
          <w:numId w:val="9"/>
        </w:numPr>
        <w:tabs>
          <w:tab w:leader="none" w:pos="57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8" w:line="192" w:lineRule="exact"/>
        <w:ind w:left="560" w:right="60" w:hanging="480"/>
      </w:pPr>
      <w:r>
        <w:rPr>
          <w:rStyle w:val="CharStyle33"/>
          <w:u w:val="none"/>
          <w:sz w:val="13"/>
          <w:szCs w:val="13"/>
        </w:rPr>
        <w:t>V připadč Režimu následně placených služeb sc budou přiřazovat</w:t>
        <w:br/>
        <w:t>Platby za mýtné služby, které je Hlavní držitel karty povinen</w:t>
        <w:br/>
        <w:t>platit, bez toho, aby bylo nutné provést Transakci kartou podle čl.</w:t>
        <w:br/>
        <w:t>4 těchto VOP.</w:t>
      </w:r>
    </w:p>
    <w:p>
      <w:pPr>
        <w:pStyle w:val="Style29"/>
        <w:numPr>
          <w:ilvl w:val="1"/>
          <w:numId w:val="9"/>
        </w:numPr>
        <w:tabs>
          <w:tab w:leader="none" w:pos="57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 w:line="182" w:lineRule="exact"/>
        <w:ind w:left="560" w:right="60" w:hanging="480"/>
      </w:pPr>
      <w:r>
        <w:rPr>
          <w:rStyle w:val="CharStyle33"/>
          <w:u w:val="none"/>
          <w:sz w:val="13"/>
          <w:szCs w:val="13"/>
        </w:rPr>
        <w:t>Hlavni držitel karty je oprávněn nakupovat Mýtné služby v</w:t>
        <w:br/>
        <w:t>Režimu předplacených služeb za předpokladu, že to Elektronický</w:t>
        <w:br/>
        <w:t>mýtný systém dovoluje a že tomu nebráni technické nebo jiné</w:t>
        <w:br/>
        <w:t>podmínky.</w:t>
      </w:r>
    </w:p>
    <w:p>
      <w:pPr>
        <w:pStyle w:val="Style29"/>
        <w:numPr>
          <w:ilvl w:val="1"/>
          <w:numId w:val="9"/>
        </w:numPr>
        <w:tabs>
          <w:tab w:leader="none" w:pos="57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2" w:line="182" w:lineRule="exact"/>
        <w:ind w:left="560" w:right="60" w:hanging="480"/>
      </w:pPr>
      <w:r>
        <w:rPr>
          <w:rStyle w:val="CharStyle33"/>
          <w:u w:val="none"/>
          <w:sz w:val="13"/>
          <w:szCs w:val="13"/>
        </w:rPr>
        <w:t>Společnost Shell neodpovídá za správnost vyúčtování Plateb za</w:t>
        <w:br/>
        <w:t>mýtné služby. Hlavní držitel karty je povinen nesprávné</w:t>
        <w:br/>
        <w:t>vyúčtování reklamovat u Provozovatele mýta. Tyto námitky však</w:t>
        <w:br/>
        <w:t>neopravňují Hlavního držitele karty zadržet nebo snížit</w:t>
        <w:br/>
        <w:t>jakoukoliv platbu ve prospěch společnosti Shell.</w:t>
      </w:r>
    </w:p>
    <w:p>
      <w:pPr>
        <w:pStyle w:val="Style29"/>
        <w:numPr>
          <w:ilvl w:val="1"/>
          <w:numId w:val="9"/>
        </w:numPr>
        <w:tabs>
          <w:tab w:leader="none" w:pos="57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10" w:line="192" w:lineRule="exact"/>
        <w:ind w:left="560" w:right="60" w:hanging="480"/>
      </w:pPr>
      <w:r>
        <w:rPr>
          <w:rStyle w:val="CharStyle33"/>
          <w:u w:val="none"/>
          <w:sz w:val="13"/>
          <w:szCs w:val="13"/>
        </w:rPr>
        <w:t>Hlavni držitel karty bere na včdomí, že v případě blokacc</w:t>
        <w:br/>
        <w:t>kterékoliv Karty není oprávněn použít takovouto Kartu na nákup</w:t>
        <w:br/>
        <w:t>Mýtných služeb. Tím může vzniknout i taková situace, že palubní</w:t>
        <w:br/>
        <w:t>jednotka nebude funkční a nebo vzniknou jiné překážky při</w:t>
        <w:br/>
        <w:t>užívání Mýtných služeb.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3" w:line="130" w:lineRule="exact"/>
        <w:ind w:left="80" w:right="0" w:firstLine="0"/>
      </w:pPr>
      <w:r>
        <w:rPr>
          <w:rStyle w:val="CharStyle33"/>
          <w:u w:val="none"/>
          <w:sz w:val="13"/>
          <w:szCs w:val="13"/>
        </w:rPr>
        <w:t>5. Zajištění a finanční limity</w:t>
      </w:r>
      <w:r>
        <w:rPr>
          <w:rStyle w:val="CharStyle33"/>
          <w:vertAlign w:val="superscript"/>
          <w:u w:val="none"/>
          <w:sz w:val="13"/>
          <w:szCs w:val="13"/>
        </w:rPr>
        <w:t>7</w:t>
      </w:r>
    </w:p>
    <w:p>
      <w:pPr>
        <w:pStyle w:val="Style29"/>
        <w:numPr>
          <w:ilvl w:val="0"/>
          <w:numId w:val="11"/>
        </w:numPr>
        <w:tabs>
          <w:tab w:leader="none" w:pos="57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2" w:line="182" w:lineRule="exact"/>
        <w:ind w:left="80" w:right="60" w:firstLine="0"/>
      </w:pPr>
      <w:r>
        <w:rPr>
          <w:rStyle w:val="CharStyle33"/>
          <w:u w:val="none"/>
          <w:sz w:val="13"/>
          <w:szCs w:val="13"/>
        </w:rPr>
        <w:t>Společnost Shell si vyhrazuje právo vyžádat si zajištěni (ať už ve</w:t>
        <w:br/>
        <w:t>formě bankovní záruky, ručení, zástavního práva, peněžní kauce,</w:t>
        <w:br/>
        <w:t>zajištění závazku převodem práva, poskytnutím jistoty, zálohy či jinak)</w:t>
        <w:br/>
        <w:t>na transakce uskutečňované prostřednictvím Karty a na jakékoliv jiné</w:t>
        <w:br/>
        <w:t>částky dlužné Společnosti Shell.</w:t>
      </w:r>
    </w:p>
    <w:p>
      <w:pPr>
        <w:pStyle w:val="Style29"/>
        <w:numPr>
          <w:ilvl w:val="0"/>
          <w:numId w:val="11"/>
        </w:numPr>
        <w:tabs>
          <w:tab w:leader="none" w:pos="57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8" w:line="192" w:lineRule="exact"/>
        <w:ind w:left="80" w:right="60" w:firstLine="0"/>
      </w:pPr>
      <w:r>
        <w:rPr>
          <w:rStyle w:val="CharStyle33"/>
          <w:u w:val="none"/>
          <w:sz w:val="13"/>
          <w:szCs w:val="13"/>
        </w:rPr>
        <w:t>Poskytnuti zajištění nemá vliv na odpovědnost Hlavního držitele</w:t>
        <w:br/>
        <w:t>karty podle Smlouvy a těchto Podmínek.</w:t>
      </w:r>
    </w:p>
    <w:p>
      <w:pPr>
        <w:pStyle w:val="Style29"/>
        <w:numPr>
          <w:ilvl w:val="0"/>
          <w:numId w:val="11"/>
        </w:numPr>
        <w:tabs>
          <w:tab w:leader="none" w:pos="57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 w:line="182" w:lineRule="exact"/>
        <w:ind w:left="80" w:right="60" w:firstLine="0"/>
      </w:pPr>
      <w:r>
        <w:rPr>
          <w:rStyle w:val="CharStyle33"/>
          <w:u w:val="none"/>
          <w:sz w:val="13"/>
          <w:szCs w:val="13"/>
        </w:rPr>
        <w:t>Pokud není na požádání zajištění poskytnuto, nebo doba, na</w:t>
        <w:br/>
        <w:t>kterou bylo zajištěni sjednáno uplyne, či přestane být z jakéhokoliv</w:t>
        <w:br/>
        <w:t>důvodu platné nebo poskytnuté zajištění nebylo v dostatečném předstihu</w:t>
        <w:br/>
        <w:t>před ukončením jeho platnosti, minimálně 60 dnů před takovýmto</w:t>
        <w:br/>
        <w:t>uplynutím lhůty, aktualizováno nebo výše takového zajištění poklesla</w:t>
        <w:br/>
        <w:t>pod dohodnutou částku a nedošlo k jejímu okamžitému doplnění, může</w:t>
        <w:br/>
        <w:t>Společnost Shell ihned a bez předchozího upozorněni zablokovat všechny</w:t>
        <w:br/>
        <w:t>Karty Hlavního držitele karty a vypovědět Smlouvu s účinky ode dne</w:t>
        <w:br/>
        <w:t>doručení takové výpovědi Hlavnímu držiteli karty, aniž by tím bylo</w:t>
        <w:br/>
        <w:t>dotčeno právo Společnosti Shell vymáhat od Hlavního držitele karty</w:t>
        <w:br/>
        <w:t>veškeré dlužné částky.</w:t>
      </w:r>
    </w:p>
    <w:p>
      <w:pPr>
        <w:pStyle w:val="Style29"/>
        <w:numPr>
          <w:ilvl w:val="0"/>
          <w:numId w:val="11"/>
        </w:numPr>
        <w:tabs>
          <w:tab w:leader="none" w:pos="59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2" w:line="182" w:lineRule="exact"/>
        <w:ind w:left="80" w:right="60" w:firstLine="0"/>
      </w:pPr>
      <w:r>
        <w:rPr>
          <w:rStyle w:val="CharStyle33"/>
          <w:u w:val="none"/>
          <w:sz w:val="13"/>
          <w:szCs w:val="13"/>
        </w:rPr>
        <w:t>Společnost Shell bude příležitostně stanovovat a oznamovat</w:t>
        <w:br/>
        <w:t>Hlavnímu držiteli karty změny finančního limitu platného pro jakoukoliv</w:t>
        <w:br/>
        <w:t>jednotlivou transakci s využitím Karty</w:t>
      </w:r>
    </w:p>
    <w:p>
      <w:pPr>
        <w:pStyle w:val="Style29"/>
        <w:numPr>
          <w:ilvl w:val="0"/>
          <w:numId w:val="11"/>
        </w:numPr>
        <w:tabs>
          <w:tab w:leader="none" w:pos="71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8" w:line="192" w:lineRule="exact"/>
        <w:ind w:left="80" w:right="60" w:firstLine="0"/>
      </w:pPr>
      <w:r>
        <w:rPr>
          <w:rStyle w:val="CharStyle33"/>
          <w:u w:val="none"/>
          <w:sz w:val="13"/>
          <w:szCs w:val="13"/>
        </w:rPr>
        <w:t>Pokud je jakýkoliv finanční limit stanovený dle odstavce 5.4</w:t>
        <w:br/>
        <w:t>překročen, pak může Společnost Shell ihned od této Smlouvu odstoupit,</w:t>
        <w:br/>
        <w:t>aniž by tím bylo dotčeno právo Společnosti Shell vymáhat od Hlavního</w:t>
        <w:br/>
        <w:t>držitele karty veškeré dlužné částky.</w:t>
      </w:r>
    </w:p>
    <w:p>
      <w:pPr>
        <w:pStyle w:val="Style29"/>
        <w:numPr>
          <w:ilvl w:val="0"/>
          <w:numId w:val="11"/>
        </w:numPr>
        <w:tabs>
          <w:tab w:leader="none" w:pos="71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82" w:lineRule="exact"/>
        <w:ind w:left="80" w:right="60" w:firstLine="0"/>
        <w:sectPr>
          <w:footerReference w:type="even" r:id="rId9"/>
          <w:footerReference w:type="default" r:id="rId10"/>
          <w:footerReference w:type="first" r:id="rId11"/>
          <w:titlePg/>
          <w:pgSz w:w="11904" w:h="16838"/>
          <w:pgMar w:top="72" w:left="576" w:right="462" w:bottom="761" w:header="0" w:footer="3" w:gutter="0"/>
          <w:rtlGutter w:val="0"/>
          <w:cols w:num="2" w:sep="1" w:space="521"/>
          <w:noEndnote/>
          <w:docGrid w:linePitch="360"/>
        </w:sectPr>
      </w:pPr>
      <w:r>
        <w:rPr>
          <w:rStyle w:val="CharStyle33"/>
          <w:u w:val="none"/>
          <w:sz w:val="13"/>
          <w:szCs w:val="13"/>
        </w:rPr>
        <w:t>Společnost Shell a Hlavní držitel karty se dohodli, že Závazný</w:t>
        <w:br/>
        <w:t>celkový finanční limit čerpáni Hlavního držitelek karty bude stanovován</w:t>
        <w:br/>
        <w:t>Společností Shell a může být čas od času zmčnčn. O výši Závazného</w:t>
        <w:br/>
        <w:t>celkového finančního limitu bude Hlavní držitel karty písemně</w:t>
        <w:br/>
        <w:t>informován. Společnost Shell oznámí Hlavnímu držiteli karty překročení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110" w:line="192" w:lineRule="exact"/>
        <w:ind w:left="60" w:right="40" w:firstLine="0"/>
      </w:pPr>
      <w:r>
        <w:rPr>
          <w:rStyle w:val="CharStyle33"/>
          <w:u w:val="none"/>
          <w:sz w:val="13"/>
          <w:szCs w:val="13"/>
        </w:rPr>
        <w:t>Závazného celkového finančního limitu spolu s uvedením jeho výše</w:t>
        <w:br/>
        <w:t>faxem nebo elektronicky bez zbytečného odkladu poté, co tato skutečnost</w:t>
        <w:br/>
        <w:t>nastala.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14" w:line="130" w:lineRule="exact"/>
        <w:ind w:left="60" w:right="0" w:firstLine="0"/>
      </w:pPr>
      <w:r>
        <w:rPr>
          <w:rStyle w:val="CharStyle33"/>
          <w:u w:val="none"/>
          <w:sz w:val="13"/>
          <w:szCs w:val="13"/>
        </w:rPr>
        <w:t>6. Fakturace</w:t>
      </w:r>
    </w:p>
    <w:p>
      <w:pPr>
        <w:pStyle w:val="Style29"/>
        <w:numPr>
          <w:ilvl w:val="0"/>
          <w:numId w:val="13"/>
        </w:numPr>
        <w:tabs>
          <w:tab w:leader="none" w:pos="5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92" w:lineRule="exact"/>
        <w:ind w:left="60" w:right="0" w:firstLine="0"/>
      </w:pPr>
      <w:r>
        <w:rPr>
          <w:rStyle w:val="CharStyle33"/>
          <w:u w:val="none"/>
          <w:sz w:val="13"/>
          <w:szCs w:val="13"/>
        </w:rPr>
        <w:t>Faktury budou Společností Shell zasílány nebo poskytovány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110" w:line="192" w:lineRule="exact"/>
        <w:ind w:left="760" w:right="40" w:firstLine="0"/>
      </w:pPr>
      <w:r>
        <w:rPr>
          <w:rStyle w:val="CharStyle33"/>
          <w:u w:val="none"/>
          <w:sz w:val="13"/>
          <w:szCs w:val="13"/>
        </w:rPr>
        <w:t>Hlavnímu držiteli karty v zúčtovacích intervalech</w:t>
        <w:br/>
        <w:t>stanovovaných Společností Shell, členy skupiny Shell nebo</w:t>
        <w:br/>
        <w:t>smluvními partnery, kteří poskytují Dodávky. Faktury budou</w:t>
        <w:br/>
        <w:t>uvádčt transakce provedené prostřednictvím Karty zpracované</w:t>
        <w:br/>
        <w:t>Společnosti Shell nebo jejím jménem za příslušné zúčtovací</w:t>
        <w:br/>
        <w:t>období společné se všemi poplatky za Kartu.</w:t>
      </w:r>
    </w:p>
    <w:p>
      <w:pPr>
        <w:pStyle w:val="Style29"/>
        <w:numPr>
          <w:ilvl w:val="0"/>
          <w:numId w:val="13"/>
        </w:numPr>
        <w:tabs>
          <w:tab w:leader="none" w:pos="55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3" w:line="130" w:lineRule="exact"/>
        <w:ind w:left="60" w:right="0" w:firstLine="0"/>
      </w:pPr>
      <w:r>
        <w:rPr>
          <w:rStyle w:val="CharStyle33"/>
          <w:u w:val="none"/>
          <w:sz w:val="13"/>
          <w:szCs w:val="13"/>
        </w:rPr>
        <w:t>Elektronická fakturace (e-invoicing)</w:t>
      </w:r>
    </w:p>
    <w:p>
      <w:pPr>
        <w:pStyle w:val="Style29"/>
        <w:numPr>
          <w:ilvl w:val="1"/>
          <w:numId w:val="13"/>
        </w:numPr>
        <w:tabs>
          <w:tab w:leader="none" w:pos="55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2" w:line="182" w:lineRule="exact"/>
        <w:ind w:left="540" w:right="40" w:hanging="480"/>
      </w:pPr>
      <w:r>
        <w:rPr>
          <w:rStyle w:val="CharStyle33"/>
          <w:u w:val="none"/>
          <w:sz w:val="13"/>
          <w:szCs w:val="13"/>
        </w:rPr>
        <w:t>Společnost Shell může faktury pro národní fakturaci zasílat</w:t>
        <w:br/>
        <w:t>Hlavnímu držiteli karty elektronickými prostředky na základé</w:t>
        <w:br/>
        <w:t>písemné nebo telefonické žádosti Hlavního držitele karty,</w:t>
      </w:r>
    </w:p>
    <w:p>
      <w:pPr>
        <w:pStyle w:val="Style29"/>
        <w:numPr>
          <w:ilvl w:val="1"/>
          <w:numId w:val="13"/>
        </w:numPr>
        <w:tabs>
          <w:tab w:leader="none" w:pos="55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8" w:line="192" w:lineRule="exact"/>
        <w:ind w:left="540" w:right="40" w:hanging="480"/>
      </w:pPr>
      <w:r>
        <w:rPr>
          <w:rStyle w:val="CharStyle33"/>
          <w:u w:val="none"/>
          <w:sz w:val="13"/>
          <w:szCs w:val="13"/>
        </w:rPr>
        <w:t>Hlavní držitel karty je povinen uvést ve své žádosti zejména</w:t>
        <w:br/>
        <w:t>následující údaje: číslo zákazníka uvedené na faktuře, název</w:t>
        <w:br/>
        <w:t>společnosti, adresa sídla společnosti, jméno a příjmení kontaktní</w:t>
        <w:br/>
        <w:t>osoby, c-mailovou adresu, telefonní číslo, a číslo účtu. V případe:,</w:t>
        <w:br/>
        <w:t>že dojde ke zménč nčkterého z téchto údajů, je Hlavní držitel</w:t>
        <w:br/>
        <w:t>karty neprodlené informovat Společnost Shell.</w:t>
      </w:r>
    </w:p>
    <w:p>
      <w:pPr>
        <w:pStyle w:val="Style29"/>
        <w:numPr>
          <w:ilvl w:val="1"/>
          <w:numId w:val="13"/>
        </w:numPr>
        <w:tabs>
          <w:tab w:leader="none" w:pos="5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2" w:line="182" w:lineRule="exact"/>
        <w:ind w:left="540" w:right="40" w:hanging="480"/>
      </w:pPr>
      <w:r>
        <w:rPr>
          <w:rStyle w:val="CharStyle33"/>
          <w:u w:val="none"/>
          <w:sz w:val="13"/>
          <w:szCs w:val="13"/>
        </w:rPr>
        <w:t>Hlavní držitel karty souhlasí s tím. že mu po zapojení se do</w:t>
        <w:br/>
        <w:t>systému Elektronické fakturace nebudou zasílány faktruy/daňové</w:t>
        <w:br/>
        <w:t>doklady v papírové podobé za produkty zakoupené na území ČR.</w:t>
        <w:br/>
        <w:t>To neplatí pro dálniční poplatky, které jsou vyúčtovávány</w:t>
        <w:br/>
        <w:t>v zahraniční fakturaci. Tato skutečnost platí jak pro zasílání</w:t>
        <w:br/>
        <w:t>originálu faktur na fakturační adresu, tak i pro případné zasílání</w:t>
        <w:br/>
        <w:t>kopií faktur na jiné adresy.</w:t>
      </w:r>
    </w:p>
    <w:p>
      <w:pPr>
        <w:pStyle w:val="Style29"/>
        <w:numPr>
          <w:ilvl w:val="1"/>
          <w:numId w:val="13"/>
        </w:numPr>
        <w:tabs>
          <w:tab w:leader="none" w:pos="55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8" w:line="192" w:lineRule="exact"/>
        <w:ind w:left="540" w:right="40" w:hanging="480"/>
      </w:pPr>
      <w:r>
        <w:rPr>
          <w:rStyle w:val="CharStyle33"/>
          <w:u w:val="none"/>
          <w:sz w:val="13"/>
          <w:szCs w:val="13"/>
        </w:rPr>
        <w:t>Hlavni držitel karty je povinen uchovávat heslo nebo hesla, která</w:t>
        <w:br/>
        <w:t>mu budou přidélena Společností Shell v tajnosti, používat je</w:t>
        <w:br/>
        <w:t>s nevyšší opatrností a není oprávnčn je sdélovat třetí stranč.</w:t>
        <w:br/>
        <w:t>V případe jakéhokoliv zneužiti i podezření na zneužití je Hlavní</w:t>
        <w:br/>
        <w:t>držitel karty povinen sdčlit tuto skutečnost Společnosti Shell.</w:t>
      </w:r>
    </w:p>
    <w:p>
      <w:pPr>
        <w:pStyle w:val="Style29"/>
        <w:numPr>
          <w:ilvl w:val="1"/>
          <w:numId w:val="13"/>
        </w:numPr>
        <w:tabs>
          <w:tab w:leader="none" w:pos="5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 w:line="182" w:lineRule="exact"/>
        <w:ind w:left="540" w:right="40" w:hanging="480"/>
      </w:pPr>
      <w:r>
        <w:rPr>
          <w:rStyle w:val="CharStyle33"/>
          <w:u w:val="none"/>
          <w:sz w:val="13"/>
          <w:szCs w:val="13"/>
        </w:rPr>
        <w:t>Elektronická faktura bude Hlavnímu držiteli karty k dispozici on</w:t>
        <w:t>-</w:t>
        <w:br/>
        <w:t>line po dobu 13 měsíců ode dne jejího vystavení. Hlavni držitel</w:t>
        <w:br/>
        <w:t>odpovídá za off-line uložení Elektronické faktury v elektronickém</w:t>
        <w:br/>
        <w:t>formátu (PDF+certifikát) pro další použití v jeho účetnictví.</w:t>
      </w:r>
    </w:p>
    <w:p>
      <w:pPr>
        <w:pStyle w:val="Style29"/>
        <w:numPr>
          <w:ilvl w:val="1"/>
          <w:numId w:val="13"/>
        </w:numPr>
        <w:tabs>
          <w:tab w:leader="none" w:pos="55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 w:line="182" w:lineRule="exact"/>
        <w:ind w:left="540" w:right="40" w:hanging="480"/>
      </w:pPr>
      <w:r>
        <w:rPr>
          <w:rStyle w:val="CharStyle33"/>
          <w:u w:val="none"/>
          <w:sz w:val="13"/>
          <w:szCs w:val="13"/>
        </w:rPr>
        <w:t>Hlavní držitel karty odpovídá za plnéní povinností vyplývajících</w:t>
        <w:br/>
        <w:t>z platných právních předpisů, např. daňových, archivačních apod.</w:t>
      </w:r>
    </w:p>
    <w:p>
      <w:pPr>
        <w:pStyle w:val="Style29"/>
        <w:numPr>
          <w:ilvl w:val="1"/>
          <w:numId w:val="13"/>
        </w:numPr>
        <w:tabs>
          <w:tab w:leader="none" w:pos="55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 w:line="182" w:lineRule="exact"/>
        <w:ind w:left="540" w:right="40" w:hanging="480"/>
      </w:pPr>
      <w:r>
        <w:rPr>
          <w:rStyle w:val="CharStyle33"/>
          <w:u w:val="none"/>
          <w:sz w:val="13"/>
          <w:szCs w:val="13"/>
        </w:rPr>
        <w:t>Společnost Shell v žádném případé neodpovídá za jakékoliv</w:t>
        <w:br/>
        <w:t>škody nebo ztráty vzniklé Hlavními držiteli karty nebo třetí strané</w:t>
        <w:br/>
        <w:t>v důsledku využíváni Elektronické fakturace, např. ztráty nebo</w:t>
        <w:br/>
        <w:t>Škody způsobené dočasnou nedostupností Elektronické faktury</w:t>
        <w:br/>
        <w:t>v důsledku síťových problémů.</w:t>
      </w:r>
    </w:p>
    <w:p>
      <w:pPr>
        <w:pStyle w:val="Style29"/>
        <w:numPr>
          <w:ilvl w:val="1"/>
          <w:numId w:val="13"/>
        </w:numPr>
        <w:tabs>
          <w:tab w:leader="none" w:pos="55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 w:line="182" w:lineRule="exact"/>
        <w:ind w:left="540" w:right="40" w:hanging="480"/>
      </w:pPr>
      <w:r>
        <w:rPr>
          <w:rStyle w:val="CharStyle33"/>
          <w:u w:val="none"/>
          <w:sz w:val="13"/>
          <w:szCs w:val="13"/>
        </w:rPr>
        <w:t>Hlavní držitel karty může kdykoliv požádat o zrušení účasti</w:t>
        <w:br/>
        <w:t>v systému Elektronické fakturace. Společnost Shell po obdržení</w:t>
        <w:br/>
        <w:t>takového písemného požadavku obnoví zasílání papírových</w:t>
        <w:br/>
        <w:t>faktur bez zbytečného odkladu. Hlavni držitel karty bere na</w:t>
        <w:br/>
        <w:t>včdomí, že Společnost Shell může v budoucnu rozesíláni</w:t>
        <w:br/>
        <w:t>papírových faktur zpoplatnil, o čemž bude Hlavní držitel karty</w:t>
        <w:br/>
        <w:t>předem informován.</w:t>
      </w:r>
    </w:p>
    <w:p>
      <w:pPr>
        <w:pStyle w:val="Style29"/>
        <w:numPr>
          <w:ilvl w:val="1"/>
          <w:numId w:val="13"/>
        </w:numPr>
        <w:tabs>
          <w:tab w:leader="none" w:pos="55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 w:line="182" w:lineRule="exact"/>
        <w:ind w:left="540" w:right="40" w:hanging="480"/>
      </w:pPr>
      <w:r>
        <w:rPr>
          <w:rStyle w:val="CharStyle33"/>
          <w:u w:val="none"/>
          <w:sz w:val="13"/>
          <w:szCs w:val="13"/>
        </w:rPr>
        <w:t>Pokud není v tomto odstavci 6.2. uvedeno jinak, platí pro</w:t>
        <w:br/>
        <w:t>Elektronickou fakturaci ustanoveni týkající se Fakturace.</w:t>
      </w:r>
    </w:p>
    <w:p>
      <w:pPr>
        <w:pStyle w:val="Style29"/>
        <w:numPr>
          <w:ilvl w:val="0"/>
          <w:numId w:val="13"/>
        </w:numPr>
        <w:tabs>
          <w:tab w:leader="none" w:pos="5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2" w:line="182" w:lineRule="exact"/>
        <w:ind w:left="60" w:right="40" w:firstLine="0"/>
      </w:pPr>
      <w:r>
        <w:rPr>
          <w:rStyle w:val="CharStyle33"/>
          <w:u w:val="none"/>
          <w:sz w:val="13"/>
          <w:szCs w:val="13"/>
        </w:rPr>
        <w:t>Jakékoliv dotazy týkající se faktur), kromé jiných, včetně žádosti</w:t>
        <w:br/>
        <w:t>o kopie účetních dokladů, musí být vyhotoveny písemně a zaslány</w:t>
        <w:br/>
        <w:t>Hlavním držitelem karty Společnosti Shell do 20 dnů od dne, kdy</w:t>
        <w:br/>
        <w:t>takovou fakturu obdržel.</w:t>
      </w:r>
    </w:p>
    <w:p>
      <w:pPr>
        <w:pStyle w:val="Style29"/>
        <w:numPr>
          <w:ilvl w:val="0"/>
          <w:numId w:val="13"/>
        </w:numPr>
        <w:tabs>
          <w:tab w:leader="none" w:pos="55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10" w:line="192" w:lineRule="exact"/>
        <w:ind w:left="60" w:right="40" w:firstLine="0"/>
      </w:pPr>
      <w:r>
        <w:rPr>
          <w:rStyle w:val="CharStyle33"/>
          <w:u w:val="none"/>
          <w:sz w:val="13"/>
          <w:szCs w:val="13"/>
        </w:rPr>
        <w:t>Námitky proti faktuře vznesené Hlavním držitelem Karty jej</w:t>
        <w:br/>
        <w:t>neopravňují k odmítnutí platby, její redukci čí zadržení. V případě, že</w:t>
        <w:br/>
        <w:t>takové námitky budou oprávněné, je Společnost Shell povinna</w:t>
        <w:br/>
        <w:t>reklamovanou částku vrátit.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3" w:line="130" w:lineRule="exact"/>
        <w:ind w:left="60" w:right="0" w:firstLine="0"/>
      </w:pPr>
      <w:r>
        <w:rPr>
          <w:rStyle w:val="CharStyle33"/>
          <w:u w:val="none"/>
          <w:sz w:val="13"/>
          <w:szCs w:val="13"/>
        </w:rPr>
        <w:t>7. Platba</w:t>
      </w:r>
    </w:p>
    <w:p>
      <w:pPr>
        <w:pStyle w:val="Style29"/>
        <w:numPr>
          <w:ilvl w:val="0"/>
          <w:numId w:val="15"/>
        </w:numPr>
        <w:tabs>
          <w:tab w:leader="none" w:pos="5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2" w:line="182" w:lineRule="exact"/>
        <w:ind w:left="60" w:right="40" w:firstLine="0"/>
      </w:pPr>
      <w:r>
        <w:rPr>
          <w:rStyle w:val="CharStyle33"/>
          <w:u w:val="none"/>
          <w:sz w:val="13"/>
          <w:szCs w:val="13"/>
        </w:rPr>
        <w:t>Veškeré částky dlužné Hlavním držitelem karty podle této</w:t>
        <w:br/>
        <w:t>Smlouvy budou zaplaceny Společnosti Shell způsobem zde uvedeným.</w:t>
      </w:r>
    </w:p>
    <w:p>
      <w:pPr>
        <w:pStyle w:val="Style29"/>
        <w:numPr>
          <w:ilvl w:val="0"/>
          <w:numId w:val="15"/>
        </w:numPr>
        <w:tabs>
          <w:tab w:leader="none" w:pos="55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92" w:lineRule="exact"/>
        <w:ind w:left="60" w:right="40" w:firstLine="0"/>
      </w:pPr>
      <w:r>
        <w:rPr>
          <w:rStyle w:val="CharStyle33"/>
          <w:u w:val="none"/>
          <w:sz w:val="13"/>
          <w:szCs w:val="13"/>
        </w:rPr>
        <w:t>Platba ze strany Hlavního držitele karty je splatná v měně podle</w:t>
        <w:br/>
        <w:t>faktur Společnosti Shell a pokud není Společností Shell v žádosti</w:t>
        <w:br/>
        <w:t>schváleno jinak, bude provedena prostřednictvím bezhotovostního</w:t>
        <w:br/>
        <w:t>převodu na bankovní účet uvedený na faktuře tak, aby částka byla</w:t>
        <w:br/>
        <w:t>připsána na tento účet do data splatnosti uvedeném na příslušné faktuře.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60" w:line="192" w:lineRule="exact"/>
        <w:ind w:left="60" w:right="40" w:firstLine="0"/>
      </w:pPr>
      <w:r>
        <w:rPr>
          <w:rStyle w:val="CharStyle33"/>
          <w:u w:val="none"/>
          <w:sz w:val="13"/>
          <w:szCs w:val="13"/>
        </w:rPr>
        <w:t>Úhrada bude provedena s ohledem na celkovou částku všech faktur</w:t>
        <w:br/>
        <w:t>splatných a dlužných k tomuto datu.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110" w:line="192" w:lineRule="exact"/>
        <w:ind w:left="60" w:right="40" w:firstLine="0"/>
      </w:pPr>
      <w:r>
        <w:rPr>
          <w:rStyle w:val="CharStyle33"/>
          <w:u w:val="none"/>
          <w:sz w:val="13"/>
          <w:szCs w:val="13"/>
        </w:rPr>
        <w:t>7.3 Aniž je dotčeno právo Společnosti Shell ukončit tuto Smlouvu,</w:t>
        <w:br/>
        <w:t>Společnost Shell si vyhrazuje právo účtovat si úrok z jakýchkoliv částek</w:t>
        <w:br/>
        <w:t>neuhrazených do data jejich splatnosti ve výši, 0,05% z dlužné částky za</w:t>
        <w:br/>
        <w:t>každý den prodlení, ncní-li ve Smlouvě uvedeno jinak.</w:t>
      </w:r>
    </w:p>
    <w:p>
      <w:pPr>
        <w:pStyle w:val="Style29"/>
        <w:numPr>
          <w:ilvl w:val="1"/>
          <w:numId w:val="15"/>
        </w:numPr>
        <w:tabs>
          <w:tab w:leader="none" w:pos="55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4" w:line="130" w:lineRule="exact"/>
        <w:ind w:left="60" w:right="0" w:firstLine="0"/>
      </w:pPr>
      <w:r>
        <w:rPr>
          <w:rStyle w:val="CharStyle33"/>
          <w:u w:val="none"/>
          <w:sz w:val="13"/>
          <w:szCs w:val="13"/>
        </w:rPr>
        <w:t>Pořadí plateb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110" w:line="192" w:lineRule="exact"/>
        <w:ind w:left="60" w:right="40" w:firstLine="0"/>
      </w:pPr>
      <w:r>
        <w:rPr>
          <w:rStyle w:val="CharStyle33"/>
          <w:u w:val="none"/>
          <w:sz w:val="13"/>
          <w:szCs w:val="13"/>
        </w:rPr>
        <w:t>8.1 Veškeré platby provedené Hlavním držitelem karty budou</w:t>
        <w:br/>
        <w:t>Společnosti Shell použity nejprve k úhradě jakéhokoliv příslušenství</w:t>
        <w:br/>
        <w:t>jakékoliv pohledávky Společnosti Shell za Hlavním držitelem karty a</w:t>
        <w:br/>
        <w:t>poté je Společnost Shell použije podle svého výhradního uvážení ke</w:t>
        <w:br/>
        <w:t>snížení jakékoliv své pohledávky za Hlavním držitelem karty.</w:t>
      </w:r>
    </w:p>
    <w:p>
      <w:pPr>
        <w:pStyle w:val="Style29"/>
        <w:numPr>
          <w:ilvl w:val="1"/>
          <w:numId w:val="15"/>
        </w:numPr>
        <w:tabs>
          <w:tab w:leader="none" w:pos="56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" w:line="130" w:lineRule="exact"/>
        <w:ind w:left="60" w:right="0" w:firstLine="0"/>
      </w:pPr>
      <w:r>
        <w:rPr>
          <w:rStyle w:val="CharStyle33"/>
          <w:u w:val="none"/>
          <w:sz w:val="13"/>
          <w:szCs w:val="13"/>
        </w:rPr>
        <w:t>Poplatky za kartu a manipulační poplatky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110" w:line="192" w:lineRule="exact"/>
        <w:ind w:left="60" w:right="40" w:firstLine="0"/>
      </w:pPr>
      <w:r>
        <w:rPr>
          <w:rStyle w:val="CharStyle33"/>
          <w:u w:val="none"/>
          <w:sz w:val="13"/>
          <w:szCs w:val="13"/>
        </w:rPr>
        <w:t>Jakékoliv poplatky za Kartu a manipulační poplatky, které je Hlavní</w:t>
        <w:br/>
        <w:t>držitel karty povinen platit, jsou stanoveny v příloze ke Smlouvě a</w:t>
        <w:br/>
        <w:t>Společnost Shell je může příležitostně pozměnit. Společnost Shell bude</w:t>
        <w:br/>
        <w:t>Hlavního držitele karty ihned informovat o jakýchkoliv změnách; pro</w:t>
        <w:br/>
        <w:t>režim akceptace těchto změn platí přiměřeně ustanovení odst. 18.1.</w:t>
        <w:br/>
        <w:t>Podmínek.</w:t>
      </w:r>
    </w:p>
    <w:p>
      <w:pPr>
        <w:pStyle w:val="Style29"/>
        <w:numPr>
          <w:ilvl w:val="1"/>
          <w:numId w:val="15"/>
        </w:numPr>
        <w:tabs>
          <w:tab w:leader="none" w:pos="53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3" w:line="130" w:lineRule="exact"/>
        <w:ind w:left="60" w:right="0" w:firstLine="0"/>
      </w:pPr>
      <w:r>
        <w:rPr>
          <w:rStyle w:val="CharStyle33"/>
          <w:u w:val="none"/>
          <w:sz w:val="13"/>
          <w:szCs w:val="13"/>
        </w:rPr>
        <w:t>Zrušení Karty a odpovědnost Hlavního držitele karty</w:t>
      </w:r>
    </w:p>
    <w:p>
      <w:pPr>
        <w:pStyle w:val="Style29"/>
        <w:numPr>
          <w:ilvl w:val="2"/>
          <w:numId w:val="15"/>
        </w:numPr>
        <w:tabs>
          <w:tab w:leader="none" w:pos="5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2" w:line="182" w:lineRule="exact"/>
        <w:ind w:left="60" w:right="40" w:firstLine="0"/>
      </w:pPr>
      <w:r>
        <w:rPr>
          <w:rStyle w:val="CharStyle33"/>
          <w:u w:val="none"/>
          <w:sz w:val="13"/>
          <w:szCs w:val="13"/>
        </w:rPr>
        <w:t>Společnost Shell zruší Kartu, pokud Hlavni držitel karty kdykoliv,</w:t>
        <w:br/>
        <w:t>z jakéhokoliv důvodu nebo bez udáni důvodu písemně požádá o toto</w:t>
        <w:br/>
        <w:t>zrušení a přiloží k žádosti příslušnou Kanu znehodnocenou odstřihnutím</w:t>
        <w:br/>
        <w:t>horního levého rohu (z čelního pohledu) tak, aby došlo k přestřižení</w:t>
        <w:br/>
        <w:t>magnetického pruhu. Hlavní držitel karty není odpovědný za transakce</w:t>
        <w:br/>
        <w:t>provedené touto Kartou, a to od okamžiku, kdy Společnost Shell obdržela</w:t>
        <w:br/>
        <w:t>příslušnou Kartu.</w:t>
      </w:r>
    </w:p>
    <w:p>
      <w:pPr>
        <w:pStyle w:val="Style29"/>
        <w:numPr>
          <w:ilvl w:val="2"/>
          <w:numId w:val="15"/>
        </w:numPr>
        <w:tabs>
          <w:tab w:leader="none" w:pos="55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8" w:line="192" w:lineRule="exact"/>
        <w:ind w:left="60" w:right="40" w:firstLine="0"/>
      </w:pPr>
      <w:r>
        <w:rPr>
          <w:rStyle w:val="CharStyle33"/>
          <w:u w:val="none"/>
          <w:sz w:val="13"/>
          <w:szCs w:val="13"/>
        </w:rPr>
        <w:t>Společnost Shell může kdykoliv požadovat okamžité vrácení</w:t>
        <w:br/>
        <w:t>všech/kterékoliv Karty případně okamžitě zrušit nebo zablokovat</w:t>
        <w:br/>
        <w:t>všechny/kterékoliv Karty nebo odmítnout znovu vydat, nahradit či</w:t>
        <w:br/>
        <w:t>obnovit jakoukoliv Kartu, pokud Hlavní držitel karty poruši Smlouvu.</w:t>
      </w:r>
    </w:p>
    <w:p>
      <w:pPr>
        <w:pStyle w:val="Style29"/>
        <w:numPr>
          <w:ilvl w:val="2"/>
          <w:numId w:val="15"/>
        </w:numPr>
        <w:tabs>
          <w:tab w:leader="none" w:pos="57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 w:line="182" w:lineRule="exact"/>
        <w:ind w:left="60" w:right="40" w:firstLine="0"/>
      </w:pPr>
      <w:r>
        <w:rPr>
          <w:rStyle w:val="CharStyle33"/>
          <w:u w:val="none"/>
          <w:sz w:val="13"/>
          <w:szCs w:val="13"/>
        </w:rPr>
        <w:t>Žádost o vráceni nebo zrušeni či pozastaveni Karty nijak</w:t>
        <w:br/>
        <w:t>nesnižuje ani neomezuje odpovědnost Hlavního držitele karty za použití</w:t>
        <w:br/>
        <w:t>jakýchkoliv Karet před skutečným vrácením příslušné Karty Společnosti</w:t>
        <w:br/>
        <w:t>Shell.</w:t>
      </w:r>
    </w:p>
    <w:p>
      <w:pPr>
        <w:pStyle w:val="Style29"/>
        <w:numPr>
          <w:ilvl w:val="2"/>
          <w:numId w:val="15"/>
        </w:numPr>
        <w:tabs>
          <w:tab w:leader="none" w:pos="55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 w:line="182" w:lineRule="exact"/>
        <w:ind w:left="60" w:right="40" w:firstLine="0"/>
      </w:pPr>
      <w:r>
        <w:rPr>
          <w:rStyle w:val="CharStyle33"/>
          <w:u w:val="none"/>
          <w:sz w:val="13"/>
          <w:szCs w:val="13"/>
        </w:rPr>
        <w:t>Společnost Shell je oprávněna v případě překročeni Závazného</w:t>
        <w:br/>
        <w:t>celkového finančního limitu Hlavním držitelem karty zablokovat karty</w:t>
        <w:br/>
        <w:t>užívané Hlavním držitelem karty.</w:t>
      </w:r>
    </w:p>
    <w:p>
      <w:pPr>
        <w:pStyle w:val="Style29"/>
        <w:numPr>
          <w:ilvl w:val="2"/>
          <w:numId w:val="15"/>
        </w:numPr>
        <w:tabs>
          <w:tab w:leader="none" w:pos="55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45" w:line="182" w:lineRule="exact"/>
        <w:ind w:left="60" w:right="40" w:firstLine="0"/>
      </w:pPr>
      <w:r>
        <w:rPr>
          <w:rStyle w:val="CharStyle33"/>
          <w:u w:val="none"/>
          <w:sz w:val="13"/>
          <w:szCs w:val="13"/>
        </w:rPr>
        <w:t>Společnost Shell je oprávněna zablokovat všechny Karty</w:t>
        <w:br/>
        <w:t>Hlavního držitele karty bez předcházejícího upozornění v případě, že</w:t>
        <w:br/>
        <w:t>veškeré provedené transakce Hlavního držitele karty za období</w:t>
        <w:br/>
        <w:t>kalendářního měsíce dosáhnou nebo překročí Account Vclocity Limit.</w:t>
        <w:br/>
        <w:t>Prvního dne následujícího kalendářního měsíce po měsíce, ve kterém</w:t>
        <w:br/>
        <w:t>došlo k zablokováni Karet z tohoto důvodu budou všechny Karty</w:t>
        <w:br/>
        <w:t>Hlavního držitele karty znovu odblokovány.</w:t>
      </w:r>
    </w:p>
    <w:p>
      <w:pPr>
        <w:pStyle w:val="Style29"/>
        <w:numPr>
          <w:ilvl w:val="1"/>
          <w:numId w:val="15"/>
        </w:numPr>
        <w:tabs>
          <w:tab w:leader="none" w:pos="5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76" w:line="202" w:lineRule="exact"/>
        <w:ind w:left="60" w:right="40" w:firstLine="0"/>
      </w:pPr>
      <w:r>
        <w:rPr>
          <w:rStyle w:val="CharStyle33"/>
          <w:u w:val="none"/>
          <w:sz w:val="13"/>
          <w:szCs w:val="13"/>
        </w:rPr>
        <w:t>Ztracené či odcizené Karty a odpovědnost Hlavního držitele</w:t>
        <w:br/>
        <w:t>karty</w:t>
      </w:r>
    </w:p>
    <w:p>
      <w:pPr>
        <w:pStyle w:val="Style29"/>
        <w:numPr>
          <w:ilvl w:val="2"/>
          <w:numId w:val="15"/>
        </w:numPr>
        <w:tabs>
          <w:tab w:leader="none" w:pos="55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45" w:line="182" w:lineRule="exact"/>
        <w:ind w:left="60" w:right="40" w:firstLine="0"/>
      </w:pPr>
      <w:r>
        <w:rPr>
          <w:rStyle w:val="CharStyle33"/>
          <w:u w:val="none"/>
          <w:sz w:val="13"/>
          <w:szCs w:val="13"/>
        </w:rPr>
        <w:t>Dojde-li ke ztrátě, krádeži či zneužití Karty nebo zůstanc-li Karta</w:t>
        <w:br/>
        <w:t>v držení osoby, která přestala být Oprávněným držitelem karty, musí o</w:t>
        <w:br/>
        <w:t>tom Hlavni držitel karty okamžitě telefonicky informovat Společnost</w:t>
        <w:br/>
        <w:t>Shell na telefonní číslo zákaznického servisu euroShell 800184965 pro</w:t>
        <w:br/>
        <w:t>voláni zČR a +48123797585 pro volání ze zahraničí. V oznámení je</w:t>
        <w:br/>
        <w:t>nutné uvést celé devatenáctimistné číslo Karty. V případě podezření na</w:t>
        <w:br/>
        <w:t>spáchání trestného činu musí Hlavní držitel karty rovněž informovat</w:t>
        <w:br/>
        <w:t>policii.</w:t>
      </w:r>
    </w:p>
    <w:p>
      <w:pPr>
        <w:pStyle w:val="Style29"/>
        <w:numPr>
          <w:ilvl w:val="2"/>
          <w:numId w:val="15"/>
        </w:numPr>
        <w:tabs>
          <w:tab w:leader="none" w:pos="55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8" w:line="202" w:lineRule="exact"/>
        <w:ind w:left="60" w:right="40" w:firstLine="0"/>
      </w:pPr>
      <w:r>
        <w:rPr>
          <w:rStyle w:val="CharStyle33"/>
          <w:u w:val="none"/>
          <w:sz w:val="13"/>
          <w:szCs w:val="13"/>
        </w:rPr>
        <w:t>Společnost Shell prostřednictvím operátora na základě telefonátu</w:t>
        <w:br/>
        <w:t>podle odst 11.1 zajisti blokaci karty a ústně potvrdí blokaci Karty.</w:t>
      </w:r>
    </w:p>
    <w:p>
      <w:pPr>
        <w:pStyle w:val="Style29"/>
        <w:numPr>
          <w:ilvl w:val="2"/>
          <w:numId w:val="15"/>
        </w:numPr>
        <w:tabs>
          <w:tab w:leader="none" w:pos="55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8" w:line="192" w:lineRule="exact"/>
        <w:ind w:left="60" w:right="40" w:firstLine="0"/>
      </w:pPr>
      <w:r>
        <w:rPr>
          <w:rStyle w:val="CharStyle33"/>
          <w:u w:val="none"/>
          <w:sz w:val="13"/>
          <w:szCs w:val="13"/>
        </w:rPr>
        <w:t>Společnost Shell zajistí, aby nahlášená Karta byla zablokována u</w:t>
        <w:br/>
        <w:t>všech Účastníků programu karet euroShell. Zablokovaná Karta nemůže</w:t>
        <w:br/>
        <w:t>být nadále používána, a je-li následně nalezena nebo vrácena Hlavnímu</w:t>
        <w:br/>
        <w:t>držiteli karty, musí být vrácena Společnosti Shell.</w:t>
      </w:r>
    </w:p>
    <w:p>
      <w:pPr>
        <w:pStyle w:val="Style29"/>
        <w:numPr>
          <w:ilvl w:val="2"/>
          <w:numId w:val="15"/>
        </w:numPr>
        <w:tabs>
          <w:tab w:leader="none" w:pos="56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2" w:line="182" w:lineRule="exact"/>
        <w:ind w:left="60" w:right="40" w:firstLine="0"/>
      </w:pPr>
      <w:r>
        <w:rPr>
          <w:rStyle w:val="CharStyle33"/>
          <w:u w:val="none"/>
          <w:sz w:val="13"/>
          <w:szCs w:val="13"/>
        </w:rPr>
        <w:t>Pokud došlo k zablokování Karty, platí, s výhradou uvedenou v</w:t>
        <w:br/>
        <w:t>odst. 11.5 a 11.6 Podmínek, že závazek zaplatit cenu Dodávky</w:t>
        <w:br/>
        <w:t>realizované na základě transakce přechází na společnost Shell okamžitě</w:t>
        <w:br/>
        <w:t>po telefonické žádosti o blokaci Toto ustanovení neplatí v případě, kdy</w:t>
        <w:br/>
        <w:t>došlo k transakci Kartou, ke které společnost Shell obdržela žádost o</w:t>
        <w:br/>
        <w:t>blokaci, za použiti PIN k takového Kartě.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0" w:line="192" w:lineRule="exact"/>
        <w:ind w:left="60" w:right="40" w:firstLine="0"/>
        <w:sectPr>
          <w:footerReference w:type="even" r:id="rId12"/>
          <w:footerReference w:type="default" r:id="rId13"/>
          <w:footerReference w:type="first" r:id="rId14"/>
          <w:titlePg/>
          <w:pgSz w:w="11904" w:h="16838"/>
          <w:pgMar w:top="72" w:left="576" w:right="462" w:bottom="761" w:header="0" w:footer="3" w:gutter="0"/>
          <w:rtlGutter w:val="0"/>
          <w:cols w:num="2" w:sep="1" w:space="521"/>
          <w:noEndnote/>
          <w:docGrid w:linePitch="360"/>
        </w:sectPr>
      </w:pPr>
      <w:r>
        <w:rPr>
          <w:rStyle w:val="CharStyle41"/>
          <w:u w:val="none"/>
          <w:sz w:val="13"/>
          <w:szCs w:val="13"/>
        </w:rPr>
        <w:t>115 Hlavní držitel karty zůstává zodpovědný a je povinen uhradit</w:t>
        <w:br/>
      </w:r>
      <w:r>
        <w:rPr>
          <w:rStyle w:val="CharStyle33"/>
          <w:u w:val="none"/>
          <w:sz w:val="13"/>
          <w:szCs w:val="13"/>
        </w:rPr>
        <w:t>jakékoliv závazky z transakci s Kartou, provedených před okamžikem</w:t>
        <w:br/>
        <w:t>přechodu závazků podle odstavce 11.4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51" w:after="51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4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42"/>
        <w:widowControl w:val="0"/>
        <w:keepNext w:val="0"/>
        <w:keepLines w:val="0"/>
        <w:shd w:val="clear" w:color="auto" w:fill="auto"/>
        <w:bidi w:val="0"/>
        <w:jc w:val="left"/>
        <w:spacing w:before="0" w:after="0" w:line="120" w:lineRule="exact"/>
        <w:ind w:left="0" w:right="0" w:firstLine="0"/>
        <w:sectPr>
          <w:type w:val="continuous"/>
          <w:pgSz w:w="11981" w:h="16886"/>
          <w:pgMar w:top="384" w:left="5972" w:right="5779" w:bottom="234" w:header="0" w:footer="3" w:gutter="0"/>
          <w:rtlGutter w:val="0"/>
          <w:cols w:space="720"/>
          <w:noEndnote/>
          <w:docGrid w:linePitch="360"/>
        </w:sectPr>
      </w:pPr>
      <w:r>
        <w:rPr>
          <w:rStyle w:val="CharStyle43"/>
          <w:lang w:val="cs"/>
          <w:rFonts w:ascii="Times New Roman" w:eastAsia="Times New Roman" w:hAnsi="Times New Roman" w:cs="Times New Roman"/>
          <w:spacing w:val="0"/>
          <w:color w:val="000000"/>
          <w:position w:val="0"/>
        </w:rPr>
        <w:t>A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117" w:line="202" w:lineRule="exact"/>
        <w:ind w:left="60" w:right="40" w:firstLine="0"/>
      </w:pPr>
      <w:r>
        <w:rPr>
          <w:rStyle w:val="CharStyle44"/>
          <w:u w:val="none"/>
          <w:sz w:val="13"/>
          <w:szCs w:val="13"/>
        </w:rPr>
        <w:t>11.6 V každém připadá Hlavní držitel karty poskytne Společnosti Shell</w:t>
        <w:br/>
        <w:t>veškeré informace, které má ohledné okolností ztráty, krádeže nebo</w:t>
        <w:br/>
        <w:t>zneužití nahlášené Karty a podnikne všechny kroky, které lze na něm</w:t>
        <w:br/>
        <w:t>spravedlivé požadovat, aby pomohl Spoleénosti Shell získat zpét</w:t>
        <w:br/>
        <w:t>jakoukoliv chybějící ěi ukradenou Kartu.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42" w:line="130" w:lineRule="exact"/>
        <w:ind w:left="60" w:right="0" w:firstLine="0"/>
      </w:pPr>
      <w:r>
        <w:rPr>
          <w:rStyle w:val="CharStyle44"/>
          <w:u w:val="none"/>
          <w:sz w:val="13"/>
          <w:szCs w:val="13"/>
        </w:rPr>
        <w:t>12. Informace</w:t>
      </w:r>
    </w:p>
    <w:p>
      <w:pPr>
        <w:pStyle w:val="Style29"/>
        <w:numPr>
          <w:ilvl w:val="0"/>
          <w:numId w:val="17"/>
        </w:numPr>
        <w:tabs>
          <w:tab w:leader="none" w:pos="5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 w:line="182" w:lineRule="exact"/>
        <w:ind w:left="60" w:right="40" w:firstLine="0"/>
      </w:pPr>
      <w:r>
        <w:rPr>
          <w:rStyle w:val="CharStyle44"/>
          <w:u w:val="none"/>
          <w:sz w:val="13"/>
          <w:szCs w:val="13"/>
        </w:rPr>
        <w:t>Všechny údaje a informace poskytnuté Žadatelem, Hlavním</w:t>
        <w:br/>
        <w:t>držitelem karty nebo Oprávněným držitelem karty a/nebo údaje a</w:t>
        <w:br/>
        <w:t>informace, které se týkají Hlavního držitele karty a/nebo Oprávněného</w:t>
        <w:br/>
        <w:t>držitele karty je Společností Shell oprávněna v souladu se Zákonem</w:t>
        <w:br/>
        <w:t>zpracovávat eventuálně předávat do zahraničí, ať již počítačem či jinak,</w:t>
        <w:br/>
        <w:t>zejména za účelem plněni závazků ze Smlouvy, vedení účtu(ů) Hlavního</w:t>
        <w:br/>
        <w:t>držitele karty, potvrzeni, aktualizace a zdokonaleni svých záznamů o</w:t>
        <w:br/>
        <w:t>zákaznících, pro statistickou analýzu ke zjištění identity jakéhokoliv</w:t>
        <w:br/>
        <w:t>držitele karty (je-li třeba) a k ověření bonity Hlavního držitele karty.</w:t>
      </w:r>
    </w:p>
    <w:p>
      <w:pPr>
        <w:pStyle w:val="Style29"/>
        <w:numPr>
          <w:ilvl w:val="0"/>
          <w:numId w:val="17"/>
        </w:numPr>
        <w:tabs>
          <w:tab w:leader="none" w:pos="5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2" w:line="182" w:lineRule="exact"/>
        <w:ind w:left="60" w:right="40" w:firstLine="0"/>
      </w:pPr>
      <w:r>
        <w:rPr>
          <w:rStyle w:val="CharStyle44"/>
          <w:u w:val="none"/>
          <w:sz w:val="13"/>
          <w:szCs w:val="13"/>
        </w:rPr>
        <w:t>Hlavní držitel karty bere na vědomí, že při posuzování jeho</w:t>
        <w:br/>
        <w:t>Objednávky Společnost Shell může požádat společnosti, které se na trhu</w:t>
        <w:br/>
        <w:t>zabývají oceňováním bonity klientů o informace, které se týkají Hlavního</w:t>
        <w:br/>
        <w:t>držitele karty. Pro účely Objednávky mohou být Hlavní držitel karty a</w:t>
        <w:br/>
        <w:t>třetí osoby, které s ním tvoři koncern, posuzovány jako finančně</w:t>
        <w:br/>
        <w:t>propojené subjekty a žádost pak bude Společnosti Shell posuzována s</w:t>
        <w:br/>
        <w:t>ohledem na celkovou bonitu takového koncernu.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110" w:line="192" w:lineRule="exact"/>
        <w:ind w:left="60" w:right="40" w:firstLine="0"/>
      </w:pPr>
      <w:r>
        <w:rPr>
          <w:rStyle w:val="CharStyle44"/>
          <w:u w:val="none"/>
          <w:sz w:val="13"/>
          <w:szCs w:val="13"/>
        </w:rPr>
        <w:t>Pokud jc Hlavni držitel karty společný žadatel, nebo pokud Hlavní držitel</w:t>
        <w:br/>
        <w:t>karty informoval Shell o nějakých jiných finančních spojeních s jinou</w:t>
        <w:br/>
        <w:t>osobou, musí si být Hlavni držitel karty jist, že je oprávněn:</w:t>
      </w:r>
    </w:p>
    <w:p>
      <w:pPr>
        <w:pStyle w:val="Style29"/>
        <w:numPr>
          <w:ilvl w:val="0"/>
          <w:numId w:val="19"/>
        </w:numPr>
        <w:tabs>
          <w:tab w:leader="none" w:pos="5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5" w:line="130" w:lineRule="exact"/>
        <w:ind w:left="60" w:right="0" w:firstLine="0"/>
      </w:pPr>
      <w:r>
        <w:rPr>
          <w:rStyle w:val="CharStyle44"/>
          <w:u w:val="none"/>
          <w:sz w:val="13"/>
          <w:szCs w:val="13"/>
        </w:rPr>
        <w:t>sdělovat informace o společném žadateli a jakékoliv jiné osobě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left"/>
        <w:spacing w:before="0" w:after="125" w:line="130" w:lineRule="exact"/>
        <w:ind w:left="760" w:right="0" w:firstLine="0"/>
      </w:pPr>
      <w:r>
        <w:rPr>
          <w:rStyle w:val="CharStyle44"/>
          <w:u w:val="none"/>
          <w:sz w:val="13"/>
          <w:szCs w:val="13"/>
        </w:rPr>
        <w:t>uvedené v žádosti; a</w:t>
      </w:r>
    </w:p>
    <w:p>
      <w:pPr>
        <w:pStyle w:val="Style29"/>
        <w:numPr>
          <w:ilvl w:val="0"/>
          <w:numId w:val="19"/>
        </w:numPr>
        <w:tabs>
          <w:tab w:leader="none" w:pos="5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92" w:lineRule="exact"/>
        <w:ind w:left="60" w:right="0" w:firstLine="0"/>
      </w:pPr>
      <w:r>
        <w:rPr>
          <w:rStyle w:val="CharStyle44"/>
          <w:u w:val="none"/>
          <w:sz w:val="13"/>
          <w:szCs w:val="13"/>
        </w:rPr>
        <w:t>pomáhat Společnosti Shell hledat, spojovat či zaznamenával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68" w:line="192" w:lineRule="exact"/>
        <w:ind w:left="780" w:right="40" w:firstLine="0"/>
      </w:pPr>
      <w:r>
        <w:rPr>
          <w:rStyle w:val="CharStyle44"/>
          <w:u w:val="none"/>
          <w:sz w:val="13"/>
          <w:szCs w:val="13"/>
        </w:rPr>
        <w:t>informace u úvěrových firem o jakékoliv jiné osobě uvedené v</w:t>
        <w:br/>
        <w:t>žádosti, a to prostřednictvím jejich podpisu v části 7</w:t>
        <w:br/>
        <w:t>(Zmocnění) žádosti.</w:t>
      </w:r>
    </w:p>
    <w:p>
      <w:pPr>
        <w:pStyle w:val="Style29"/>
        <w:numPr>
          <w:ilvl w:val="0"/>
          <w:numId w:val="17"/>
        </w:numPr>
        <w:tabs>
          <w:tab w:leader="none" w:pos="5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 w:line="182" w:lineRule="exact"/>
        <w:ind w:left="60" w:right="40" w:firstLine="0"/>
      </w:pPr>
      <w:r>
        <w:rPr>
          <w:rStyle w:val="CharStyle44"/>
          <w:u w:val="none"/>
          <w:sz w:val="13"/>
          <w:szCs w:val="13"/>
        </w:rPr>
        <w:t>Společnost Shell může v souladu se Zákonem sdělit data a</w:t>
        <w:br/>
        <w:t>informace týkající se Žadatele nebo Hlavního držitele karty a/nebo</w:t>
        <w:br/>
        <w:t>účtu(ů) Hlavního držitele karty nejenom (l| společnostem, které se na</w:t>
        <w:br/>
        <w:t>trhu zabývají oceňováním bonity klientů z důvodů uvedených výše v</w:t>
        <w:br/>
        <w:t>odstavci 12.2, ale rovněž (2) jakémukoliv zástupci či subdodavateli</w:t>
        <w:br/>
        <w:t>Společnosti Shell; (3) jakékoliv osobě, na kterou Společnost Shell</w:t>
        <w:br/>
        <w:t>navrhuje převést jakákoliv svá práva a/nebo povinnosti podle této</w:t>
        <w:br/>
        <w:t>Smlouvy; (4) jakémukoliv ručiteli či osobě poskytující záruku ve vztahu</w:t>
        <w:br/>
        <w:t>k závazkům Hlavního držitele karty podle jakékoliv smlouvy se</w:t>
        <w:br/>
        <w:t>Společností Shell; (5) pojišťovnám pro účely spjaté s pojistnými</w:t>
        <w:br/>
        <w:t>produkty, které souvisí nebo by mohly souviset s účtem (y) Hlavního</w:t>
        <w:br/>
        <w:t>držitele karty; (6) jakémukoliv Účastníkovi programu euroShell; a (7)</w:t>
        <w:br/>
        <w:t>v jiných případech, pokud to Zákon povoluje.</w:t>
      </w:r>
    </w:p>
    <w:p>
      <w:pPr>
        <w:pStyle w:val="Style29"/>
        <w:numPr>
          <w:ilvl w:val="0"/>
          <w:numId w:val="17"/>
        </w:numPr>
        <w:tabs>
          <w:tab w:leader="none" w:pos="55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2" w:line="182" w:lineRule="exact"/>
        <w:ind w:left="60" w:right="40" w:firstLine="0"/>
      </w:pPr>
      <w:r>
        <w:rPr>
          <w:rStyle w:val="CharStyle44"/>
          <w:u w:val="none"/>
          <w:sz w:val="13"/>
          <w:szCs w:val="13"/>
        </w:rPr>
        <w:t>Společnost Shell může použít informace o Hlavním držiteli karty</w:t>
        <w:br/>
        <w:t>a jeho účtu(ech) k zasílání informací Hlavnímu držiteli karty o ostatních</w:t>
        <w:br/>
        <w:t>produktech a/nebo službách nabízených Společnosti Shell (včetně</w:t>
        <w:br/>
        <w:t>společnosti skupiny Royal Dutch/Shell Group) a/nebo informace, které</w:t>
        <w:br/>
        <w:t>by ho podle míněni Společnosti Shell mohly zajímat. Pokud si Hlavni</w:t>
        <w:br/>
        <w:t>držitel karty nepřeje dostávat takové informace, oznámí své přáni</w:t>
        <w:br/>
        <w:t>písemně Společnosti Shell na její adresu nebo v žádosti zaškrtne</w:t>
        <w:br/>
        <w:t>příslušné políčko.</w:t>
      </w:r>
    </w:p>
    <w:p>
      <w:pPr>
        <w:pStyle w:val="Style29"/>
        <w:numPr>
          <w:ilvl w:val="0"/>
          <w:numId w:val="17"/>
        </w:numPr>
        <w:tabs>
          <w:tab w:leader="none" w:pos="56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8" w:line="192" w:lineRule="exact"/>
        <w:ind w:left="60" w:right="40" w:firstLine="0"/>
      </w:pPr>
      <w:r>
        <w:rPr>
          <w:rStyle w:val="CharStyle44"/>
          <w:u w:val="none"/>
          <w:sz w:val="13"/>
          <w:szCs w:val="13"/>
        </w:rPr>
        <w:t>Hlavní držitel karty bude Společnost Shell okamžitě informovat o</w:t>
        <w:br/>
        <w:t>jakýchkoliv změnách své adresy, svého bankovního účtu či jiných údajů</w:t>
        <w:br/>
        <w:t>uvedených v žádosti.</w:t>
      </w:r>
    </w:p>
    <w:p>
      <w:pPr>
        <w:pStyle w:val="Style29"/>
        <w:numPr>
          <w:ilvl w:val="0"/>
          <w:numId w:val="17"/>
        </w:numPr>
        <w:tabs>
          <w:tab w:leader="none" w:pos="56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2" w:line="182" w:lineRule="exact"/>
        <w:ind w:left="60" w:right="40" w:firstLine="0"/>
      </w:pPr>
      <w:r>
        <w:rPr>
          <w:rStyle w:val="CharStyle44"/>
          <w:u w:val="none"/>
          <w:sz w:val="13"/>
          <w:szCs w:val="13"/>
        </w:rPr>
        <w:t>Pokud Společnost Shell zjisti, že jakákoliv informace poskytnutá</w:t>
        <w:br/>
        <w:t>jí Hlavním držitelem karty je věcně nesprávná nebo nepřesná, aniž o tom</w:t>
        <w:br/>
        <w:t>byla Hlavním držitelem karty informována podle odst. 12.5, stávají se</w:t>
        <w:br/>
        <w:t>veškeré závazky Hlavního držitele karty vůči Společnosti Shell okamžitě</w:t>
        <w:br/>
        <w:t>splatnými a Společnost Shell jc oprávněna využít svého práva podle odst.</w:t>
        <w:br/>
        <w:t>13.1 (iv), (a) Podmínek.</w:t>
      </w:r>
    </w:p>
    <w:p>
      <w:pPr>
        <w:pStyle w:val="Style29"/>
        <w:numPr>
          <w:ilvl w:val="0"/>
          <w:numId w:val="17"/>
        </w:numPr>
        <w:tabs>
          <w:tab w:leader="none" w:pos="54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 w:line="192" w:lineRule="exact"/>
        <w:ind w:left="60" w:right="40" w:firstLine="0"/>
      </w:pPr>
      <w:r>
        <w:rPr>
          <w:rStyle w:val="CharStyle44"/>
          <w:u w:val="none"/>
          <w:sz w:val="13"/>
          <w:szCs w:val="13"/>
        </w:rPr>
        <w:t>Žadatel okamžikem podpisu žádosti, Hlavní držitel karty a</w:t>
        <w:br/>
        <w:t>Oprávněný držitel karty okamžikem převzetí Karty dávají svůj výslovný</w:t>
        <w:br/>
        <w:t>souhlas ktomu, aby Společnost Shell nakládala sjejich údaji a</w:t>
        <w:br/>
        <w:t>informacemi způsobem uvedeným v těchto Podmínkách.</w:t>
      </w:r>
    </w:p>
    <w:p>
      <w:pPr>
        <w:pStyle w:val="Style29"/>
        <w:numPr>
          <w:ilvl w:val="0"/>
          <w:numId w:val="17"/>
        </w:numPr>
        <w:tabs>
          <w:tab w:leader="none" w:pos="55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10" w:line="192" w:lineRule="exact"/>
        <w:ind w:left="60" w:right="40" w:firstLine="0"/>
      </w:pPr>
      <w:r>
        <w:rPr>
          <w:rStyle w:val="CharStyle44"/>
          <w:u w:val="none"/>
          <w:sz w:val="13"/>
          <w:szCs w:val="13"/>
        </w:rPr>
        <w:t>Hlavní držitel karty je povinen poskytovat na vyžádání</w:t>
        <w:br/>
        <w:t>Společnosti Shell svoji účetní závěrku nebo výroční zprávu.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165" w:line="130" w:lineRule="exact"/>
        <w:ind w:left="60" w:right="0" w:firstLine="0"/>
      </w:pPr>
      <w:r>
        <w:rPr>
          <w:rStyle w:val="CharStyle44"/>
          <w:u w:val="none"/>
          <w:sz w:val="13"/>
          <w:szCs w:val="13"/>
        </w:rPr>
        <w:t>13. Zánik Smlouvy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115" w:line="130" w:lineRule="exact"/>
        <w:ind w:left="60" w:right="0" w:firstLine="0"/>
      </w:pPr>
      <w:r>
        <w:rPr>
          <w:rStyle w:val="CharStyle44"/>
          <w:u w:val="none"/>
          <w:sz w:val="13"/>
          <w:szCs w:val="13"/>
        </w:rPr>
        <w:t>13.1 Smlouva zaniká: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right"/>
        <w:spacing w:before="0" w:after="0" w:line="192" w:lineRule="exact"/>
        <w:ind w:left="60" w:right="40" w:firstLine="0"/>
      </w:pPr>
      <w:r>
        <w:rPr>
          <w:rStyle w:val="CharStyle44"/>
          <w:u w:val="none"/>
          <w:sz w:val="13"/>
          <w:szCs w:val="13"/>
        </w:rPr>
        <w:t>(i) výpovědi danou kteroukoliv stranou Smlouvy ve formě</w:t>
        <w:br/>
        <w:t>doporučeného dopisu zaslaného na platnou adresu druhé strany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117" w:line="202" w:lineRule="exact"/>
        <w:ind w:left="500" w:right="40" w:firstLine="0"/>
      </w:pPr>
      <w:r>
        <w:rPr>
          <w:rStyle w:val="CharStyle44"/>
          <w:u w:val="none"/>
          <w:sz w:val="13"/>
          <w:szCs w:val="13"/>
        </w:rPr>
        <w:t>Smlouvy; výpovědní lhůta činí jeden měsíc a začíná běžet</w:t>
        <w:br/>
        <w:t>prvního dne měsíce následujícího po jejím odeslání, rozhodným</w:t>
        <w:br/>
        <w:t>dnem je datum jejího podáni k poštovní přepravě na poštovním</w:t>
        <w:br/>
        <w:t>úřadu;</w:t>
      </w:r>
    </w:p>
    <w:p>
      <w:pPr>
        <w:pStyle w:val="Style29"/>
        <w:numPr>
          <w:ilvl w:val="1"/>
          <w:numId w:val="17"/>
        </w:numPr>
        <w:tabs>
          <w:tab w:leader="none" w:pos="5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2" w:line="130" w:lineRule="exact"/>
        <w:ind w:left="60" w:right="0" w:firstLine="0"/>
      </w:pPr>
      <w:r>
        <w:rPr>
          <w:rStyle w:val="CharStyle44"/>
          <w:u w:val="none"/>
          <w:sz w:val="13"/>
          <w:szCs w:val="13"/>
        </w:rPr>
        <w:t>písemnou dohodou obou stran Smlouvy;</w:t>
      </w:r>
    </w:p>
    <w:p>
      <w:pPr>
        <w:pStyle w:val="Style29"/>
        <w:numPr>
          <w:ilvl w:val="1"/>
          <w:numId w:val="17"/>
        </w:numPr>
        <w:tabs>
          <w:tab w:leader="none" w:pos="55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45" w:line="182" w:lineRule="exact"/>
        <w:ind w:left="500" w:right="40" w:hanging="440"/>
      </w:pPr>
      <w:r>
        <w:rPr>
          <w:rStyle w:val="CharStyle44"/>
          <w:u w:val="none"/>
          <w:sz w:val="13"/>
          <w:szCs w:val="13"/>
        </w:rPr>
        <w:t>marným uplynutím 30 denní lhůty počínající dnem, kdy byl druhé</w:t>
        <w:br/>
        <w:t>straně Smlouvy doručen návrh na jakoukoliv změnu Smlouvy,</w:t>
        <w:br/>
        <w:t>nedošlo-li mezi stranami Smlouvy k dohodě o takové změně nebo</w:t>
        <w:br/>
        <w:t>nedohodly-li si strany Smlouvy prodloužení léto lhůty.</w:t>
        <w:br/>
        <w:t>Ustanovení bodu 18.1 Podmínek tím není dotčeno;</w:t>
      </w:r>
    </w:p>
    <w:p>
      <w:pPr>
        <w:pStyle w:val="Style29"/>
        <w:numPr>
          <w:ilvl w:val="1"/>
          <w:numId w:val="17"/>
        </w:numPr>
        <w:tabs>
          <w:tab w:leader="none" w:pos="55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8" w:line="202" w:lineRule="exact"/>
        <w:ind w:left="500" w:right="40" w:hanging="440"/>
      </w:pPr>
      <w:r>
        <w:rPr>
          <w:rStyle w:val="CharStyle44"/>
          <w:u w:val="none"/>
          <w:sz w:val="13"/>
          <w:szCs w:val="13"/>
        </w:rPr>
        <w:t>výpovědi danou Společností Shell ve formě doporučeného dopisu</w:t>
        <w:br/>
        <w:t>zaslaného na platnou adresu druhé strany Smlouvy s účinností</w:t>
        <w:br/>
        <w:t>dnem jejího doručeni z následujících důvodů:</w:t>
      </w:r>
    </w:p>
    <w:p>
      <w:pPr>
        <w:pStyle w:val="Style29"/>
        <w:numPr>
          <w:ilvl w:val="2"/>
          <w:numId w:val="17"/>
        </w:numPr>
        <w:tabs>
          <w:tab w:leader="none" w:pos="97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8" w:line="192" w:lineRule="exact"/>
        <w:ind w:left="960" w:right="40" w:hanging="460"/>
      </w:pPr>
      <w:r>
        <w:rPr>
          <w:rStyle w:val="CharStyle44"/>
          <w:u w:val="none"/>
          <w:sz w:val="13"/>
          <w:szCs w:val="13"/>
        </w:rPr>
        <w:t>Hlavni držitel karty porušil jakékoliv ustanovení Smlouvy;</w:t>
        <w:br/>
        <w:t>nebo</w:t>
      </w:r>
    </w:p>
    <w:p>
      <w:pPr>
        <w:pStyle w:val="Style29"/>
        <w:numPr>
          <w:ilvl w:val="2"/>
          <w:numId w:val="17"/>
        </w:numPr>
        <w:tabs>
          <w:tab w:leader="none" w:pos="97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2" w:line="182" w:lineRule="exact"/>
        <w:ind w:left="960" w:right="40" w:hanging="460"/>
      </w:pPr>
      <w:r>
        <w:rPr>
          <w:rStyle w:val="CharStyle44"/>
          <w:u w:val="none"/>
          <w:sz w:val="13"/>
          <w:szCs w:val="13"/>
        </w:rPr>
        <w:t>na Hlavního držitele karty je podán návrh na vyhlášeni</w:t>
        <w:br/>
        <w:t>konkurzu nebo na vyrovnáni nebo takový konkurz již byl</w:t>
        <w:br/>
        <w:t>vyhlášen nebo takové vyrovnání bylo povoleno nebo dojde</w:t>
        <w:br/>
        <w:t>k jakékoliv jiné události, klerá dle odůvodněného názoru</w:t>
        <w:br/>
        <w:t>Společnosti Shell může ovlivnit schopnost Hlavního</w:t>
        <w:br/>
        <w:t>držitele karty dodržet jakékoliv či všechny jeho povinnosti</w:t>
        <w:br/>
        <w:t>nebo splnit jakékoliv jeho závazky podle Smlouvy; nebo</w:t>
      </w:r>
    </w:p>
    <w:p>
      <w:pPr>
        <w:pStyle w:val="Style29"/>
        <w:numPr>
          <w:ilvl w:val="2"/>
          <w:numId w:val="17"/>
        </w:numPr>
        <w:tabs>
          <w:tab w:leader="none" w:pos="96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10" w:line="192" w:lineRule="exact"/>
        <w:ind w:left="960" w:right="40" w:hanging="460"/>
      </w:pPr>
      <w:r>
        <w:rPr>
          <w:rStyle w:val="CharStyle44"/>
          <w:u w:val="none"/>
          <w:sz w:val="13"/>
          <w:szCs w:val="13"/>
        </w:rPr>
        <w:t>dojde ke změně ovládající osoby Hlavního držitele karty;</w:t>
        <w:br/>
        <w:t>nebo</w:t>
      </w:r>
    </w:p>
    <w:p>
      <w:pPr>
        <w:pStyle w:val="Style29"/>
        <w:numPr>
          <w:ilvl w:val="2"/>
          <w:numId w:val="17"/>
        </w:numPr>
        <w:tabs>
          <w:tab w:leader="none" w:pos="96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" w:line="130" w:lineRule="exact"/>
        <w:ind w:left="960" w:right="0" w:hanging="460"/>
      </w:pPr>
      <w:r>
        <w:rPr>
          <w:rStyle w:val="CharStyle44"/>
          <w:u w:val="none"/>
          <w:sz w:val="13"/>
          <w:szCs w:val="13"/>
        </w:rPr>
        <w:t>zemře I llavní držitel karty podnikatel - fyzická osoba</w:t>
      </w:r>
    </w:p>
    <w:p>
      <w:pPr>
        <w:pStyle w:val="Style29"/>
        <w:numPr>
          <w:ilvl w:val="2"/>
          <w:numId w:val="17"/>
        </w:numPr>
        <w:tabs>
          <w:tab w:leader="none" w:pos="97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 w:line="192" w:lineRule="exact"/>
        <w:ind w:left="960" w:right="40" w:hanging="460"/>
      </w:pPr>
      <w:r>
        <w:rPr>
          <w:rStyle w:val="CharStyle44"/>
          <w:u w:val="none"/>
          <w:sz w:val="13"/>
          <w:szCs w:val="13"/>
        </w:rPr>
        <w:t>Společnost Shell obdrží od společností, které se na trhu</w:t>
        <w:br/>
        <w:t>zabývají oceňováním bonity klientů takové reference, které</w:t>
        <w:br/>
        <w:t>by, v případě, že by existovaly v době, kdy Společnost</w:t>
        <w:br/>
        <w:t>Shell obdržela od Hlavního držitele karty jeho Objednávku,</w:t>
        <w:br/>
        <w:t>mohly způsobit odmítnutí takové Objednávky.</w:t>
      </w:r>
    </w:p>
    <w:p>
      <w:pPr>
        <w:pStyle w:val="Style29"/>
        <w:numPr>
          <w:ilvl w:val="2"/>
          <w:numId w:val="17"/>
        </w:numPr>
        <w:tabs>
          <w:tab w:leader="none" w:pos="96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8" w:line="192" w:lineRule="exact"/>
        <w:ind w:left="960" w:right="40" w:hanging="460"/>
      </w:pPr>
      <w:r>
        <w:rPr>
          <w:rStyle w:val="CharStyle44"/>
          <w:u w:val="none"/>
          <w:sz w:val="13"/>
          <w:szCs w:val="13"/>
        </w:rPr>
        <w:t>Hlavni držitel karty je v prodlení s jakoukoliv platbou</w:t>
        <w:br/>
        <w:t>týkající sc této Smlouvy.</w:t>
      </w:r>
    </w:p>
    <w:p>
      <w:pPr>
        <w:pStyle w:val="Style29"/>
        <w:numPr>
          <w:ilvl w:val="0"/>
          <w:numId w:val="21"/>
        </w:numPr>
        <w:tabs>
          <w:tab w:leader="none" w:pos="55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2" w:line="182" w:lineRule="exact"/>
        <w:ind w:left="60" w:right="40" w:firstLine="0"/>
      </w:pPr>
      <w:r>
        <w:rPr>
          <w:rStyle w:val="CharStyle44"/>
          <w:u w:val="none"/>
          <w:sz w:val="13"/>
          <w:szCs w:val="13"/>
        </w:rPr>
        <w:t>S ohledem na odstavec 13.3 dojde ke změně v ovládající osobě</w:t>
        <w:br/>
        <w:t>pro účely Smlouvy, pokud:</w:t>
      </w:r>
    </w:p>
    <w:p>
      <w:pPr>
        <w:pStyle w:val="Style29"/>
        <w:numPr>
          <w:ilvl w:val="1"/>
          <w:numId w:val="21"/>
        </w:numPr>
        <w:tabs>
          <w:tab w:leader="none" w:pos="96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 w:line="192" w:lineRule="exact"/>
        <w:ind w:left="960" w:right="40" w:hanging="460"/>
      </w:pPr>
      <w:r>
        <w:rPr>
          <w:rStyle w:val="CharStyle44"/>
          <w:u w:val="none"/>
          <w:sz w:val="13"/>
          <w:szCs w:val="13"/>
        </w:rPr>
        <w:t>nad Hlavním držitelem karty získá kontrolu osoba, když</w:t>
        <w:br/>
        <w:t>předtím žádná osoba neměla kontrolu nad Hlavním</w:t>
        <w:br/>
        <w:t>držitelem karty; nebo</w:t>
      </w:r>
    </w:p>
    <w:p>
      <w:pPr>
        <w:pStyle w:val="Style29"/>
        <w:numPr>
          <w:ilvl w:val="1"/>
          <w:numId w:val="21"/>
        </w:numPr>
        <w:tabs>
          <w:tab w:leader="none" w:pos="97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 w:line="192" w:lineRule="exact"/>
        <w:ind w:left="960" w:right="40" w:hanging="460"/>
      </w:pPr>
      <w:r>
        <w:rPr>
          <w:rStyle w:val="CharStyle44"/>
          <w:u w:val="none"/>
          <w:sz w:val="13"/>
          <w:szCs w:val="13"/>
        </w:rPr>
        <w:t>hlavni mateřská společnost Hlavního držitele karty</w:t>
        <w:br/>
        <w:t>přestane mít kontrolu nad Hlavním držitelem karty; nebo</w:t>
      </w:r>
    </w:p>
    <w:p>
      <w:pPr>
        <w:pStyle w:val="Style29"/>
        <w:numPr>
          <w:ilvl w:val="1"/>
          <w:numId w:val="21"/>
        </w:numPr>
        <w:tabs>
          <w:tab w:leader="none" w:pos="97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8" w:line="192" w:lineRule="exact"/>
        <w:ind w:left="960" w:right="40" w:hanging="460"/>
      </w:pPr>
      <w:r>
        <w:rPr>
          <w:rStyle w:val="CharStyle44"/>
          <w:u w:val="none"/>
          <w:sz w:val="13"/>
          <w:szCs w:val="13"/>
        </w:rPr>
        <w:t>nad hlavní mateřskou společností Hlavního držitele karty</w:t>
        <w:br/>
        <w:t>získá kontrolu nějaká osoba; nebo</w:t>
      </w:r>
    </w:p>
    <w:p>
      <w:pPr>
        <w:pStyle w:val="Style29"/>
        <w:numPr>
          <w:ilvl w:val="1"/>
          <w:numId w:val="21"/>
        </w:numPr>
        <w:tabs>
          <w:tab w:leader="none" w:pos="97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 w:line="182" w:lineRule="exact"/>
        <w:ind w:left="960" w:right="40" w:hanging="460"/>
      </w:pPr>
      <w:r>
        <w:rPr>
          <w:rStyle w:val="CharStyle44"/>
          <w:u w:val="none"/>
          <w:sz w:val="13"/>
          <w:szCs w:val="13"/>
        </w:rPr>
        <w:t>osoba, která není pod kontrolou hlavni mateřské</w:t>
        <w:br/>
        <w:t>společnosti Hlavního držitele karty, získá kontrolu nad</w:t>
        <w:br/>
        <w:t>Hlavním držitelem karty.</w:t>
      </w:r>
    </w:p>
    <w:p>
      <w:pPr>
        <w:pStyle w:val="Style29"/>
        <w:numPr>
          <w:ilvl w:val="0"/>
          <w:numId w:val="21"/>
        </w:numPr>
        <w:tabs>
          <w:tab w:leader="none" w:pos="56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02" w:line="182" w:lineRule="exact"/>
        <w:ind w:left="60" w:right="40" w:firstLine="0"/>
      </w:pPr>
      <w:r>
        <w:rPr>
          <w:rStyle w:val="CharStyle44"/>
          <w:u w:val="none"/>
          <w:sz w:val="13"/>
          <w:szCs w:val="13"/>
        </w:rPr>
        <w:t>Pro účely Smlouvy znamená kontrola ve vztahu k jakékoliv</w:t>
        <w:br/>
        <w:t>společnosti stav, ve kterém ovládající osoba má právo vykonával</w:t>
        <w:br/>
        <w:t>nejméně polovinu hlasovacích práv v orgánech společnosti nebo</w:t>
        <w:br/>
        <w:t>jmenovat nejméně jednu polovinu členů orgánů společnosti nebo získá</w:t>
        <w:br/>
        <w:t>podíl na základním jmění společnosti ve výši minimálně 50%.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3" w:line="130" w:lineRule="exact"/>
        <w:ind w:left="60" w:right="0" w:firstLine="0"/>
      </w:pPr>
      <w:r>
        <w:rPr>
          <w:rStyle w:val="CharStyle44"/>
          <w:u w:val="none"/>
          <w:sz w:val="13"/>
          <w:szCs w:val="13"/>
        </w:rPr>
        <w:t>14. Úfinnost zániku Smlouvy</w:t>
      </w:r>
    </w:p>
    <w:p>
      <w:pPr>
        <w:pStyle w:val="Style29"/>
        <w:numPr>
          <w:ilvl w:val="0"/>
          <w:numId w:val="23"/>
        </w:numPr>
        <w:tabs>
          <w:tab w:leader="none" w:pos="55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 w:line="182" w:lineRule="exact"/>
        <w:ind w:left="60" w:right="40" w:firstLine="0"/>
      </w:pPr>
      <w:r>
        <w:rPr>
          <w:rStyle w:val="CharStyle44"/>
          <w:u w:val="none"/>
          <w:sz w:val="13"/>
          <w:szCs w:val="13"/>
        </w:rPr>
        <w:t>Při zániku Smlouvy se všechny do té doby nesplatné závazky</w:t>
        <w:br/>
        <w:t>Hlavního držitele karty ze Smlouvy stávají splatnými a právo Hlavního</w:t>
        <w:br/>
        <w:t>držitele karty/Oprávněného držitele karty používat Kartu zaniká okamžitě</w:t>
        <w:br/>
        <w:t>k datu zániku Smlouvy (ale bez omezení práv Společnosti Shell již</w:t>
        <w:br/>
        <w:t>vzniklých ke dni zániku).</w:t>
      </w:r>
    </w:p>
    <w:p>
      <w:pPr>
        <w:pStyle w:val="Style29"/>
        <w:numPr>
          <w:ilvl w:val="0"/>
          <w:numId w:val="23"/>
        </w:numPr>
        <w:tabs>
          <w:tab w:leader="none" w:pos="56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2" w:line="182" w:lineRule="exact"/>
        <w:ind w:left="60" w:right="40" w:firstLine="0"/>
      </w:pPr>
      <w:r>
        <w:rPr>
          <w:rStyle w:val="CharStyle44"/>
          <w:u w:val="none"/>
          <w:sz w:val="13"/>
          <w:szCs w:val="13"/>
        </w:rPr>
        <w:t>Při zániku Smlouvy výpovědi ze strany Společnosti Shell a při</w:t>
        <w:br/>
        <w:t>zániku Smlouvy dohodou smluvních stran vrátí Hlavni držitel karty</w:t>
        <w:br/>
        <w:t>všechny Karty znehodnocené podle odst 10.1 Podmínek Společnosti</w:t>
        <w:br/>
        <w:t>Shell, a to doporučenou zásilkou do 14 dnů od dne zániku. Hlavní držitel</w:t>
        <w:br/>
        <w:t>karty je i nadále zcela odpovědný za jakékoliv použití a'nebo zneužiti</w:t>
        <w:br/>
        <w:t>Karty/Karet v souladu s ustanoveními těchto Podmínek až do okamžiku,</w:t>
        <w:br/>
        <w:t>kdy Společnost Shell obdrží vrácenou Kartu/Karty.</w:t>
      </w:r>
    </w:p>
    <w:p>
      <w:pPr>
        <w:pStyle w:val="Style29"/>
        <w:numPr>
          <w:ilvl w:val="0"/>
          <w:numId w:val="23"/>
        </w:numPr>
        <w:tabs>
          <w:tab w:leader="none" w:pos="55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92" w:lineRule="exact"/>
        <w:ind w:left="60" w:right="40" w:firstLine="0"/>
      </w:pPr>
      <w:r>
        <w:rPr>
          <w:rStyle w:val="CharStyle44"/>
          <w:u w:val="none"/>
          <w:sz w:val="13"/>
          <w:szCs w:val="13"/>
        </w:rPr>
        <w:t>Při zániku Smlouvy výpovědi ze strany Hlavního držitele karty</w:t>
        <w:br/>
        <w:t>vrátí Hlavní držitel karty všechny Karty znehodnocené podle odst. 10.1</w:t>
        <w:br/>
        <w:t>Podmínek Společnosti Shell, a to doporučenou zásilkou do 7 dnů od dne</w:t>
        <w:br/>
        <w:t>zániku, která bude rovněž obsahovat seznam čišel všech vrácených Karet.</w:t>
        <w:br/>
        <w:t>Hlavni držitel karty je i nadále zcela odpovědný za jakékoliv použití</w:t>
      </w:r>
      <w:r>
        <w:br w:type="page"/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60" w:line="192" w:lineRule="exact"/>
        <w:ind w:left="60" w:right="40" w:firstLine="0"/>
      </w:pPr>
      <w:r>
        <w:rPr>
          <w:rStyle w:val="CharStyle33"/>
          <w:u w:val="none"/>
          <w:sz w:val="13"/>
          <w:szCs w:val="13"/>
        </w:rPr>
        <w:t>a/nebo zneužití Karty/Karet v souladu s ustanoveními těchto Podmínek</w:t>
        <w:br/>
        <w:t>až do okamžiku, kdy Společnost Shell obdrží vrácenou Kartu/Karty.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110" w:line="192" w:lineRule="exact"/>
        <w:ind w:left="60" w:right="40" w:firstLine="0"/>
      </w:pPr>
      <w:r>
        <w:rPr>
          <w:rStyle w:val="CharStyle33"/>
          <w:u w:val="none"/>
          <w:sz w:val="13"/>
          <w:szCs w:val="13"/>
        </w:rPr>
        <w:t>14.4 Výpověď se považuje za doručenou dnem jejího převzetí</w:t>
        <w:br/>
        <w:t>adresátem nebo dnem, kdy adresát její doručení zaviněně zmařil nebo</w:t>
        <w:br/>
        <w:t>dnem, kdy byla vrácena poštou jako nedoručitelná. V případě</w:t>
        <w:br/>
        <w:t>pochybností se má za to, že výpověď byla doručena pátým dnem po jejím</w:t>
        <w:br/>
        <w:t>odesláni.</w:t>
      </w:r>
    </w:p>
    <w:p>
      <w:pPr>
        <w:pStyle w:val="Style29"/>
        <w:numPr>
          <w:ilvl w:val="0"/>
          <w:numId w:val="25"/>
        </w:numPr>
        <w:tabs>
          <w:tab w:leader="none" w:pos="5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" w:line="130" w:lineRule="exact"/>
        <w:ind w:left="440" w:right="0" w:hanging="380"/>
      </w:pPr>
      <w:r>
        <w:rPr>
          <w:rStyle w:val="CharStyle33"/>
          <w:u w:val="none"/>
          <w:sz w:val="13"/>
          <w:szCs w:val="13"/>
        </w:rPr>
        <w:t>Odpovědnost Hlavního držitele karty a Společnosti Shell</w:t>
      </w:r>
    </w:p>
    <w:p>
      <w:pPr>
        <w:pStyle w:val="Style29"/>
        <w:numPr>
          <w:ilvl w:val="1"/>
          <w:numId w:val="25"/>
        </w:numPr>
        <w:tabs>
          <w:tab w:leader="none" w:pos="55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8" w:line="192" w:lineRule="exact"/>
        <w:ind w:left="60" w:right="40" w:firstLine="0"/>
      </w:pPr>
      <w:r>
        <w:rPr>
          <w:rStyle w:val="CharStyle33"/>
          <w:u w:val="none"/>
          <w:sz w:val="13"/>
          <w:szCs w:val="13"/>
        </w:rPr>
        <w:t>Hlavní držitel karty odpovídá za jakoukoliv škodu, která vznikne</w:t>
        <w:br/>
        <w:t>Společnosti Shell v případech, kdy Hlavní držitel karty nebo Oprávněný</w:t>
        <w:br/>
        <w:t>držitel karty porušili Smlouvu nebo své jiné povinnosti a v případech,</w:t>
        <w:br/>
        <w:t>kdy došlo k neoprávněnému použití Karty; v případě neoprávněného</w:t>
        <w:br/>
        <w:t>použiti Karty je Hlavní držitel karty povinen zaplatit cenu Dodávky, i</w:t>
        <w:br/>
        <w:t>když příjemcem Dodávky byla osoba odlišná od Hlavního držitele karty</w:t>
        <w:br/>
        <w:t>nebo Oprávněného držitele karty.</w:t>
      </w:r>
    </w:p>
    <w:p>
      <w:pPr>
        <w:pStyle w:val="Style29"/>
        <w:numPr>
          <w:ilvl w:val="1"/>
          <w:numId w:val="25"/>
        </w:numPr>
        <w:tabs>
          <w:tab w:leader="none" w:pos="55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2" w:line="182" w:lineRule="exact"/>
        <w:ind w:left="60" w:right="40" w:firstLine="0"/>
      </w:pPr>
      <w:r>
        <w:rPr>
          <w:rStyle w:val="CharStyle33"/>
          <w:u w:val="none"/>
          <w:sz w:val="13"/>
          <w:szCs w:val="13"/>
        </w:rPr>
        <w:t>V případech uvedených v odst.15.1 Podmínek a v případě, že</w:t>
        <w:br/>
        <w:t>došlo k blokaci Karty/Karet, Společnost Shell neodpovídá za jakékoliv</w:t>
        <w:br/>
        <w:t>škody vzniklé Hlavnímu držiteli karty nebo kterémukoliv Oprávněnému</w:t>
        <w:br/>
        <w:t>držiteli karty či jakékoliv třetí straně v souvislosti s jakýmikoliv</w:t>
        <w:br/>
        <w:t>dodávkami či používáním jakékoliv Karty.</w:t>
      </w:r>
    </w:p>
    <w:p>
      <w:pPr>
        <w:pStyle w:val="Style29"/>
        <w:numPr>
          <w:ilvl w:val="1"/>
          <w:numId w:val="25"/>
        </w:numPr>
        <w:tabs>
          <w:tab w:leader="none" w:pos="57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8" w:line="192" w:lineRule="exact"/>
        <w:ind w:left="60" w:right="40" w:firstLine="0"/>
      </w:pPr>
      <w:r>
        <w:rPr>
          <w:rStyle w:val="CharStyle33"/>
          <w:u w:val="none"/>
          <w:sz w:val="13"/>
          <w:szCs w:val="13"/>
        </w:rPr>
        <w:t>Společnost Shell není vůči Hlavnímu držiteli karty odpovědná za</w:t>
        <w:br/>
        <w:t>jakékoliv nepřesné informace o nákupech uskutečňovaných s použitím</w:t>
        <w:br/>
        <w:t>Karty, je-li tato nepřesnost způsobena nesprávnou či neúplnou informací</w:t>
        <w:br/>
        <w:t>poskytnutou Hlavním držitelem karty, jakýmkoliv Oprávněným držitelem</w:t>
        <w:br/>
        <w:t>karty nebo Účastníkem programu karet euroShell, ať už na účetním</w:t>
        <w:br/>
        <w:t>dokladu či jinak.</w:t>
      </w:r>
    </w:p>
    <w:p>
      <w:pPr>
        <w:pStyle w:val="Style29"/>
        <w:numPr>
          <w:ilvl w:val="1"/>
          <w:numId w:val="25"/>
        </w:numPr>
        <w:tabs>
          <w:tab w:leader="none" w:pos="56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 w:line="182" w:lineRule="exact"/>
        <w:ind w:left="60" w:right="40" w:firstLine="0"/>
      </w:pPr>
      <w:r>
        <w:rPr>
          <w:rStyle w:val="CharStyle33"/>
          <w:u w:val="none"/>
          <w:sz w:val="13"/>
          <w:szCs w:val="13"/>
        </w:rPr>
        <w:t>Společnost Shell neposkytuje žádný závazek či záruku, že</w:t>
        <w:br/>
        <w:t>jakýkoliv počítačový software či data dodaná Hlavnímu držiteli karty</w:t>
        <w:br/>
        <w:t>(která zahrnuji kromě jiného diskety, pásky, pevné disky či jakoukoliv</w:t>
        <w:br/>
        <w:t>jinou formu doručení programu nebo souboru, hmotnou či nehmotnou a</w:t>
        <w:br/>
        <w:t>doručenou Hlavnímu držiteli karty elektronicky přes komunikační síť či</w:t>
        <w:br/>
        <w:t>jinak) jsou bez jakýchkoliv počítačových virů či jiných škodlivých</w:t>
        <w:br/>
        <w:t>programů. Společnost Shell nemá žádné znalosti o povaze počítačových</w:t>
        <w:br/>
        <w:t>systémů Hlavního držitele karty a tudíž neposkytuje žádný závazek či</w:t>
        <w:br/>
        <w:t>záruku, že jakýkoliv počítačový software či data dodaná Havníinu držiteli</w:t>
        <w:br/>
        <w:t>karty jsou kompatibilní s počítačovými systémy Hlavního držitele karty,</w:t>
        <w:br/>
        <w:t>ani že neobsahují žádnou funkci, která je nekompatibilní s počítačovými</w:t>
        <w:br/>
        <w:t>systémy Hlavního držitele karty.</w:t>
      </w:r>
    </w:p>
    <w:p>
      <w:pPr>
        <w:pStyle w:val="Style29"/>
        <w:numPr>
          <w:ilvl w:val="1"/>
          <w:numId w:val="25"/>
        </w:numPr>
        <w:tabs>
          <w:tab w:leader="none" w:pos="5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02" w:line="182" w:lineRule="exact"/>
        <w:ind w:left="60" w:right="40" w:firstLine="0"/>
      </w:pPr>
      <w:r>
        <w:rPr>
          <w:rStyle w:val="CharStyle33"/>
          <w:u w:val="none"/>
          <w:sz w:val="13"/>
          <w:szCs w:val="13"/>
        </w:rPr>
        <w:t>Společnost Shell není žádným způsobem odpovědná, pokud</w:t>
        <w:br/>
        <w:t>Účastník programu karet euroShell odmítne z jakéhokoliv důvodu</w:t>
        <w:br/>
        <w:t>provést Dodávky.</w:t>
      </w:r>
    </w:p>
    <w:p>
      <w:pPr>
        <w:pStyle w:val="Style29"/>
        <w:numPr>
          <w:ilvl w:val="0"/>
          <w:numId w:val="25"/>
        </w:numPr>
        <w:tabs>
          <w:tab w:leader="none" w:pos="54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" w:line="130" w:lineRule="exact"/>
        <w:ind w:left="440" w:right="0" w:hanging="380"/>
      </w:pPr>
      <w:r>
        <w:rPr>
          <w:rStyle w:val="CharStyle33"/>
          <w:u w:val="none"/>
          <w:sz w:val="13"/>
          <w:szCs w:val="13"/>
        </w:rPr>
        <w:t>Duševní vlastnictví</w:t>
      </w:r>
    </w:p>
    <w:p>
      <w:pPr>
        <w:pStyle w:val="Style29"/>
        <w:numPr>
          <w:ilvl w:val="1"/>
          <w:numId w:val="25"/>
        </w:numPr>
        <w:tabs>
          <w:tab w:leader="none" w:pos="5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 w:line="192" w:lineRule="exact"/>
        <w:ind w:left="60" w:right="40" w:firstLine="0"/>
      </w:pPr>
      <w:r>
        <w:rPr>
          <w:rStyle w:val="CharStyle33"/>
          <w:u w:val="none"/>
          <w:sz w:val="13"/>
          <w:szCs w:val="13"/>
        </w:rPr>
        <w:t>Duševní vlastnictví v následujícím seznamu (bez výhrady</w:t>
        <w:br/>
        <w:t>úplnosti) zůstává majetkem Společnosti Shell a/nebo jejích poskytovatelů</w:t>
        <w:br/>
        <w:t>licencí:</w:t>
      </w:r>
    </w:p>
    <w:p>
      <w:pPr>
        <w:pStyle w:val="Style29"/>
        <w:numPr>
          <w:ilvl w:val="2"/>
          <w:numId w:val="25"/>
        </w:numPr>
        <w:tabs>
          <w:tab w:leader="none" w:pos="40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8" w:line="192" w:lineRule="exact"/>
        <w:ind w:left="440" w:right="40" w:hanging="380"/>
      </w:pPr>
      <w:r>
        <w:rPr>
          <w:rStyle w:val="CharStyle33"/>
          <w:u w:val="none"/>
          <w:sz w:val="13"/>
          <w:szCs w:val="13"/>
        </w:rPr>
        <w:t>jakýkoliv počítačový software či data dodaná nebo používaná</w:t>
        <w:br/>
        <w:t>Společností Shell při jejím plněni této Smlouvy;</w:t>
      </w:r>
    </w:p>
    <w:p>
      <w:pPr>
        <w:pStyle w:val="Style29"/>
        <w:numPr>
          <w:ilvl w:val="2"/>
          <w:numId w:val="25"/>
        </w:numPr>
        <w:tabs>
          <w:tab w:leader="none" w:pos="39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02" w:line="182" w:lineRule="exact"/>
        <w:ind w:left="440" w:right="40" w:hanging="380"/>
      </w:pPr>
      <w:r>
        <w:rPr>
          <w:rStyle w:val="CharStyle33"/>
          <w:u w:val="none"/>
          <w:sz w:val="13"/>
          <w:szCs w:val="13"/>
        </w:rPr>
        <w:t>jakákoliv data dodaná Společností Shell držitelům karet a/nebo</w:t>
        <w:br/>
        <w:t>uživatelům;</w:t>
      </w:r>
    </w:p>
    <w:p>
      <w:pPr>
        <w:pStyle w:val="Style29"/>
        <w:numPr>
          <w:ilvl w:val="2"/>
          <w:numId w:val="25"/>
        </w:numPr>
        <w:tabs>
          <w:tab w:leader="none" w:pos="41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45" w:line="130" w:lineRule="exact"/>
        <w:ind w:left="440" w:right="0" w:hanging="380"/>
      </w:pPr>
      <w:r>
        <w:rPr>
          <w:rStyle w:val="CharStyle33"/>
          <w:u w:val="none"/>
          <w:sz w:val="13"/>
          <w:szCs w:val="13"/>
        </w:rPr>
        <w:t>obsah;</w:t>
      </w:r>
    </w:p>
    <w:p>
      <w:pPr>
        <w:pStyle w:val="Style29"/>
        <w:numPr>
          <w:ilvl w:val="2"/>
          <w:numId w:val="25"/>
        </w:numPr>
        <w:tabs>
          <w:tab w:leader="none" w:pos="41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" w:line="130" w:lineRule="exact"/>
        <w:ind w:left="440" w:right="0" w:hanging="380"/>
      </w:pPr>
      <w:r>
        <w:rPr>
          <w:rStyle w:val="CharStyle33"/>
          <w:u w:val="none"/>
          <w:sz w:val="13"/>
          <w:szCs w:val="13"/>
        </w:rPr>
        <w:t>online služby;</w:t>
      </w:r>
    </w:p>
    <w:p>
      <w:pPr>
        <w:pStyle w:val="Style29"/>
        <w:numPr>
          <w:ilvl w:val="2"/>
          <w:numId w:val="25"/>
        </w:numPr>
        <w:tabs>
          <w:tab w:leader="none" w:pos="41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8" w:line="192" w:lineRule="exact"/>
        <w:ind w:left="440" w:right="40" w:hanging="380"/>
      </w:pPr>
      <w:r>
        <w:rPr>
          <w:rStyle w:val="CharStyle33"/>
          <w:u w:val="none"/>
          <w:sz w:val="13"/>
          <w:szCs w:val="13"/>
        </w:rPr>
        <w:t>všechny ostatní materiály poskytnuté Společností Shell Hlavnímu</w:t>
        <w:br/>
        <w:t>držiteli karty a/nebo uživatelům podle této Smlouvy.</w:t>
      </w:r>
    </w:p>
    <w:p>
      <w:pPr>
        <w:pStyle w:val="Style29"/>
        <w:numPr>
          <w:ilvl w:val="1"/>
          <w:numId w:val="25"/>
        </w:numPr>
        <w:tabs>
          <w:tab w:leader="none" w:pos="56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2" w:line="182" w:lineRule="exact"/>
        <w:ind w:left="60" w:right="40" w:firstLine="0"/>
      </w:pPr>
      <w:r>
        <w:rPr>
          <w:rStyle w:val="CharStyle33"/>
          <w:u w:val="none"/>
          <w:sz w:val="13"/>
          <w:szCs w:val="13"/>
        </w:rPr>
        <w:t>Veškeré duševní vlastnictví, které vyplývá z této Smlouvy neboje</w:t>
        <w:br/>
        <w:t>jinak vytvořeno podle či pro účely plnění této Smlouvy, je ihned po</w:t>
        <w:br/>
        <w:t>vytvořeni uděleno a stává se majetkem Společnosti Shell a z moci tohoto</w:t>
        <w:br/>
        <w:t>odstavce 16 Hlavní držitel karty podnikne všechny nezbytné kroky k</w:t>
        <w:br/>
        <w:t>postoupení tohoto duševního vlastnictví a zajisti, že Oprávněni držitelé</w:t>
        <w:br/>
        <w:t>karet a/nebo uživatelé postoupí toto duševní vlastnictví Společnosti Shell.</w:t>
      </w:r>
    </w:p>
    <w:p>
      <w:pPr>
        <w:pStyle w:val="Style29"/>
        <w:numPr>
          <w:ilvl w:val="1"/>
          <w:numId w:val="25"/>
        </w:numPr>
        <w:tabs>
          <w:tab w:leader="none" w:pos="55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 w:line="192" w:lineRule="exact"/>
        <w:ind w:left="60" w:right="40" w:firstLine="0"/>
      </w:pPr>
      <w:r>
        <w:rPr>
          <w:rStyle w:val="CharStyle33"/>
          <w:u w:val="none"/>
          <w:sz w:val="13"/>
          <w:szCs w:val="13"/>
        </w:rPr>
        <w:t>Hlavní držitel karty nebude jednat a zajisti, aby Oprávněni</w:t>
        <w:br/>
        <w:t>držitelé karet a/nebo uživatelé nejednali nikdy způsobem odporujicim</w:t>
        <w:br/>
        <w:t>odstavcům 16.1 a 16.2.</w:t>
      </w:r>
    </w:p>
    <w:p>
      <w:pPr>
        <w:pStyle w:val="Style29"/>
        <w:numPr>
          <w:ilvl w:val="1"/>
          <w:numId w:val="25"/>
        </w:numPr>
        <w:tabs>
          <w:tab w:leader="none" w:pos="5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 w:line="192" w:lineRule="exact"/>
        <w:ind w:left="60" w:right="40" w:firstLine="0"/>
      </w:pPr>
      <w:r>
        <w:rPr>
          <w:rStyle w:val="CharStyle33"/>
          <w:u w:val="none"/>
          <w:sz w:val="13"/>
          <w:szCs w:val="13"/>
        </w:rPr>
        <w:t>Hlavní držitel karty nebude a zajistí, že Oprávnění držitelé karet</w:t>
        <w:br/>
        <w:t>a/nebo uživatelé nebudou: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0" w:line="192" w:lineRule="exact"/>
        <w:ind w:left="440" w:right="40" w:hanging="380"/>
      </w:pPr>
      <w:r>
        <w:rPr>
          <w:rStyle w:val="CharStyle33"/>
          <w:u w:val="none"/>
          <w:sz w:val="13"/>
          <w:szCs w:val="13"/>
        </w:rPr>
        <w:t>(i) se pokoušet rekonstruovat, dekódovat, dekompilovat či demontovat</w:t>
        <w:br/>
        <w:t>jakýkoliv počítačový software dodaný či používaný Společností</w:t>
        <w:br/>
        <w:t>Shell při jejím plněni této smlouvy kromě případů povolených</w:t>
        <w:br/>
        <w:t>zákonem;</w:t>
      </w:r>
    </w:p>
    <w:p>
      <w:pPr>
        <w:pStyle w:val="Style29"/>
        <w:numPr>
          <w:ilvl w:val="0"/>
          <w:numId w:val="27"/>
        </w:numPr>
        <w:tabs>
          <w:tab w:leader="none" w:pos="42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20" w:line="192" w:lineRule="exact"/>
        <w:ind w:left="380" w:right="40" w:hanging="320"/>
      </w:pPr>
      <w:r>
        <w:rPr>
          <w:rStyle w:val="CharStyle33"/>
          <w:u w:val="none"/>
          <w:sz w:val="13"/>
          <w:szCs w:val="13"/>
        </w:rPr>
        <w:t>přizpůsobovat jakýkoliv počítačový software dodaný či používaný</w:t>
        <w:br/>
        <w:t>Společností Shell při jejím plnění této Smlouvy do formy čitelné</w:t>
        <w:br/>
        <w:t>pro člověka či vědomě umožňovat ostatním, aby tak činili, kromě</w:t>
        <w:br/>
        <w:t>případů, kdy příslušné zákony konkrétně zakazují toto omezeni;</w:t>
      </w:r>
    </w:p>
    <w:p>
      <w:pPr>
        <w:pStyle w:val="Style29"/>
        <w:numPr>
          <w:ilvl w:val="0"/>
          <w:numId w:val="27"/>
        </w:numPr>
        <w:tabs>
          <w:tab w:leader="none" w:pos="42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20" w:line="192" w:lineRule="exact"/>
        <w:ind w:left="380" w:right="40" w:hanging="320"/>
      </w:pPr>
      <w:r>
        <w:rPr>
          <w:rStyle w:val="CharStyle45"/>
          <w:u w:val="none"/>
        </w:rPr>
        <w:t>upravovat počítačový software dodaný či používaný Společností</w:t>
        <w:br/>
      </w:r>
      <w:r>
        <w:rPr>
          <w:rStyle w:val="CharStyle33"/>
          <w:u w:val="none"/>
          <w:sz w:val="13"/>
          <w:szCs w:val="13"/>
        </w:rPr>
        <w:t>Shell při plněni této Smlouvy nebo vytvářet odvozená díla</w:t>
        <w:br/>
        <w:t>jakéhokoliv počítačového softwaru či dat;</w:t>
      </w:r>
    </w:p>
    <w:p>
      <w:pPr>
        <w:pStyle w:val="Style29"/>
        <w:numPr>
          <w:ilvl w:val="0"/>
          <w:numId w:val="27"/>
        </w:numPr>
        <w:tabs>
          <w:tab w:leader="none" w:pos="42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70" w:line="192" w:lineRule="exact"/>
        <w:ind w:left="380" w:right="40" w:hanging="320"/>
      </w:pPr>
      <w:r>
        <w:rPr>
          <w:rStyle w:val="CharStyle33"/>
          <w:u w:val="none"/>
          <w:sz w:val="13"/>
          <w:szCs w:val="13"/>
        </w:rPr>
        <w:t>přenášet či rozšiřovat elektronicky, přes internet či jakýmkoliv</w:t>
        <w:br/>
        <w:t>jiným způsobem jakýkoliv počítačový software dodaný či</w:t>
        <w:br/>
        <w:t>používaný Společností Shell při plnění této Smlouvy.</w:t>
      </w:r>
    </w:p>
    <w:p>
      <w:pPr>
        <w:pStyle w:val="Style29"/>
        <w:numPr>
          <w:ilvl w:val="1"/>
          <w:numId w:val="27"/>
        </w:numPr>
        <w:tabs>
          <w:tab w:leader="none" w:pos="40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73" w:line="130" w:lineRule="exact"/>
        <w:ind w:left="60" w:right="0" w:firstLine="0"/>
      </w:pPr>
      <w:r>
        <w:rPr>
          <w:rStyle w:val="CharStyle33"/>
          <w:u w:val="none"/>
          <w:sz w:val="13"/>
          <w:szCs w:val="13"/>
        </w:rPr>
        <w:t>Předpokládaný objem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162" w:line="182" w:lineRule="exact"/>
        <w:ind w:left="60" w:right="40" w:firstLine="0"/>
      </w:pPr>
      <w:r>
        <w:rPr>
          <w:rStyle w:val="CharStyle33"/>
          <w:u w:val="none"/>
          <w:sz w:val="13"/>
          <w:szCs w:val="13"/>
        </w:rPr>
        <w:t>Cenový mechanismus pro dodávky pohonných hmot stanovený ve</w:t>
        <w:br/>
        <w:t>Smlouvě byl vypočítán na základě předpokládaného objemu čerpáni</w:t>
        <w:br/>
        <w:t>pohonných hmot uvedeného ve Smlouvě a není-li tohoto</w:t>
        <w:br/>
        <w:t>předpokládaného objemu čerpání prostřednictvím karet dosahováno, je</w:t>
        <w:br/>
        <w:t>společnost Shell oprávněna, tento cenový mechanismus alikvotně upravit.</w:t>
      </w:r>
    </w:p>
    <w:p>
      <w:pPr>
        <w:pStyle w:val="Style29"/>
        <w:numPr>
          <w:ilvl w:val="1"/>
          <w:numId w:val="27"/>
        </w:numPr>
        <w:tabs>
          <w:tab w:leader="none" w:pos="53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3" w:line="130" w:lineRule="exact"/>
        <w:ind w:left="60" w:right="0" w:firstLine="0"/>
      </w:pPr>
      <w:r>
        <w:rPr>
          <w:rStyle w:val="CharStyle33"/>
          <w:u w:val="none"/>
          <w:sz w:val="13"/>
          <w:szCs w:val="13"/>
        </w:rPr>
        <w:t>Změny</w:t>
      </w:r>
    </w:p>
    <w:p>
      <w:pPr>
        <w:pStyle w:val="Style29"/>
        <w:numPr>
          <w:ilvl w:val="2"/>
          <w:numId w:val="27"/>
        </w:numPr>
        <w:tabs>
          <w:tab w:leader="none" w:pos="55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12" w:line="182" w:lineRule="exact"/>
        <w:ind w:left="60" w:right="40" w:firstLine="0"/>
      </w:pPr>
      <w:r>
        <w:rPr>
          <w:rStyle w:val="CharStyle33"/>
          <w:u w:val="none"/>
          <w:sz w:val="13"/>
          <w:szCs w:val="13"/>
        </w:rPr>
        <w:t>Společnost Shell a Hlavní držitel karty mohou navrhnout změnu</w:t>
        <w:br/>
        <w:t>Smlouvy. Takový návrh musí být zaslán na adresu druhé strany písemně,</w:t>
        <w:br/>
        <w:t>formou doporučeného dopisu nebo prostřednictvím posla, jinak nebude</w:t>
        <w:br/>
        <w:t>považován za platně zaslaný a nebude mít statut a účinky závazného</w:t>
        <w:br/>
        <w:t>návrhu. Nedojde-li mezi Společností Shell a Hlavním držitelem karty</w:t>
        <w:br/>
        <w:t>k dohodě o navrhované změně Smlouvy do 30 dnů ode dne, kdy druhá</w:t>
        <w:br/>
        <w:t>strana obdržela závazný návrh, aplikuje se ustanovení odst. 13.1.(iii)</w:t>
        <w:br/>
        <w:t>Podmínek. Společnost Shell a Hlavní držitel karty se však dohodly, že</w:t>
        <w:br/>
        <w:t>pokud strana, které byl doručen závazný návrh na změnu Smlouvy ve</w:t>
        <w:br/>
        <w:t>shora uvedené 30 denní lhůtě na takový návrh nereaguje, platí, že mezi</w:t>
        <w:br/>
        <w:t>Společností Shell a Hlavním držitelem karty došlo k dohodě o</w:t>
        <w:br/>
        <w:t>navrhované změně Smlouvy Pro doručeni platí přiměřeně ustanoveni</w:t>
        <w:br/>
        <w:t>odst. 14.4 Podmínek.</w:t>
      </w:r>
    </w:p>
    <w:p>
      <w:pPr>
        <w:pStyle w:val="Style29"/>
        <w:numPr>
          <w:ilvl w:val="2"/>
          <w:numId w:val="27"/>
        </w:numPr>
        <w:tabs>
          <w:tab w:leader="none" w:pos="55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70" w:line="192" w:lineRule="exact"/>
        <w:ind w:left="60" w:right="40" w:firstLine="0"/>
      </w:pPr>
      <w:r>
        <w:rPr>
          <w:rStyle w:val="CharStyle33"/>
          <w:u w:val="none"/>
          <w:sz w:val="13"/>
          <w:szCs w:val="13"/>
        </w:rPr>
        <w:t>Smluvní strany se dohody, že Smlouva nebo její přílohy mohou</w:t>
        <w:br/>
        <w:t>být měněny formou dodatků ke Smlouvě podepsanými oběma smluvními</w:t>
        <w:br/>
        <w:t>stranami.</w:t>
      </w:r>
    </w:p>
    <w:p>
      <w:pPr>
        <w:pStyle w:val="Style29"/>
        <w:numPr>
          <w:ilvl w:val="1"/>
          <w:numId w:val="27"/>
        </w:numPr>
        <w:tabs>
          <w:tab w:leader="none" w:pos="54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3" w:line="130" w:lineRule="exact"/>
        <w:ind w:left="60" w:right="0" w:firstLine="0"/>
      </w:pPr>
      <w:r>
        <w:rPr>
          <w:rStyle w:val="CharStyle33"/>
          <w:u w:val="none"/>
          <w:sz w:val="13"/>
          <w:szCs w:val="13"/>
        </w:rPr>
        <w:t>Postoupení</w:t>
      </w:r>
    </w:p>
    <w:p>
      <w:pPr>
        <w:pStyle w:val="Style29"/>
        <w:numPr>
          <w:ilvl w:val="2"/>
          <w:numId w:val="27"/>
        </w:numPr>
        <w:tabs>
          <w:tab w:leader="none" w:pos="55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12" w:line="182" w:lineRule="exact"/>
        <w:ind w:left="60" w:right="40" w:firstLine="0"/>
      </w:pPr>
      <w:r>
        <w:rPr>
          <w:rStyle w:val="CharStyle33"/>
          <w:u w:val="none"/>
          <w:sz w:val="13"/>
          <w:szCs w:val="13"/>
        </w:rPr>
        <w:t>Společnost Shell je oprávněna převést svá práva a závazky ze</w:t>
        <w:br/>
        <w:t>Smlouvy na kteréhokoliv člena Royal Dutch/Shell Group; souhlas druhé</w:t>
        <w:br/>
        <w:t>strany Smlouvy s takovým převodem nebude bez závažných důvodů</w:t>
        <w:br/>
        <w:t>touto smluvní stranou odpírán.</w:t>
      </w:r>
    </w:p>
    <w:p>
      <w:pPr>
        <w:pStyle w:val="Style29"/>
        <w:numPr>
          <w:ilvl w:val="2"/>
          <w:numId w:val="27"/>
        </w:numPr>
        <w:tabs>
          <w:tab w:leader="none" w:pos="5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70" w:line="192" w:lineRule="exact"/>
        <w:ind w:left="60" w:right="40" w:firstLine="0"/>
      </w:pPr>
      <w:r>
        <w:rPr>
          <w:rStyle w:val="CharStyle33"/>
          <w:u w:val="none"/>
          <w:sz w:val="13"/>
          <w:szCs w:val="13"/>
        </w:rPr>
        <w:t>Na převod uvedený v odst. 19.1 se použijí příslušná ustanoveni</w:t>
        <w:br/>
        <w:t>obchodního zákoníku v platném znění.</w:t>
      </w:r>
    </w:p>
    <w:p>
      <w:pPr>
        <w:pStyle w:val="Style29"/>
        <w:numPr>
          <w:ilvl w:val="1"/>
          <w:numId w:val="27"/>
        </w:numPr>
        <w:tabs>
          <w:tab w:leader="none" w:pos="5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5" w:line="130" w:lineRule="exact"/>
        <w:ind w:left="60" w:right="0" w:firstLine="0"/>
      </w:pPr>
      <w:r>
        <w:rPr>
          <w:rStyle w:val="CharStyle33"/>
          <w:u w:val="none"/>
          <w:sz w:val="13"/>
          <w:szCs w:val="13"/>
        </w:rPr>
        <w:t>Spoleřná a nerozdílná odpovědnost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170" w:line="192" w:lineRule="exact"/>
        <w:ind w:left="60" w:right="40" w:firstLine="0"/>
      </w:pPr>
      <w:r>
        <w:rPr>
          <w:rStyle w:val="CharStyle33"/>
          <w:u w:val="none"/>
          <w:sz w:val="13"/>
          <w:szCs w:val="13"/>
        </w:rPr>
        <w:t>Pokud se Hlavní držitel karty sestává ze dvou či více osob, jsou</w:t>
        <w:br/>
        <w:t>povinnosti Hlavního držitele karty společné a nerozdílné.</w:t>
      </w:r>
    </w:p>
    <w:p>
      <w:pPr>
        <w:pStyle w:val="Style29"/>
        <w:numPr>
          <w:ilvl w:val="1"/>
          <w:numId w:val="27"/>
        </w:numPr>
        <w:tabs>
          <w:tab w:leader="none" w:pos="55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73" w:line="130" w:lineRule="exact"/>
        <w:ind w:left="60" w:right="0" w:firstLine="0"/>
      </w:pPr>
      <w:r>
        <w:rPr>
          <w:rStyle w:val="CharStyle33"/>
          <w:u w:val="none"/>
          <w:sz w:val="13"/>
          <w:szCs w:val="13"/>
        </w:rPr>
        <w:t>Nadpisy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162" w:line="182" w:lineRule="exact"/>
        <w:ind w:left="60" w:right="40" w:firstLine="0"/>
      </w:pPr>
      <w:r>
        <w:rPr>
          <w:rStyle w:val="CharStyle33"/>
          <w:u w:val="none"/>
          <w:sz w:val="13"/>
          <w:szCs w:val="13"/>
        </w:rPr>
        <w:t>Nadpisy použité v těchto Podmínkách jsou zde kvůli přehlednosti a</w:t>
        <w:br/>
        <w:t>nemají vliv na jejich interpretaci.</w:t>
      </w:r>
    </w:p>
    <w:p>
      <w:pPr>
        <w:pStyle w:val="Style29"/>
        <w:numPr>
          <w:ilvl w:val="1"/>
          <w:numId w:val="27"/>
        </w:numPr>
        <w:tabs>
          <w:tab w:leader="none" w:pos="55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3" w:line="130" w:lineRule="exact"/>
        <w:ind w:left="60" w:right="0" w:firstLine="0"/>
      </w:pPr>
      <w:r>
        <w:rPr>
          <w:rStyle w:val="CharStyle33"/>
          <w:u w:val="none"/>
          <w:sz w:val="13"/>
          <w:szCs w:val="13"/>
        </w:rPr>
        <w:t>Oznámeni</w:t>
      </w:r>
    </w:p>
    <w:p>
      <w:pPr>
        <w:pStyle w:val="Style29"/>
        <w:numPr>
          <w:ilvl w:val="2"/>
          <w:numId w:val="27"/>
        </w:numPr>
        <w:tabs>
          <w:tab w:leader="none" w:pos="55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20" w:line="182" w:lineRule="exact"/>
        <w:ind w:left="60" w:right="40" w:firstLine="0"/>
      </w:pPr>
      <w:r>
        <w:rPr>
          <w:rStyle w:val="CharStyle33"/>
          <w:u w:val="none"/>
          <w:sz w:val="13"/>
          <w:szCs w:val="13"/>
        </w:rPr>
        <w:t>Kromě případů, kde je to výslovně stanoveno jinak, je oznámení,</w:t>
        <w:br/>
        <w:t>požadavek, žádost, prohlášení či jiné sděleni podle Smlouvy nebo v</w:t>
        <w:br/>
        <w:t>souvislosti s ní platné pouze tehdy, je-li vyhotoveno písemně. Fax a</w:t>
        <w:br/>
        <w:t>elektronická pošta jsou povoleny.</w:t>
      </w:r>
    </w:p>
    <w:p>
      <w:pPr>
        <w:pStyle w:val="Style29"/>
        <w:numPr>
          <w:ilvl w:val="2"/>
          <w:numId w:val="27"/>
        </w:numPr>
        <w:tabs>
          <w:tab w:leader="none" w:pos="55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20" w:line="182" w:lineRule="exact"/>
        <w:ind w:left="60" w:right="40" w:firstLine="0"/>
      </w:pPr>
      <w:r>
        <w:rPr>
          <w:rStyle w:val="CharStyle33"/>
          <w:u w:val="none"/>
          <w:sz w:val="13"/>
          <w:szCs w:val="13"/>
        </w:rPr>
        <w:t>Oznámeni, požadavky, žádosti, prohlášeni či jiná sděleni podle</w:t>
        <w:br/>
        <w:t>Smlouvy nebo v souvislosti s ní budou zaslány druhé straně na adresy</w:t>
        <w:br/>
        <w:t>nebo čísla uvedená ve Smlouvě nebo oznámená příležitostně touto</w:t>
        <w:br/>
        <w:t>stranou</w:t>
      </w:r>
    </w:p>
    <w:p>
      <w:pPr>
        <w:pStyle w:val="Style29"/>
        <w:numPr>
          <w:ilvl w:val="2"/>
          <w:numId w:val="27"/>
        </w:numPr>
        <w:tabs>
          <w:tab w:leader="none" w:pos="56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12" w:line="182" w:lineRule="exact"/>
        <w:ind w:left="60" w:right="40" w:firstLine="0"/>
      </w:pPr>
      <w:r>
        <w:rPr>
          <w:rStyle w:val="CharStyle33"/>
          <w:u w:val="none"/>
          <w:sz w:val="13"/>
          <w:szCs w:val="13"/>
        </w:rPr>
        <w:t>Jakékoliv oznámení podané podle Smlouvy je platné až po</w:t>
        <w:br/>
        <w:t>skutečném přijetí na příslušné adrese, není-li v Podmínkách uvedeno</w:t>
        <w:br/>
        <w:t>jinak.</w:t>
      </w:r>
    </w:p>
    <w:p>
      <w:pPr>
        <w:pStyle w:val="Style29"/>
        <w:numPr>
          <w:ilvl w:val="2"/>
          <w:numId w:val="27"/>
        </w:numPr>
        <w:tabs>
          <w:tab w:leader="none" w:pos="5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70" w:line="192" w:lineRule="exact"/>
        <w:ind w:left="60" w:right="40" w:firstLine="0"/>
      </w:pPr>
      <w:r>
        <w:rPr>
          <w:rStyle w:val="CharStyle33"/>
          <w:u w:val="none"/>
          <w:sz w:val="13"/>
          <w:szCs w:val="13"/>
        </w:rPr>
        <w:t>Žádné oznámeni podané podle Smlouvy nemůže být staženo či</w:t>
        <w:br/>
        <w:t>odvoláno jinak než oznámením podaným v souladu s tímto článkem</w:t>
      </w:r>
    </w:p>
    <w:p>
      <w:pPr>
        <w:pStyle w:val="Style29"/>
        <w:numPr>
          <w:ilvl w:val="1"/>
          <w:numId w:val="27"/>
        </w:numPr>
        <w:tabs>
          <w:tab w:leader="none" w:pos="47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3" w:line="130" w:lineRule="exact"/>
        <w:ind w:left="60" w:right="0" w:firstLine="0"/>
      </w:pPr>
      <w:r>
        <w:rPr>
          <w:rStyle w:val="CharStyle33"/>
          <w:u w:val="none"/>
          <w:sz w:val="13"/>
          <w:szCs w:val="13"/>
        </w:rPr>
        <w:t>Obchodni zásady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97" w:line="182" w:lineRule="exact"/>
        <w:ind w:left="60" w:right="40" w:firstLine="0"/>
      </w:pPr>
      <w:r>
        <w:rPr>
          <w:rStyle w:val="CharStyle33"/>
          <w:u w:val="none"/>
          <w:sz w:val="13"/>
          <w:szCs w:val="13"/>
        </w:rPr>
        <w:t>23.1 Hlavní držitel karty je povinen dodržovat Obchodni zásady Shell,</w:t>
        <w:br/>
        <w:t>a to zejména: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left"/>
        <w:spacing w:before="0" w:after="0" w:line="211" w:lineRule="exact"/>
        <w:ind w:left="440" w:right="40" w:hanging="380"/>
        <w:sectPr>
          <w:pgSz w:w="11990" w:h="16906"/>
          <w:pgMar w:top="0" w:left="941" w:right="566" w:bottom="538" w:header="0" w:footer="3" w:gutter="0"/>
          <w:rtlGutter w:val="0"/>
          <w:cols w:num="2" w:sep="1" w:space="809"/>
          <w:noEndnote/>
          <w:docGrid w:linePitch="360"/>
        </w:sectPr>
      </w:pPr>
      <w:r>
        <w:rPr>
          <w:rStyle w:val="CharStyle33"/>
          <w:u w:val="none"/>
          <w:sz w:val="13"/>
          <w:szCs w:val="13"/>
        </w:rPr>
        <w:t>(i) Provozovat činností podle smlouvy v souladu s následujícími</w:t>
        <w:br/>
        <w:t>Obchodními zásadami</w:t>
      </w:r>
    </w:p>
    <w:p>
      <w:pPr>
        <w:pStyle w:val="Style29"/>
        <w:numPr>
          <w:ilvl w:val="0"/>
          <w:numId w:val="29"/>
        </w:numPr>
        <w:tabs>
          <w:tab w:leader="none" w:pos="110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28" w:line="192" w:lineRule="exact"/>
        <w:ind w:left="1100" w:right="20" w:hanging="340"/>
      </w:pPr>
      <w:r>
        <w:rPr>
          <w:rStyle w:val="CharStyle46"/>
          <w:u w:val="none"/>
          <w:sz w:val="13"/>
          <w:szCs w:val="13"/>
        </w:rPr>
        <w:t>Respektovat lidská práva zaměstnanců, poskytoval</w:t>
        <w:br/>
        <w:t>dobré a bezpečné pracovní podmínky a dobré a</w:t>
        <w:br/>
        <w:t>konkurenceschopné podmínky služeb zaměstnancům</w:t>
      </w:r>
    </w:p>
    <w:p>
      <w:pPr>
        <w:pStyle w:val="Style29"/>
        <w:numPr>
          <w:ilvl w:val="0"/>
          <w:numId w:val="29"/>
        </w:numPr>
        <w:tabs>
          <w:tab w:leader="none" w:pos="111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62" w:line="182" w:lineRule="exact"/>
        <w:ind w:left="1100" w:right="20" w:hanging="340"/>
      </w:pPr>
      <w:r>
        <w:rPr>
          <w:rStyle w:val="CharStyle46"/>
          <w:u w:val="none"/>
          <w:sz w:val="13"/>
          <w:szCs w:val="13"/>
        </w:rPr>
        <w:t>Důsledné prosazovat čestnost, integritu a spravedlivost</w:t>
        <w:br/>
        <w:t>ve všech aspektech podnikání. Vyžadovat přímé i přimé</w:t>
        <w:br/>
        <w:t>nabídky úhrady a přijímání úplatků v jakékoliv formč</w:t>
        <w:br/>
        <w:t>představuji nepřípustné praktiky. Zajistit, aby se</w:t>
        <w:br/>
        <w:t>zamčstnanci se vyvarovali střetu zájmů mezi</w:t>
        <w:br/>
        <w:t>soukromými finančními aktivitami a účastní na</w:t>
        <w:br/>
        <w:t>podnikáni firmy. Zajistit, aby se veškeré obchodní</w:t>
        <w:br/>
        <w:t>transakce přesně a správné odrážely v účetnictví</w:t>
        <w:br/>
        <w:t>společnosti v souladu se zavedenými postupy a</w:t>
        <w:br/>
        <w:t>podléhaly kontrole</w:t>
      </w:r>
    </w:p>
    <w:p>
      <w:pPr>
        <w:pStyle w:val="Style29"/>
        <w:numPr>
          <w:ilvl w:val="0"/>
          <w:numId w:val="29"/>
        </w:numPr>
        <w:tabs>
          <w:tab w:leader="none" w:pos="110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5" w:line="130" w:lineRule="exact"/>
        <w:ind w:left="1100" w:right="0" w:hanging="340"/>
      </w:pPr>
      <w:r>
        <w:rPr>
          <w:rStyle w:val="CharStyle46"/>
          <w:u w:val="none"/>
          <w:sz w:val="13"/>
          <w:szCs w:val="13"/>
        </w:rPr>
        <w:t>Dodržovat platné právní předpisy.</w:t>
      </w:r>
    </w:p>
    <w:p>
      <w:pPr>
        <w:pStyle w:val="Style29"/>
        <w:numPr>
          <w:ilvl w:val="1"/>
          <w:numId w:val="29"/>
        </w:numPr>
        <w:tabs>
          <w:tab w:leader="none" w:pos="37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20" w:line="192" w:lineRule="exact"/>
        <w:ind w:left="380" w:right="20" w:hanging="360"/>
      </w:pPr>
      <w:r>
        <w:rPr>
          <w:rStyle w:val="CharStyle46"/>
          <w:u w:val="none"/>
          <w:sz w:val="13"/>
          <w:szCs w:val="13"/>
        </w:rPr>
        <w:t>Provádět činnosti řešené ve smlouvě v souladu s pokyny pro oblast</w:t>
        <w:br/>
        <w:t>zdraví, bezpečnosti a ochrany životního prostředí</w:t>
      </w:r>
    </w:p>
    <w:p>
      <w:pPr>
        <w:pStyle w:val="Style29"/>
        <w:numPr>
          <w:ilvl w:val="1"/>
          <w:numId w:val="29"/>
        </w:numPr>
        <w:tabs>
          <w:tab w:leader="none" w:pos="37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70" w:line="192" w:lineRule="exact"/>
        <w:ind w:left="380" w:right="20" w:hanging="360"/>
      </w:pPr>
      <w:r>
        <w:rPr>
          <w:rStyle w:val="CharStyle46"/>
          <w:u w:val="none"/>
          <w:sz w:val="13"/>
          <w:szCs w:val="13"/>
        </w:rPr>
        <w:t>Zachovávat právo kontrolovat všem, oprávněným subjektům, že</w:t>
        <w:br/>
        <w:t>činnosti Hlavního držitele karet, jsou v souladu s předpisy.</w:t>
      </w:r>
    </w:p>
    <w:p>
      <w:pPr>
        <w:pStyle w:val="Style29"/>
        <w:numPr>
          <w:ilvl w:val="1"/>
          <w:numId w:val="29"/>
        </w:numPr>
        <w:tabs>
          <w:tab w:leader="none" w:pos="51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15" w:line="130" w:lineRule="exact"/>
        <w:ind w:left="20" w:right="0" w:firstLine="0"/>
      </w:pPr>
      <w:r>
        <w:rPr>
          <w:rStyle w:val="CharStyle46"/>
          <w:u w:val="none"/>
          <w:sz w:val="13"/>
          <w:szCs w:val="13"/>
        </w:rPr>
        <w:t>Navazovat obchodní vztahy výhradně s bezúhonnými partnery.</w:t>
      </w:r>
    </w:p>
    <w:p>
      <w:pPr>
        <w:pStyle w:val="Style29"/>
        <w:numPr>
          <w:ilvl w:val="2"/>
          <w:numId w:val="29"/>
        </w:numPr>
        <w:tabs>
          <w:tab w:leader="none" w:pos="51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82" w:line="130" w:lineRule="exact"/>
        <w:ind w:left="20" w:right="0" w:firstLine="0"/>
      </w:pPr>
      <w:r>
        <w:rPr>
          <w:rStyle w:val="CharStyle46"/>
          <w:u w:val="none"/>
          <w:sz w:val="13"/>
          <w:szCs w:val="13"/>
        </w:rPr>
        <w:t>Okolnosti vylučující odpovědnost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162" w:line="182" w:lineRule="exact"/>
        <w:ind w:left="20" w:right="20" w:firstLine="0"/>
      </w:pPr>
      <w:r>
        <w:rPr>
          <w:rStyle w:val="CharStyle46"/>
          <w:u w:val="none"/>
          <w:sz w:val="13"/>
          <w:szCs w:val="13"/>
        </w:rPr>
        <w:t>Okolnosti, za kterých jsou strany Smlouvy zbaveny odpovědnosti plnit</w:t>
        <w:br/>
        <w:t>své povinnosti ze Smlouvy, jsou uvedeny v ust. § 374 obchodního</w:t>
        <w:br/>
        <w:t>zákoníku v platném zněni.</w:t>
      </w:r>
    </w:p>
    <w:p>
      <w:pPr>
        <w:pStyle w:val="Style29"/>
        <w:numPr>
          <w:ilvl w:val="2"/>
          <w:numId w:val="29"/>
        </w:numPr>
        <w:tabs>
          <w:tab w:leader="none" w:pos="51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82" w:line="130" w:lineRule="exact"/>
        <w:ind w:left="20" w:right="0" w:firstLine="0"/>
      </w:pPr>
      <w:r>
        <w:rPr>
          <w:rStyle w:val="CharStyle46"/>
          <w:u w:val="none"/>
          <w:sz w:val="13"/>
          <w:szCs w:val="13"/>
        </w:rPr>
        <w:t>Vzdání se práva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0" w:line="182" w:lineRule="exact"/>
        <w:ind w:left="20" w:right="20" w:firstLine="0"/>
      </w:pPr>
      <w:r>
        <w:rPr>
          <w:rStyle w:val="CharStyle46"/>
          <w:u w:val="none"/>
          <w:sz w:val="13"/>
          <w:szCs w:val="13"/>
        </w:rPr>
        <w:t>Skutečnost, že Společnost Shell někdy neuplatní jakékoliv své právo ze</w:t>
        <w:br/>
        <w:t>Smlouvy, není považována za vzdání se takového práva, pokud o tom</w:t>
        <w:br/>
        <w:t>Společnost Shell specificky písemně nepodá informaci v oznámení, které</w:t>
        <w:br/>
        <w:t>bude výslovně uvádět, že jde o vzdáni se práva.</w:t>
      </w:r>
    </w:p>
    <w:p>
      <w:pPr>
        <w:pStyle w:val="Style29"/>
        <w:numPr>
          <w:ilvl w:val="2"/>
          <w:numId w:val="29"/>
        </w:numPr>
        <w:tabs>
          <w:tab w:leader="none" w:pos="51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73" w:line="130" w:lineRule="exact"/>
        <w:ind w:left="20" w:right="0" w:firstLine="0"/>
      </w:pPr>
      <w:r>
        <w:rPr>
          <w:rStyle w:val="CharStyle46"/>
          <w:u w:val="none"/>
          <w:sz w:val="13"/>
          <w:szCs w:val="13"/>
        </w:rPr>
        <w:t>Rozhodné právo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162" w:line="182" w:lineRule="exact"/>
        <w:ind w:left="20" w:right="20" w:firstLine="0"/>
      </w:pPr>
      <w:r>
        <w:rPr>
          <w:rStyle w:val="CharStyle46"/>
          <w:u w:val="none"/>
          <w:sz w:val="13"/>
          <w:szCs w:val="13"/>
        </w:rPr>
        <w:t>Právní vztahy mezi Hlavním držitelem karty a společnosti Shell sve</w:t>
        <w:br/>
        <w:t>všech právních vztazích upravených Smlouvou a těmito VOP řídí</w:t>
        <w:br/>
        <w:t>právními předpisy České republiky, ke kolizním normám českého práva</w:t>
        <w:br/>
        <w:t>se nepřihlíží a vylučuje se i Dohoda OSN o smlouvách o mezinárodní</w:t>
        <w:br/>
        <w:t>koupi zboží.</w:t>
      </w:r>
    </w:p>
    <w:p>
      <w:pPr>
        <w:pStyle w:val="Style29"/>
        <w:numPr>
          <w:ilvl w:val="2"/>
          <w:numId w:val="29"/>
        </w:numPr>
        <w:tabs>
          <w:tab w:leader="none" w:pos="51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5" w:line="130" w:lineRule="exact"/>
        <w:ind w:left="20" w:right="0" w:firstLine="0"/>
      </w:pPr>
      <w:r>
        <w:rPr>
          <w:rStyle w:val="CharStyle46"/>
          <w:u w:val="none"/>
          <w:sz w:val="13"/>
          <w:szCs w:val="13"/>
        </w:rPr>
        <w:t>Soudní příslušnost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170" w:line="192" w:lineRule="exact"/>
        <w:ind w:left="20" w:right="20" w:firstLine="0"/>
      </w:pPr>
      <w:r>
        <w:rPr>
          <w:rStyle w:val="CharStyle46"/>
          <w:u w:val="none"/>
          <w:sz w:val="13"/>
          <w:szCs w:val="13"/>
        </w:rPr>
        <w:t>Společnost Shell a Hlavní držitel karty se v souladu se Zákonem (ust. §</w:t>
        <w:br/>
        <w:t>89a občanského soudního řádu v platném znění) dohodly, že jako soud</w:t>
        <w:br/>
        <w:t>prvého stupně je místně příslušný Obvodní soud pro Prahu 3, neni-li dána</w:t>
        <w:br/>
        <w:t>příslušnost krajského soudu, jinak Městský soud v Praze.</w:t>
      </w:r>
    </w:p>
    <w:p>
      <w:pPr>
        <w:pStyle w:val="Style29"/>
        <w:numPr>
          <w:ilvl w:val="2"/>
          <w:numId w:val="29"/>
        </w:numPr>
        <w:tabs>
          <w:tab w:leader="none" w:pos="50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73" w:line="130" w:lineRule="exact"/>
        <w:ind w:left="20" w:right="0" w:firstLine="0"/>
      </w:pPr>
      <w:r>
        <w:rPr>
          <w:rStyle w:val="CharStyle46"/>
          <w:u w:val="none"/>
          <w:sz w:val="13"/>
          <w:szCs w:val="13"/>
        </w:rPr>
        <w:t>Jazyk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162" w:line="182" w:lineRule="exact"/>
        <w:ind w:left="20" w:right="20" w:firstLine="0"/>
      </w:pPr>
      <w:r>
        <w:rPr>
          <w:rStyle w:val="CharStyle46"/>
          <w:u w:val="none"/>
          <w:sz w:val="13"/>
          <w:szCs w:val="13"/>
        </w:rPr>
        <w:t>28.1 Každé oznámení, požadavek, žádost, prohlášení či jiné sděleni</w:t>
        <w:br/>
        <w:t>podle této smlouvy nebo v souvislosti s ní bude:</w:t>
      </w:r>
    </w:p>
    <w:p>
      <w:pPr>
        <w:pStyle w:val="Style29"/>
        <w:numPr>
          <w:ilvl w:val="3"/>
          <w:numId w:val="29"/>
        </w:numPr>
        <w:tabs>
          <w:tab w:leader="none" w:pos="37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90" w:line="130" w:lineRule="exact"/>
        <w:ind w:left="20" w:right="0" w:firstLine="0"/>
      </w:pPr>
      <w:r>
        <w:rPr>
          <w:rStyle w:val="CharStyle46"/>
          <w:u w:val="none"/>
          <w:sz w:val="13"/>
          <w:szCs w:val="13"/>
        </w:rPr>
        <w:t>v češtině; nebo</w:t>
      </w:r>
    </w:p>
    <w:p>
      <w:pPr>
        <w:pStyle w:val="Style29"/>
        <w:numPr>
          <w:ilvl w:val="3"/>
          <w:numId w:val="29"/>
        </w:numPr>
        <w:tabs>
          <w:tab w:leader="none" w:pos="35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54" w:line="173" w:lineRule="exact"/>
        <w:ind w:left="360" w:right="20" w:hanging="360"/>
      </w:pPr>
      <w:r>
        <w:rPr>
          <w:rStyle w:val="CharStyle46"/>
          <w:u w:val="none"/>
          <w:sz w:val="13"/>
          <w:szCs w:val="13"/>
        </w:rPr>
        <w:t>pokud nebude v češtině, bude k němu přiložen Český překlad</w:t>
        <w:br/>
        <w:t>zhotovený oprávněným překladatelem, a jeho správnost bude</w:t>
        <w:br/>
        <w:t>potvrzena statutárním orgánem strany podávající toto oznámení.</w:t>
      </w:r>
    </w:p>
    <w:p>
      <w:pPr>
        <w:pStyle w:val="Style29"/>
        <w:numPr>
          <w:ilvl w:val="2"/>
          <w:numId w:val="29"/>
        </w:numPr>
        <w:tabs>
          <w:tab w:leader="none" w:pos="51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73" w:line="130" w:lineRule="exact"/>
        <w:ind w:left="20" w:right="0" w:firstLine="0"/>
      </w:pPr>
      <w:r>
        <w:rPr>
          <w:rStyle w:val="CharStyle46"/>
          <w:u w:val="none"/>
          <w:sz w:val="13"/>
          <w:szCs w:val="13"/>
        </w:rPr>
        <w:t>Oddělitelnost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both"/>
        <w:spacing w:before="0" w:after="0" w:line="182" w:lineRule="exact"/>
        <w:ind w:left="20" w:right="20" w:firstLine="0"/>
        <w:sectPr>
          <w:footerReference w:type="even" r:id="rId15"/>
          <w:footerReference w:type="default" r:id="rId16"/>
          <w:pgSz w:w="11990" w:h="16906"/>
          <w:pgMar w:top="0" w:left="941" w:right="566" w:bottom="538" w:header="0" w:footer="3" w:gutter="0"/>
          <w:rtlGutter w:val="0"/>
          <w:cols w:num="2" w:sep="1" w:space="809"/>
          <w:noEndnote/>
          <w:docGrid w:linePitch="360"/>
        </w:sectPr>
      </w:pPr>
      <w:r>
        <w:rPr>
          <w:rStyle w:val="CharStyle46"/>
          <w:u w:val="none"/>
          <w:sz w:val="13"/>
          <w:szCs w:val="13"/>
        </w:rPr>
        <w:t>Pokud se některé z ustanovení Smlouvy stane neplatné nebo neúčinné,</w:t>
        <w:br/>
        <w:t>nemá to vliv na platnost Smlouvy jako celku. Jednotlivá neplatná nebo</w:t>
        <w:br/>
        <w:t>neúčinná ustanovení budou nahrazena dohodou smluvních stran novými</w:t>
        <w:br/>
        <w:t>ustanoveními tak, aby co nejtěsněji a nejpřesněji odrážela úmysly a účely</w:t>
        <w:br/>
        <w:t>Smlouvy,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48" w:after="48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90" w:h="16906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left"/>
        <w:spacing w:before="0" w:after="0" w:line="130" w:lineRule="exact"/>
        <w:ind w:left="0" w:right="0" w:firstLine="0"/>
      </w:pPr>
      <w:r>
        <w:rPr>
          <w:rStyle w:val="CharStyle46"/>
          <w:u w:val="none"/>
          <w:sz w:val="13"/>
          <w:szCs w:val="13"/>
        </w:rPr>
        <w:t>V Praze dne 28. března 2012</w:t>
      </w:r>
      <w:r>
        <w:br w:type="page"/>
      </w:r>
    </w:p>
    <w:p>
      <w:pPr>
        <w:pStyle w:val="Style8"/>
        <w:widowControl w:val="0"/>
        <w:keepNext/>
        <w:keepLines/>
        <w:shd w:val="clear" w:color="auto" w:fill="auto"/>
        <w:bidi w:val="0"/>
        <w:jc w:val="left"/>
        <w:spacing w:before="0" w:after="0" w:line="240" w:lineRule="exact"/>
        <w:ind w:left="0" w:right="0" w:firstLine="0"/>
        <w:sectPr>
          <w:type w:val="continuous"/>
          <w:pgSz w:w="12048" w:h="16944"/>
          <w:pgMar w:top="326" w:left="4915" w:right="4628" w:bottom="0" w:header="0" w:footer="3" w:gutter="0"/>
          <w:rtlGutter w:val="0"/>
          <w:cols w:space="720"/>
          <w:noEndnote/>
          <w:docGrid w:linePitch="360"/>
        </w:sectPr>
      </w:pPr>
      <w:r>
        <w:pict>
          <v:shape id="_x0000_s1036" type="#_x0000_t202" style="position:absolute;margin-left:259.7pt;margin-top:20.85pt;width:47.5pt;height:8.6pt;z-index:10;mso-wrap-distance-left:5.pt;mso-wrap-distance-top:5.pt;mso-wrap-distance-right:5.pt;mso-wrap-distance-bottom:5.pt;mso-position-horizontal-relative:margin;mso-position-vertical-relative:margin" filled="0" stroked="0">
            <v:textbox style="mso-fit-shape-to-text:t" inset="0,0,0,0">
              <w:txbxContent>
                <w:p>
                  <w:pPr>
                    <w:pStyle w:val="Style1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40" w:lineRule="exact"/>
                    <w:ind w:left="0" w:right="0" w:firstLine="0"/>
                  </w:pPr>
                  <w:r>
                    <w:rPr>
                      <w:rStyle w:val="CharStyle47"/>
                      <w:lang w:val="cs"/>
                      <w:b/>
                      <w:bCs/>
                      <w:rFonts w:ascii="Times New Roman" w:eastAsia="Times New Roman" w:hAnsi="Times New Roman" w:cs="Times New Roman"/>
                      <w:w w:val="100"/>
                      <w:spacing w:val="10"/>
                      <w:color w:val="000000"/>
                      <w:position w:val="0"/>
                    </w:rPr>
                    <w:t>Příloha č. 2</w:t>
                  </w:r>
                </w:p>
              </w:txbxContent>
            </v:textbox>
            <w10:wrap type="topAndBottom" anchorx="margin" anchory="margin"/>
          </v:shape>
        </w:pict>
      </w:r>
      <w:bookmarkStart w:id="9" w:name="bookmark9"/>
      <w:r>
        <w:rPr>
          <w:rStyle w:val="CharStyle9"/>
          <w:lang w:val="cs"/>
          <w:sz w:val="24"/>
          <w:szCs w:val="24"/>
          <w:rFonts w:ascii="Times New Roman" w:eastAsia="Times New Roman" w:hAnsi="Times New Roman" w:cs="Times New Roman"/>
          <w:w w:val="100"/>
          <w:color w:val="000000"/>
          <w:position w:val="0"/>
        </w:rPr>
        <w:t>Zvláštní ujednání</w:t>
      </w:r>
      <w:bookmarkEnd w:id="9"/>
    </w:p>
    <w:p>
      <w:pPr>
        <w:widowControl w:val="0"/>
        <w:spacing w:before="29" w:after="29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2048" w:h="16944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both"/>
        <w:spacing w:before="0" w:after="241" w:line="150" w:lineRule="exact"/>
        <w:ind w:left="20" w:right="0" w:firstLine="0"/>
      </w:pPr>
      <w:r>
        <w:rPr>
          <w:rStyle w:val="CharStyle51"/>
          <w:sz w:val="15"/>
          <w:szCs w:val="15"/>
          <w:spacing w:val="10"/>
        </w:rPr>
        <w:t>1. Sleva.Ccna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20" w:right="580" w:firstLine="0"/>
      </w:pPr>
      <w:r>
        <w:rPr>
          <w:rStyle w:val="CharStyle52"/>
          <w:u w:val="none"/>
          <w:sz w:val="15"/>
          <w:szCs w:val="15"/>
        </w:rPr>
        <w:t>V souvislosti s čl.ll odst. I a s ohledem na celkový předpokládaný objem Dodávek se strany Smlouvy dohodly na</w:t>
        <w:br/>
        <w:t>poskytování slevy ve výši 0,60 Kč bez DPH na každý litr pohonných hmot odebraný na čerpacích stanicích provozovaných</w:t>
        <w:br/>
        <w:t>pod značkou Shell v České republice.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both"/>
        <w:spacing w:before="0" w:after="492" w:line="240" w:lineRule="exact"/>
        <w:ind w:left="20" w:right="580" w:firstLine="0"/>
      </w:pPr>
      <w:r>
        <w:rPr>
          <w:rStyle w:val="CharStyle52"/>
          <w:u w:val="none"/>
          <w:sz w:val="15"/>
          <w:szCs w:val="15"/>
        </w:rPr>
        <w:t>Společnost Shell je oprávněna množstevní slevu odepřít v případě, že odběr PHM Hlavního držitele karty v příslušném</w:t>
        <w:br/>
        <w:t>kalendářním měsíci bude nižší, než 80 % předpokládaného čerpání uvedeného v objednávce platebních karet.</w:t>
      </w:r>
    </w:p>
    <w:p>
      <w:pPr>
        <w:pStyle w:val="Style10"/>
        <w:numPr>
          <w:ilvl w:val="0"/>
          <w:numId w:val="31"/>
        </w:numPr>
        <w:tabs>
          <w:tab w:leader="none" w:pos="22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22" w:line="150" w:lineRule="exact"/>
        <w:ind w:left="20" w:right="0" w:firstLine="0"/>
      </w:pPr>
      <w:r>
        <w:rPr>
          <w:rStyle w:val="CharStyle51"/>
          <w:sz w:val="15"/>
          <w:szCs w:val="15"/>
          <w:spacing w:val="10"/>
        </w:rPr>
        <w:t>Fakturační období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20" w:right="0" w:firstLine="0"/>
      </w:pPr>
      <w:r>
        <w:rPr>
          <w:rStyle w:val="CharStyle52"/>
          <w:u w:val="none"/>
          <w:sz w:val="15"/>
          <w:szCs w:val="15"/>
        </w:rPr>
        <w:t>Zúčtovací interval pro fakturaci je</w:t>
      </w:r>
    </w:p>
    <w:p>
      <w:pPr>
        <w:pStyle w:val="Style12"/>
        <w:numPr>
          <w:ilvl w:val="1"/>
          <w:numId w:val="31"/>
        </w:numPr>
        <w:tabs>
          <w:tab w:leader="none" w:pos="27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20" w:right="0" w:firstLine="0"/>
      </w:pPr>
      <w:r>
        <w:rPr>
          <w:rStyle w:val="CharStyle52"/>
          <w:u w:val="none"/>
          <w:sz w:val="15"/>
          <w:szCs w:val="15"/>
        </w:rPr>
        <w:t>za Dodávky v České republice k 1. a 17.dni v měsíci.</w:t>
      </w:r>
    </w:p>
    <w:p>
      <w:pPr>
        <w:pStyle w:val="Style12"/>
        <w:numPr>
          <w:ilvl w:val="1"/>
          <w:numId w:val="31"/>
        </w:numPr>
        <w:tabs>
          <w:tab w:leader="none" w:pos="28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492" w:line="240" w:lineRule="exact"/>
        <w:ind w:left="20" w:right="0" w:firstLine="0"/>
      </w:pPr>
      <w:r>
        <w:rPr>
          <w:rStyle w:val="CharStyle52"/>
          <w:u w:val="none"/>
          <w:sz w:val="15"/>
          <w:szCs w:val="15"/>
        </w:rPr>
        <w:t>za Dodávky mimo území České republiky ve čtrnáctidenních cyklech.</w:t>
      </w:r>
    </w:p>
    <w:p>
      <w:pPr>
        <w:pStyle w:val="Style10"/>
        <w:numPr>
          <w:ilvl w:val="0"/>
          <w:numId w:val="31"/>
        </w:numPr>
        <w:tabs>
          <w:tab w:leader="none" w:pos="24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30" w:line="150" w:lineRule="exact"/>
        <w:ind w:left="20" w:right="0" w:firstLine="0"/>
      </w:pPr>
      <w:r>
        <w:rPr>
          <w:rStyle w:val="CharStyle51"/>
          <w:sz w:val="15"/>
          <w:szCs w:val="15"/>
          <w:spacing w:val="10"/>
        </w:rPr>
        <w:t>Doba splatnosti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20" w:right="0" w:firstLine="0"/>
      </w:pPr>
      <w:r>
        <w:rPr>
          <w:rStyle w:val="CharStyle52"/>
          <w:u w:val="none"/>
          <w:sz w:val="15"/>
          <w:szCs w:val="15"/>
        </w:rPr>
        <w:t>Splatnost faktury je 21 dnů ode dne jejího vystavení, datum vystavení faktury je uveden na faktuře.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484"/>
        <w:ind w:left="20" w:right="340" w:firstLine="0"/>
      </w:pPr>
      <w:r>
        <w:rPr>
          <w:rStyle w:val="CharStyle52"/>
          <w:u w:val="none"/>
          <w:sz w:val="15"/>
          <w:szCs w:val="15"/>
        </w:rPr>
        <w:t>Smluvní strany se dohodly, že pokud den splatnosti faktur}' připadne na den pracovního volna nebo klidu nebo na státní svátek,</w:t>
        <w:br/>
        <w:t>je dnem splatnosti poslední pracovní den před tímto dnem pracovního volna nebo klidu nebo státního svátku.</w:t>
      </w:r>
    </w:p>
    <w:p>
      <w:pPr>
        <w:pStyle w:val="Style10"/>
        <w:numPr>
          <w:ilvl w:val="0"/>
          <w:numId w:val="31"/>
        </w:numPr>
        <w:tabs>
          <w:tab w:leader="none" w:pos="22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304" w:line="150" w:lineRule="exact"/>
        <w:ind w:left="20" w:right="0" w:firstLine="0"/>
      </w:pPr>
      <w:r>
        <w:rPr>
          <w:rStyle w:val="CharStyle51"/>
          <w:sz w:val="15"/>
          <w:szCs w:val="15"/>
          <w:spacing w:val="10"/>
        </w:rPr>
        <w:t>Způsob platby</w:t>
      </w:r>
    </w:p>
    <w:p>
      <w:pPr>
        <w:pStyle w:val="Style12"/>
        <w:numPr>
          <w:ilvl w:val="0"/>
          <w:numId w:val="33"/>
        </w:numPr>
        <w:tabs>
          <w:tab w:leader="none" w:pos="57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474" w:line="150" w:lineRule="exact"/>
        <w:ind w:left="300" w:right="0" w:firstLine="0"/>
      </w:pPr>
      <w:r>
        <w:rPr>
          <w:rStyle w:val="CharStyle52"/>
          <w:u w:val="none"/>
          <w:sz w:val="15"/>
          <w:szCs w:val="15"/>
        </w:rPr>
        <w:t>příkazem k úhradě</w:t>
      </w:r>
    </w:p>
    <w:p>
      <w:pPr>
        <w:pStyle w:val="Style10"/>
        <w:numPr>
          <w:ilvl w:val="1"/>
          <w:numId w:val="33"/>
        </w:numPr>
        <w:tabs>
          <w:tab w:leader="none" w:pos="22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0" w:line="150" w:lineRule="exact"/>
        <w:ind w:left="20" w:right="0" w:firstLine="0"/>
      </w:pPr>
      <w:r>
        <w:rPr>
          <w:rStyle w:val="CharStyle51"/>
          <w:sz w:val="15"/>
          <w:szCs w:val="15"/>
          <w:spacing w:val="10"/>
        </w:rPr>
        <w:t>Vvše a forma zajištění</w:t>
      </w:r>
    </w:p>
    <w:p>
      <w:pPr>
        <w:pStyle w:val="Style12"/>
        <w:numPr>
          <w:ilvl w:val="0"/>
          <w:numId w:val="33"/>
        </w:numPr>
        <w:tabs>
          <w:tab w:leader="none" w:pos="57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204"/>
        <w:ind w:left="600" w:right="1120" w:hanging="300"/>
      </w:pPr>
      <w:r>
        <w:pict>
          <v:shape id="_x0000_s1037" type="#_x0000_t202" style="position:absolute;margin-left:377.45pt;margin-top:119.45pt;width:69.75pt;height:34.55pt;z-index:11;mso-wrap-distance-left:5.pt;mso-wrap-distance-top:5.pt;mso-wrap-distance-right:5.pt;mso-wrap-distance-bottom:5.pt;mso-position-horizontal-relative:margin" filled="0" stroked="0">
            <v:textbox style="mso-fit-shape-to-text:t" inset="0,0,0,0">
              <w:txbxContent>
                <w:p>
                  <w:pPr>
                    <w:pStyle w:val="Style1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/>
                    <w:ind w:left="100" w:right="0" w:firstLine="0"/>
                  </w:pPr>
                  <w:r>
                    <w:rPr>
                      <w:rStyle w:val="CharStyle48"/>
                      <w:u w:val="none"/>
                      <w:spacing w:val="0"/>
                    </w:rPr>
                    <w:t>0,- Kč</w:t>
                  </w:r>
                </w:p>
                <w:p>
                  <w:pPr>
                    <w:pStyle w:val="Style1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/>
                    <w:ind w:left="100" w:right="100" w:firstLine="0"/>
                  </w:pPr>
                  <w:r>
                    <w:rPr>
                      <w:rStyle w:val="CharStyle48"/>
                      <w:u w:val="none"/>
                      <w:spacing w:val="0"/>
                    </w:rPr>
                    <w:t>0,- Kč/měsíčně</w:t>
                    <w:br/>
                    <w:t>0,- Kč</w:t>
                  </w:r>
                </w:p>
              </w:txbxContent>
            </v:textbox>
            <w10:wrap type="square" anchorx="margin"/>
          </v:shape>
        </w:pict>
      </w:r>
      <w:r>
        <w:rPr>
          <w:rStyle w:val="CharStyle52"/>
          <w:u w:val="none"/>
          <w:sz w:val="15"/>
          <w:szCs w:val="15"/>
        </w:rPr>
        <w:t>S ohledem na ust. čl. VI odst. 1) a bodu 5 Podmínek (Příloha č.l ke Smlouvě) Společnost Shell nepožaduje po</w:t>
        <w:br/>
        <w:t>Hlavní držiteli karty zajištění.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right"/>
        <w:spacing w:before="0" w:after="20" w:line="150" w:lineRule="exact"/>
        <w:ind w:left="0" w:right="160" w:firstLine="0"/>
      </w:pPr>
      <w:r>
        <w:rPr>
          <w:rStyle w:val="CharStyle11"/>
          <w:lang w:val="cs"/>
          <w:rFonts w:ascii="Times New Roman" w:eastAsia="Times New Roman" w:hAnsi="Times New Roman" w:cs="Times New Roman"/>
          <w:w w:val="100"/>
          <w:color w:val="000000"/>
          <w:position w:val="0"/>
        </w:rPr>
        <w:t>Příloha č. 3</w:t>
      </w:r>
    </w:p>
    <w:p>
      <w:pPr>
        <w:pStyle w:val="Style8"/>
        <w:widowControl w:val="0"/>
        <w:keepNext/>
        <w:keepLines/>
        <w:shd w:val="clear" w:color="auto" w:fill="auto"/>
        <w:bidi w:val="0"/>
        <w:jc w:val="left"/>
        <w:spacing w:before="0" w:after="212" w:line="240" w:lineRule="exact"/>
        <w:ind w:left="3660" w:right="0" w:firstLine="0"/>
      </w:pPr>
      <w:bookmarkStart w:id="10" w:name="bookmark10"/>
      <w:r>
        <w:rPr>
          <w:rStyle w:val="CharStyle9"/>
          <w:lang w:val="cs"/>
          <w:sz w:val="24"/>
          <w:szCs w:val="24"/>
          <w:rFonts w:ascii="Times New Roman" w:eastAsia="Times New Roman" w:hAnsi="Times New Roman" w:cs="Times New Roman"/>
          <w:w w:val="100"/>
          <w:color w:val="000000"/>
          <w:position w:val="0"/>
        </w:rPr>
        <w:t>Ceník placených služeb</w:t>
      </w:r>
      <w:bookmarkEnd w:id="10"/>
    </w:p>
    <w:p>
      <w:pPr>
        <w:pStyle w:val="Style12"/>
        <w:numPr>
          <w:ilvl w:val="0"/>
          <w:numId w:val="35"/>
        </w:numPr>
        <w:tabs>
          <w:tab w:leader="none" w:pos="35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20" w:right="0" w:firstLine="0"/>
      </w:pPr>
      <w:r>
        <w:rPr>
          <w:rStyle w:val="CharStyle52"/>
          <w:u w:val="none"/>
          <w:sz w:val="15"/>
          <w:szCs w:val="15"/>
        </w:rPr>
        <w:t>Vydání karty</w:t>
      </w:r>
    </w:p>
    <w:p>
      <w:pPr>
        <w:pStyle w:val="Style12"/>
        <w:numPr>
          <w:ilvl w:val="0"/>
          <w:numId w:val="35"/>
        </w:numPr>
        <w:tabs>
          <w:tab w:leader="none" w:pos="38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20" w:right="0" w:firstLine="0"/>
      </w:pPr>
      <w:r>
        <w:rPr>
          <w:rStyle w:val="CharStyle52"/>
          <w:u w:val="none"/>
          <w:sz w:val="15"/>
          <w:szCs w:val="15"/>
        </w:rPr>
        <w:t>Vedení karty</w:t>
      </w:r>
    </w:p>
    <w:p>
      <w:pPr>
        <w:pStyle w:val="Style12"/>
        <w:numPr>
          <w:ilvl w:val="0"/>
          <w:numId w:val="35"/>
        </w:numPr>
        <w:tabs>
          <w:tab w:leader="none" w:pos="38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20" w:right="0" w:firstLine="0"/>
      </w:pPr>
      <w:r>
        <w:rPr>
          <w:rStyle w:val="CharStyle52"/>
          <w:u w:val="none"/>
          <w:sz w:val="15"/>
          <w:szCs w:val="15"/>
        </w:rPr>
        <w:t>Opakované zaslání PIN kódu</w:t>
      </w:r>
    </w:p>
    <w:p>
      <w:pPr>
        <w:pStyle w:val="Style12"/>
        <w:numPr>
          <w:ilvl w:val="0"/>
          <w:numId w:val="35"/>
        </w:numPr>
        <w:tabs>
          <w:tab w:leader="none" w:pos="46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00" w:right="0" w:firstLine="0"/>
      </w:pPr>
      <w:r>
        <w:pict>
          <v:shape id="_x0000_s1038" type="#_x0000_t202" style="position:absolute;margin-left:377.9pt;margin-top:10.5pt;width:69.75pt;height:47.pt;z-index:12;mso-wrap-distance-left:5.pt;mso-wrap-distance-top:5.pt;mso-wrap-distance-right:5.pt;mso-wrap-distance-bottom:5.pt;mso-position-horizontal-relative:margin" filled="0" stroked="0">
            <v:textbox style="mso-fit-shape-to-text:t" inset="0,0,0,0">
              <w:txbxContent>
                <w:p>
                  <w:pPr>
                    <w:pStyle w:val="Style4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100" w:right="0" w:firstLine="0"/>
                  </w:pPr>
                  <w:r>
                    <w:rPr>
                      <w:rStyle w:val="CharStyle50"/>
                      <w:lang w:val="cs"/>
                      <w:rFonts w:ascii="Times New Roman" w:eastAsia="Times New Roman" w:hAnsi="Times New Roman" w:cs="Times New Roman"/>
                      <w:w w:val="100"/>
                      <w:spacing w:val="0"/>
                      <w:color w:val="000000"/>
                      <w:position w:val="0"/>
                    </w:rPr>
                    <w:t>0,00 %</w:t>
                  </w:r>
                </w:p>
                <w:p>
                  <w:pPr>
                    <w:pStyle w:val="Style1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100" w:right="100" w:firstLine="0"/>
                  </w:pPr>
                  <w:r>
                    <w:rPr>
                      <w:rStyle w:val="CharStyle48"/>
                      <w:u w:val="none"/>
                      <w:spacing w:val="0"/>
                    </w:rPr>
                    <w:t>0 - 5 %</w:t>
                    <w:br/>
                    <w:t>1000,- Kč</w:t>
                    <w:br/>
                    <w:t>0,- Kč/měsíčně</w:t>
                  </w:r>
                </w:p>
              </w:txbxContent>
            </v:textbox>
            <w10:wrap type="square" anchorx="margin"/>
          </v:shape>
        </w:pict>
      </w:r>
      <w:r>
        <w:rPr>
          <w:rStyle w:val="CharStyle52"/>
          <w:u w:val="none"/>
          <w:sz w:val="15"/>
          <w:szCs w:val="15"/>
        </w:rPr>
        <w:t>Servisní poplatek z obratu nákupu na kartu: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both"/>
        <w:spacing w:before="0" w:after="0" w:line="150" w:lineRule="exact"/>
        <w:ind w:left="20" w:right="0" w:firstLine="0"/>
      </w:pPr>
      <w:r>
        <w:rPr>
          <w:rStyle w:val="CharStyle52"/>
          <w:u w:val="none"/>
          <w:sz w:val="15"/>
          <w:szCs w:val="15"/>
        </w:rPr>
        <w:t>a) na čerpacích stanicích Shell, Esso a OMV v ČR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20" w:right="0" w:firstLine="0"/>
      </w:pPr>
      <w:r>
        <w:rPr>
          <w:rStyle w:val="CharStyle52"/>
          <w:u w:val="none"/>
          <w:sz w:val="15"/>
          <w:szCs w:val="15"/>
        </w:rPr>
        <w:t>b) jinde, kde je karta přijímána</w:t>
      </w:r>
    </w:p>
    <w:p>
      <w:pPr>
        <w:pStyle w:val="Style12"/>
        <w:numPr>
          <w:ilvl w:val="0"/>
          <w:numId w:val="35"/>
        </w:numPr>
        <w:tabs>
          <w:tab w:leader="none" w:pos="38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20" w:right="0" w:firstLine="0"/>
      </w:pPr>
      <w:r>
        <w:rPr>
          <w:rStyle w:val="CharStyle52"/>
          <w:u w:val="none"/>
          <w:sz w:val="15"/>
          <w:szCs w:val="15"/>
        </w:rPr>
        <w:t>B lokace karty</w:t>
      </w:r>
    </w:p>
    <w:p>
      <w:pPr>
        <w:pStyle w:val="Style12"/>
        <w:numPr>
          <w:ilvl w:val="0"/>
          <w:numId w:val="35"/>
        </w:numPr>
        <w:tabs>
          <w:tab w:leader="none" w:pos="38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52" w:line="240" w:lineRule="exact"/>
        <w:ind w:left="20" w:right="0" w:firstLine="0"/>
      </w:pPr>
      <w:r>
        <w:rPr>
          <w:rStyle w:val="CharStyle52"/>
          <w:u w:val="none"/>
          <w:sz w:val="15"/>
          <w:szCs w:val="15"/>
        </w:rPr>
        <w:t>Poplatek za službu euroShell online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240" w:right="0" w:firstLine="0"/>
      </w:pPr>
      <w:r>
        <w:rPr>
          <w:rStyle w:val="CharStyle52"/>
          <w:u w:val="none"/>
          <w:sz w:val="15"/>
          <w:szCs w:val="15"/>
        </w:rPr>
        <w:t>Ke všem uvedeným částkám bude připočtena DPH v souladu s platným právním předpisem.</w:t>
      </w:r>
    </w:p>
    <w:sectPr>
      <w:type w:val="continuous"/>
      <w:pgSz w:w="12029" w:h="16925"/>
      <w:pgMar w:top="1387" w:left="1008" w:right="490" w:bottom="0" w:header="0" w:footer="3" w:gutter="0"/>
      <w:rtlGutter w:val="0"/>
      <w:cols w:space="720"/>
      <w:noEndnote/>
      <w:docGrid w:linePitch="360"/>
    </w:sectPr>
  </w:body>
</w:document>
</file>

<file path=word/foot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1" type="#_x0000_t202" style="position:absolute;margin-left:291.8pt;margin-top:-8.9pt;width:3.35pt;height:5.3pt;z-index:-251658748;mso-wrap-style:none;mso-wrap-distance-left:5.pt;mso-wrap-distance-top:5.pt;mso-wrap-distance-right:5.pt;mso-wrap-distance-bottom:5.pt;mso-position-horizontal-relative:page" filled="0" stroked="0">
          <v:textbox style="mso-fit-shape-to-text:t" inset="0,0,0,0">
            <w:txbxContent>
              <w:p>
                <w:pPr>
                  <w:pStyle w:val="Style34"/>
                  <w:widowControl w:val="0"/>
                  <w:keepNext w:val="0"/>
                  <w:keepLines w:val="0"/>
                  <w:shd w:val="clear" w:color="auto" w:fill="auto"/>
                  <w:bidi w:val="0"/>
                  <w:jc w:val="both"/>
                  <w:spacing w:before="0" w:after="0" w:line="240" w:lineRule="auto"/>
                  <w:ind w:left="0" w:right="0" w:firstLine="0"/>
                </w:pPr>
                <w:r>
                  <w:rPr>
                    <w:rStyle w:val="CharStyle36"/>
                    <w:lang w:val="cs"/>
                    <w:u w:val="none"/>
                  </w:rPr>
                  <w:t>3</w:t>
                </w:r>
              </w:p>
            </w:txbxContent>
          </v:textbox>
          <w10:wrap anchorx="page"/>
        </v:shape>
      </w:pict>
    </w:r>
  </w:p>
</w:hdr>
</file>

<file path=word/foot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2" type="#_x0000_t202" style="position:absolute;margin-left:291.8pt;margin-top:-8.9pt;width:3.35pt;height:5.3pt;z-index:-251658747;mso-wrap-style:none;mso-wrap-distance-left:5.pt;mso-wrap-distance-top:5.pt;mso-wrap-distance-right:5.pt;mso-wrap-distance-bottom:5.pt;mso-position-horizontal-relative:page" filled="0" stroked="0">
          <v:textbox style="mso-fit-shape-to-text:t" inset="0,0,0,0">
            <w:txbxContent>
              <w:p>
                <w:pPr>
                  <w:pStyle w:val="Style34"/>
                  <w:widowControl w:val="0"/>
                  <w:keepNext w:val="0"/>
                  <w:keepLines w:val="0"/>
                  <w:shd w:val="clear" w:color="auto" w:fill="auto"/>
                  <w:bidi w:val="0"/>
                  <w:jc w:val="both"/>
                  <w:spacing w:before="0" w:after="0" w:line="240" w:lineRule="auto"/>
                  <w:ind w:left="0" w:right="0" w:firstLine="0"/>
                </w:pPr>
                <w:r>
                  <w:rPr>
                    <w:rStyle w:val="CharStyle36"/>
                    <w:lang w:val="cs"/>
                    <w:u w:val="none"/>
                  </w:rPr>
                  <w:t>3</w:t>
                </w:r>
              </w:p>
            </w:txbxContent>
          </v:textbox>
          <w10:wrap anchorx="page"/>
        </v:shape>
      </w:pict>
    </w:r>
  </w:p>
</w:hdr>
</file>

<file path=word/foot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3" type="#_x0000_t202" style="position:absolute;margin-left:292.05pt;margin-top:-8.9pt;width:2.9pt;height:5.3pt;z-index:-251658746;mso-wrap-style:none;mso-wrap-distance-left:5.pt;mso-wrap-distance-top:5.pt;mso-wrap-distance-right:5.pt;mso-wrap-distance-bottom:5.pt;mso-position-horizontal-relative:page" filled="0" stroked="0">
          <v:textbox style="mso-fit-shape-to-text:t" inset="0,0,0,0">
            <w:txbxContent>
              <w:p>
                <w:pPr>
                  <w:pStyle w:val="Style34"/>
                  <w:widowControl w:val="0"/>
                  <w:keepNext w:val="0"/>
                  <w:keepLines w:val="0"/>
                  <w:shd w:val="clear" w:color="auto" w:fill="auto"/>
                  <w:bidi w:val="0"/>
                  <w:jc w:val="both"/>
                  <w:spacing w:before="0" w:after="0" w:line="240" w:lineRule="auto"/>
                  <w:ind w:left="0" w:right="0" w:firstLine="0"/>
                </w:pPr>
                <w:r>
                  <w:rPr>
                    <w:rStyle w:val="CharStyle36"/>
                    <w:lang w:val="cs"/>
                    <w:u w:val="none"/>
                  </w:rPr>
                  <w:t>2</w:t>
                </w:r>
              </w:p>
            </w:txbxContent>
          </v:textbox>
          <w10:wrap anchorx="page"/>
        </v:shape>
      </w:pict>
    </w:r>
  </w:p>
</w:hdr>
</file>

<file path=word/foot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4" type="#_x0000_t202" style="position:absolute;margin-left:300.75pt;margin-top:-4.8pt;width:3.35pt;height:4.8pt;z-index:-251658745;mso-wrap-style:none;mso-wrap-distance-left:5.pt;mso-wrap-distance-top:5.pt;mso-wrap-distance-right:5.pt;mso-wrap-distance-bottom:5.pt;mso-position-horizontal-relative:page" filled="0" stroked="0">
          <v:textbox style="mso-fit-shape-to-text:t" inset="0,0,0,0">
            <w:txbxContent>
              <w:p>
                <w:pPr>
                  <w:pStyle w:val="Style34"/>
                  <w:widowControl w:val="0"/>
                  <w:keepNext w:val="0"/>
                  <w:keepLines w:val="0"/>
                  <w:shd w:val="clear" w:color="auto" w:fill="auto"/>
                  <w:bidi w:val="0"/>
                  <w:jc w:val="both"/>
                  <w:spacing w:before="0" w:after="0" w:line="240" w:lineRule="auto"/>
                  <w:ind w:left="0" w:right="0" w:firstLine="0"/>
                </w:pPr>
                <w:r>
                  <w:rPr>
                    <w:rStyle w:val="CharStyle36"/>
                    <w:lang w:val="cs"/>
                    <w:u w:val="none"/>
                  </w:rPr>
                  <w:t>6</w:t>
                </w:r>
              </w:p>
            </w:txbxContent>
          </v:textbox>
          <w10:wrap anchorx="page"/>
        </v:shape>
      </w:pict>
    </w:r>
  </w:p>
</w:hdr>
</file>

<file path=word/foot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5" type="#_x0000_t202" style="position:absolute;margin-left:300.pt;margin-top:-19.9pt;width:3.35pt;height:5.3pt;z-index:-251658744;mso-wrap-style:none;mso-wrap-distance-left:5.pt;mso-wrap-distance-top:5.pt;mso-wrap-distance-right:5.pt;mso-wrap-distance-bottom:5.pt;mso-position-horizontal-relative:page" filled="0" stroked="0">
          <v:textbox style="mso-fit-shape-to-text:t" inset="0,0,0,0">
            <w:txbxContent>
              <w:p>
                <w:pPr>
                  <w:pStyle w:val="Style34"/>
                  <w:widowControl w:val="0"/>
                  <w:keepNext w:val="0"/>
                  <w:keepLines w:val="0"/>
                  <w:shd w:val="clear" w:color="auto" w:fill="auto"/>
                  <w:bidi w:val="0"/>
                  <w:jc w:val="both"/>
                  <w:spacing w:before="0" w:after="0" w:line="240" w:lineRule="auto"/>
                  <w:ind w:left="0" w:right="0" w:firstLine="0"/>
                </w:pPr>
                <w:r>
                  <w:rPr>
                    <w:rStyle w:val="CharStyle36"/>
                    <w:lang w:val="cs"/>
                    <w:u w:val="none"/>
                  </w:rPr>
                  <w:t>5</w:t>
                </w:r>
              </w:p>
            </w:txbxContent>
          </v:textbox>
          <w10:wrap anchorx="page"/>
        </v:shape>
      </w:pict>
    </w:r>
  </w:p>
</w:hdr>
</file>

<file path=word/foot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foot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footer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cs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  <w:lvl w:ilvl="1">
      <w:start w:val="2"/>
      <w:numFmt w:val="decimal"/>
      <w:lvlText w:val="%2."/>
      <w:rPr>
        <w:lang w:val="cs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."/>
      <w:rPr>
        <w:lang w:val="cs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2"/>
      <w:numFmt w:val="decimal"/>
      <w:lvlText w:val="%1."/>
      <w:rPr>
        <w:lang w:val="cs"/>
        <w:b w:val="0"/>
        <w:bCs w:val="0"/>
        <w:i w:val="0"/>
        <w:iCs w:val="0"/>
        <w:u w:val="none"/>
        <w:strike w:val="0"/>
        <w:smallCaps w:val="0"/>
        <w:sz w:val="13"/>
        <w:szCs w:val="13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  <w:lvl w:ilvl="1">
      <w:start w:val="1"/>
      <w:numFmt w:val="decimal"/>
      <w:lvlText w:val="%1.%2"/>
      <w:rPr>
        <w:lang w:val="cs"/>
        <w:b w:val="0"/>
        <w:bCs w:val="0"/>
        <w:i w:val="0"/>
        <w:iCs w:val="0"/>
        <w:u w:val="none"/>
        <w:strike w:val="0"/>
        <w:smallCaps w:val="0"/>
        <w:sz w:val="13"/>
        <w:szCs w:val="13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  <w:lvl w:ilvl="2">
      <w:start w:val="1"/>
      <w:numFmt w:val="lowerRoman"/>
      <w:lvlText w:val="(%3)"/>
      <w:rPr>
        <w:lang w:val="cs"/>
        <w:b w:val="0"/>
        <w:bCs w:val="0"/>
        <w:i w:val="0"/>
        <w:iCs w:val="0"/>
        <w:u w:val="none"/>
        <w:strike w:val="0"/>
        <w:smallCaps w:val="0"/>
        <w:sz w:val="13"/>
        <w:szCs w:val="13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4.%1"/>
      <w:rPr>
        <w:lang w:val="cs"/>
        <w:b w:val="0"/>
        <w:bCs w:val="0"/>
        <w:i w:val="0"/>
        <w:iCs w:val="0"/>
        <w:u w:val="none"/>
        <w:strike w:val="0"/>
        <w:smallCaps w:val="0"/>
        <w:sz w:val="13"/>
        <w:szCs w:val="13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  <w:lvl w:ilvl="1">
      <w:start w:val="1"/>
      <w:numFmt w:val="lowerRoman"/>
      <w:lvlText w:val="(%2)"/>
      <w:rPr>
        <w:lang w:val="cs"/>
        <w:b w:val="0"/>
        <w:bCs w:val="0"/>
        <w:i w:val="0"/>
        <w:iCs w:val="0"/>
        <w:u w:val="none"/>
        <w:strike w:val="0"/>
        <w:smallCaps w:val="0"/>
        <w:sz w:val="13"/>
        <w:szCs w:val="13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  <w:lvl w:ilvl="2">
      <w:start w:val="1"/>
      <w:numFmt w:val="lowerRoman"/>
      <w:lvlText w:val="(%3)"/>
      <w:rPr>
        <w:lang w:val="cs"/>
        <w:b w:val="0"/>
        <w:bCs w:val="0"/>
        <w:i w:val="0"/>
        <w:iCs w:val="0"/>
        <w:u w:val="none"/>
        <w:strike w:val="0"/>
        <w:smallCaps w:val="0"/>
        <w:sz w:val="13"/>
        <w:szCs w:val="13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5"/>
      <w:numFmt w:val="decimal"/>
      <w:lvlText w:val="4.%1"/>
      <w:rPr>
        <w:lang w:val="cs"/>
        <w:b w:val="0"/>
        <w:bCs w:val="0"/>
        <w:i w:val="0"/>
        <w:iCs w:val="0"/>
        <w:u w:val="none"/>
        <w:strike w:val="0"/>
        <w:smallCaps w:val="0"/>
        <w:sz w:val="13"/>
        <w:szCs w:val="13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  <w:lvl w:ilvl="1">
      <w:start w:val="1"/>
      <w:numFmt w:val="lowerRoman"/>
      <w:lvlText w:val="(%2)"/>
      <w:rPr>
        <w:lang w:val="cs"/>
        <w:b w:val="0"/>
        <w:bCs w:val="0"/>
        <w:i w:val="0"/>
        <w:iCs w:val="0"/>
        <w:u w:val="none"/>
        <w:strike w:val="0"/>
        <w:smallCaps w:val="0"/>
        <w:sz w:val="13"/>
        <w:szCs w:val="13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1"/>
      <w:numFmt w:val="decimal"/>
      <w:lvlText w:val="5.%1"/>
      <w:rPr>
        <w:lang w:val="cs"/>
        <w:b w:val="0"/>
        <w:bCs w:val="0"/>
        <w:i w:val="0"/>
        <w:iCs w:val="0"/>
        <w:u w:val="none"/>
        <w:strike w:val="0"/>
        <w:smallCaps w:val="0"/>
        <w:sz w:val="13"/>
        <w:szCs w:val="13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2">
    <w:multiLevelType w:val="multilevel"/>
    <w:lvl w:ilvl="0">
      <w:start w:val="1"/>
      <w:numFmt w:val="decimal"/>
      <w:lvlText w:val="6.%1"/>
      <w:rPr>
        <w:lang w:val="cs"/>
        <w:b w:val="0"/>
        <w:bCs w:val="0"/>
        <w:i w:val="0"/>
        <w:iCs w:val="0"/>
        <w:u w:val="none"/>
        <w:strike w:val="0"/>
        <w:smallCaps w:val="0"/>
        <w:sz w:val="13"/>
        <w:szCs w:val="13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  <w:lvl w:ilvl="1">
      <w:start w:val="1"/>
      <w:numFmt w:val="lowerRoman"/>
      <w:lvlText w:val="(%2)"/>
      <w:rPr>
        <w:lang w:val="cs"/>
        <w:b w:val="0"/>
        <w:bCs w:val="0"/>
        <w:i w:val="0"/>
        <w:iCs w:val="0"/>
        <w:u w:val="none"/>
        <w:strike w:val="0"/>
        <w:smallCaps w:val="0"/>
        <w:sz w:val="13"/>
        <w:szCs w:val="13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4">
    <w:multiLevelType w:val="multilevel"/>
    <w:lvl w:ilvl="0">
      <w:start w:val="1"/>
      <w:numFmt w:val="decimal"/>
      <w:lvlText w:val="7.%1"/>
      <w:rPr>
        <w:lang w:val="cs"/>
        <w:b w:val="0"/>
        <w:bCs w:val="0"/>
        <w:i w:val="0"/>
        <w:iCs w:val="0"/>
        <w:u w:val="none"/>
        <w:strike w:val="0"/>
        <w:smallCaps w:val="0"/>
        <w:sz w:val="13"/>
        <w:szCs w:val="13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  <w:lvl w:ilvl="1">
      <w:start w:val="8"/>
      <w:numFmt w:val="decimal"/>
      <w:lvlText w:val="%2."/>
      <w:rPr>
        <w:lang w:val="cs"/>
        <w:b w:val="0"/>
        <w:bCs w:val="0"/>
        <w:i w:val="0"/>
        <w:iCs w:val="0"/>
        <w:u w:val="none"/>
        <w:strike w:val="0"/>
        <w:smallCaps w:val="0"/>
        <w:sz w:val="13"/>
        <w:szCs w:val="13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  <w:lvl w:ilvl="2">
      <w:start w:val="1"/>
      <w:numFmt w:val="decimal"/>
      <w:lvlText w:val="%2.%3"/>
      <w:rPr>
        <w:lang w:val="cs"/>
        <w:b w:val="0"/>
        <w:bCs w:val="0"/>
        <w:i w:val="0"/>
        <w:iCs w:val="0"/>
        <w:u w:val="none"/>
        <w:strike w:val="0"/>
        <w:smallCaps w:val="0"/>
        <w:sz w:val="13"/>
        <w:szCs w:val="13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6">
    <w:multiLevelType w:val="multilevel"/>
    <w:lvl w:ilvl="0">
      <w:start w:val="1"/>
      <w:numFmt w:val="decimal"/>
      <w:lvlText w:val="12.%1"/>
      <w:rPr>
        <w:lang w:val="cs"/>
        <w:b w:val="0"/>
        <w:bCs w:val="0"/>
        <w:i w:val="0"/>
        <w:iCs w:val="0"/>
        <w:u w:val="none"/>
        <w:strike w:val="0"/>
        <w:smallCaps w:val="0"/>
        <w:sz w:val="13"/>
        <w:szCs w:val="13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  <w:lvl w:ilvl="1">
      <w:start w:val="2"/>
      <w:numFmt w:val="lowerRoman"/>
      <w:lvlText w:val="(%2)"/>
      <w:rPr>
        <w:lang w:val="cs"/>
        <w:b w:val="0"/>
        <w:bCs w:val="0"/>
        <w:i w:val="0"/>
        <w:iCs w:val="0"/>
        <w:u w:val="none"/>
        <w:strike w:val="0"/>
        <w:smallCaps w:val="0"/>
        <w:sz w:val="13"/>
        <w:szCs w:val="13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  <w:lvl w:ilvl="2">
      <w:start w:val="1"/>
      <w:numFmt w:val="lowerLetter"/>
      <w:lvlText w:val="%3)"/>
      <w:rPr>
        <w:lang w:val="cs"/>
        <w:b w:val="0"/>
        <w:bCs w:val="0"/>
        <w:i w:val="0"/>
        <w:iCs w:val="0"/>
        <w:u w:val="none"/>
        <w:strike w:val="0"/>
        <w:smallCaps w:val="0"/>
        <w:sz w:val="13"/>
        <w:szCs w:val="13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8">
    <w:multiLevelType w:val="multilevel"/>
    <w:lvl w:ilvl="0">
      <w:start w:val="1"/>
      <w:numFmt w:val="bullet"/>
      <w:lvlText w:val="■"/>
      <w:rPr>
        <w:lang w:val="cs"/>
        <w:b w:val="0"/>
        <w:bCs w:val="0"/>
        <w:i w:val="0"/>
        <w:iCs w:val="0"/>
        <w:u w:val="none"/>
        <w:strike w:val="0"/>
        <w:smallCaps w:val="0"/>
        <w:sz w:val="13"/>
        <w:szCs w:val="13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0">
    <w:multiLevelType w:val="multilevel"/>
    <w:lvl w:ilvl="0">
      <w:start w:val="2"/>
      <w:numFmt w:val="decimal"/>
      <w:lvlText w:val="13.%1"/>
      <w:rPr>
        <w:lang w:val="cs"/>
        <w:b w:val="0"/>
        <w:bCs w:val="0"/>
        <w:i w:val="0"/>
        <w:iCs w:val="0"/>
        <w:u w:val="none"/>
        <w:strike w:val="0"/>
        <w:smallCaps w:val="0"/>
        <w:sz w:val="13"/>
        <w:szCs w:val="13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  <w:lvl w:ilvl="1">
      <w:start w:val="1"/>
      <w:numFmt w:val="lowerLetter"/>
      <w:lvlText w:val="%2)"/>
      <w:rPr>
        <w:lang w:val="cs"/>
        <w:b w:val="0"/>
        <w:bCs w:val="0"/>
        <w:i w:val="0"/>
        <w:iCs w:val="0"/>
        <w:u w:val="none"/>
        <w:strike w:val="0"/>
        <w:smallCaps w:val="0"/>
        <w:sz w:val="13"/>
        <w:szCs w:val="13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2">
    <w:multiLevelType w:val="multilevel"/>
    <w:lvl w:ilvl="0">
      <w:start w:val="1"/>
      <w:numFmt w:val="decimal"/>
      <w:lvlText w:val="14.%1"/>
      <w:rPr>
        <w:lang w:val="cs"/>
        <w:b w:val="0"/>
        <w:bCs w:val="0"/>
        <w:i w:val="0"/>
        <w:iCs w:val="0"/>
        <w:u w:val="none"/>
        <w:strike w:val="0"/>
        <w:smallCaps w:val="0"/>
        <w:sz w:val="13"/>
        <w:szCs w:val="13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4">
    <w:multiLevelType w:val="multilevel"/>
    <w:lvl w:ilvl="0">
      <w:start w:val="15"/>
      <w:numFmt w:val="decimal"/>
      <w:lvlText w:val="%1."/>
      <w:rPr>
        <w:lang w:val="cs"/>
        <w:b w:val="0"/>
        <w:bCs w:val="0"/>
        <w:i w:val="0"/>
        <w:iCs w:val="0"/>
        <w:u w:val="none"/>
        <w:strike w:val="0"/>
        <w:smallCaps w:val="0"/>
        <w:sz w:val="13"/>
        <w:szCs w:val="13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  <w:lvl w:ilvl="1">
      <w:start w:val="1"/>
      <w:numFmt w:val="decimal"/>
      <w:lvlText w:val="%1.%2"/>
      <w:rPr>
        <w:lang w:val="cs"/>
        <w:b w:val="0"/>
        <w:bCs w:val="0"/>
        <w:i w:val="0"/>
        <w:iCs w:val="0"/>
        <w:u w:val="none"/>
        <w:strike w:val="0"/>
        <w:smallCaps w:val="0"/>
        <w:sz w:val="13"/>
        <w:szCs w:val="13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  <w:lvl w:ilvl="2">
      <w:start w:val="1"/>
      <w:numFmt w:val="lowerRoman"/>
      <w:lvlText w:val="(%3)"/>
      <w:rPr>
        <w:lang w:val="cs"/>
        <w:b w:val="0"/>
        <w:bCs w:val="0"/>
        <w:i w:val="0"/>
        <w:iCs w:val="0"/>
        <w:u w:val="none"/>
        <w:strike w:val="0"/>
        <w:smallCaps w:val="0"/>
        <w:sz w:val="13"/>
        <w:szCs w:val="13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6">
    <w:multiLevelType w:val="multilevel"/>
    <w:lvl w:ilvl="0">
      <w:start w:val="2"/>
      <w:numFmt w:val="lowerRoman"/>
      <w:lvlText w:val="(%1)"/>
      <w:rPr>
        <w:lang w:val="cs"/>
        <w:b w:val="0"/>
        <w:bCs w:val="0"/>
        <w:i w:val="0"/>
        <w:iCs w:val="0"/>
        <w:u w:val="none"/>
        <w:strike w:val="0"/>
        <w:smallCaps w:val="0"/>
        <w:sz w:val="13"/>
        <w:szCs w:val="13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  <w:lvl w:ilvl="1">
      <w:start w:val="17"/>
      <w:numFmt w:val="decimal"/>
      <w:lvlText w:val="%2."/>
      <w:rPr>
        <w:lang w:val="cs"/>
        <w:b w:val="0"/>
        <w:bCs w:val="0"/>
        <w:i w:val="0"/>
        <w:iCs w:val="0"/>
        <w:u w:val="none"/>
        <w:strike w:val="0"/>
        <w:smallCaps w:val="0"/>
        <w:sz w:val="13"/>
        <w:szCs w:val="13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  <w:lvl w:ilvl="2">
      <w:start w:val="1"/>
      <w:numFmt w:val="decimal"/>
      <w:lvlText w:val="%2.%3"/>
      <w:rPr>
        <w:lang w:val="cs"/>
        <w:b w:val="0"/>
        <w:bCs w:val="0"/>
        <w:i w:val="0"/>
        <w:iCs w:val="0"/>
        <w:u w:val="none"/>
        <w:strike w:val="0"/>
        <w:smallCaps w:val="0"/>
        <w:sz w:val="13"/>
        <w:szCs w:val="13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8">
    <w:multiLevelType w:val="multilevel"/>
    <w:lvl w:ilvl="0">
      <w:start w:val="1"/>
      <w:numFmt w:val="bullet"/>
      <w:lvlText w:val="■"/>
      <w:rPr>
        <w:lang w:val="cs"/>
        <w:b w:val="0"/>
        <w:bCs w:val="0"/>
        <w:i w:val="0"/>
        <w:iCs w:val="0"/>
        <w:u w:val="none"/>
        <w:strike w:val="0"/>
        <w:smallCaps w:val="0"/>
        <w:sz w:val="13"/>
        <w:szCs w:val="13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  <w:lvl w:ilvl="1">
      <w:start w:val="2"/>
      <w:numFmt w:val="lowerRoman"/>
      <w:lvlText w:val="(%2)"/>
      <w:rPr>
        <w:lang w:val="cs"/>
        <w:b w:val="0"/>
        <w:bCs w:val="0"/>
        <w:i w:val="0"/>
        <w:iCs w:val="0"/>
        <w:u w:val="none"/>
        <w:strike w:val="0"/>
        <w:smallCaps w:val="0"/>
        <w:sz w:val="13"/>
        <w:szCs w:val="13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  <w:lvl w:ilvl="2">
      <w:start w:val="24"/>
      <w:numFmt w:val="decimal"/>
      <w:lvlText w:val="%3."/>
      <w:rPr>
        <w:lang w:val="cs"/>
        <w:b w:val="0"/>
        <w:bCs w:val="0"/>
        <w:i w:val="0"/>
        <w:iCs w:val="0"/>
        <w:u w:val="none"/>
        <w:strike w:val="0"/>
        <w:smallCaps w:val="0"/>
        <w:sz w:val="13"/>
        <w:szCs w:val="13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  <w:lvl w:ilvl="3">
      <w:start w:val="1"/>
      <w:numFmt w:val="lowerRoman"/>
      <w:lvlText w:val="(%4)"/>
      <w:rPr>
        <w:lang w:val="cs"/>
        <w:b w:val="0"/>
        <w:bCs w:val="0"/>
        <w:i w:val="0"/>
        <w:iCs w:val="0"/>
        <w:u w:val="none"/>
        <w:strike w:val="0"/>
        <w:smallCaps w:val="0"/>
        <w:sz w:val="13"/>
        <w:szCs w:val="13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30">
    <w:multiLevelType w:val="multilevel"/>
    <w:lvl w:ilvl="0">
      <w:start w:val="2"/>
      <w:numFmt w:val="decimal"/>
      <w:lvlText w:val="%1."/>
      <w:rPr>
        <w:lang w:val="cs"/>
        <w:b/>
        <w:bCs/>
        <w:i w:val="0"/>
        <w:iCs w:val="0"/>
        <w:u w:val="singl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10"/>
        <w:color w:val="000000"/>
        <w:position w:val="0"/>
      </w:rPr>
    </w:lvl>
    <w:lvl w:ilvl="1">
      <w:start w:val="1"/>
      <w:numFmt w:val="lowerLetter"/>
      <w:lvlText w:val="%2)"/>
      <w:rPr>
        <w:lang w:val="cs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32">
    <w:multiLevelType w:val="multilevel"/>
    <w:lvl w:ilvl="0">
      <w:start w:val="1"/>
      <w:numFmt w:val="bullet"/>
      <w:lvlText w:val="•"/>
      <w:rPr>
        <w:lang w:val="cs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  <w:lvl w:ilvl="1">
      <w:start w:val="5"/>
      <w:numFmt w:val="decimal"/>
      <w:lvlText w:val="%2."/>
      <w:rPr>
        <w:lang w:val="cs"/>
        <w:b/>
        <w:bCs/>
        <w:i w:val="0"/>
        <w:iCs w:val="0"/>
        <w:u w:val="singl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10"/>
        <w:color w:val="000000"/>
        <w:position w:val="0"/>
      </w:rPr>
    </w:lvl>
  </w:abstractNum>
  <w:abstractNum w:abstractNumId="34">
    <w:multiLevelType w:val="multilevel"/>
    <w:lvl w:ilvl="0">
      <w:start w:val="1"/>
      <w:numFmt w:val="decimal"/>
      <w:lvlText w:val="%1."/>
      <w:rPr>
        <w:lang w:val="cs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  <w:num w:numId="27">
    <w:abstractNumId w:val="26"/>
  </w:num>
  <w:num w:numId="29">
    <w:abstractNumId w:val="28"/>
  </w:num>
  <w:num w:numId="31">
    <w:abstractNumId w:val="30"/>
  </w:num>
  <w:num w:numId="33">
    <w:abstractNumId w:val="32"/>
  </w:num>
  <w:num w:numId="35">
    <w:abstractNumId w:val="3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/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Picture caption Exact"/>
    <w:basedOn w:val="DefaultParagraphFont"/>
    <w:rPr>
      <w:b w:val="0"/>
      <w:bCs w:val="0"/>
      <w:i w:val="0"/>
      <w:iCs w:val="0"/>
      <w:u w:val="none"/>
      <w:strike w:val="0"/>
      <w:smallCaps w:val="0"/>
      <w:sz w:val="14"/>
      <w:szCs w:val="14"/>
      <w:spacing w:val="9"/>
    </w:rPr>
  </w:style>
  <w:style w:type="character" w:customStyle="1" w:styleId="CharStyle4">
    <w:name w:val="Picture caption + Spacing 0 pt Exact"/>
    <w:basedOn w:val="CharStyle20"/>
    <w:rPr>
      <w:sz w:val="14"/>
      <w:szCs w:val="14"/>
      <w:spacing w:val="4"/>
    </w:rPr>
  </w:style>
  <w:style w:type="character" w:customStyle="1" w:styleId="CharStyle6">
    <w:name w:val="Picture caption (2) Exact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17"/>
      <w:szCs w:val="17"/>
      <w:spacing w:val="-1"/>
    </w:rPr>
  </w:style>
  <w:style w:type="character" w:customStyle="1" w:styleId="CharStyle7">
    <w:name w:val="Picture caption (2) + 7 pt,Not Italic,Spacing 0 pt Exact"/>
    <w:basedOn w:val="CharStyle6"/>
    <w:rPr>
      <w:lang w:val="cs"/>
      <w:i/>
      <w:iCs/>
      <w:sz w:val="14"/>
      <w:szCs w:val="14"/>
      <w:rFonts w:ascii="Times New Roman" w:eastAsia="Times New Roman" w:hAnsi="Times New Roman" w:cs="Times New Roman"/>
      <w:w w:val="100"/>
      <w:spacing w:val="4"/>
      <w:color w:val="000000"/>
      <w:position w:val="0"/>
    </w:rPr>
  </w:style>
  <w:style w:type="character" w:customStyle="1" w:styleId="CharStyle9">
    <w:name w:val="Heading #1_"/>
    <w:basedOn w:val="DefaultParagraphFont"/>
    <w:link w:val="Style8"/>
    <w:rPr>
      <w:b w:val="0"/>
      <w:bCs w:val="0"/>
      <w:i w:val="0"/>
      <w:iCs w:val="0"/>
      <w:u w:val="none"/>
      <w:strike w:val="0"/>
      <w:smallCaps w:val="0"/>
      <w:spacing w:val="20"/>
    </w:rPr>
  </w:style>
  <w:style w:type="character" w:customStyle="1" w:styleId="CharStyle11">
    <w:name w:val="Body text (2)_"/>
    <w:basedOn w:val="DefaultParagraphFont"/>
    <w:link w:val="Style10"/>
    <w:rPr>
      <w:b w:val="0"/>
      <w:bCs w:val="0"/>
      <w:i w:val="0"/>
      <w:iCs w:val="0"/>
      <w:u w:val="none"/>
      <w:strike w:val="0"/>
      <w:smallCaps w:val="0"/>
      <w:sz w:val="15"/>
      <w:szCs w:val="15"/>
      <w:spacing w:val="10"/>
    </w:rPr>
  </w:style>
  <w:style w:type="character" w:customStyle="1" w:styleId="CharStyle13">
    <w:name w:val="Body text_"/>
    <w:basedOn w:val="DefaultParagraphFont"/>
    <w:link w:val="Style12"/>
    <w:rPr>
      <w:b w:val="0"/>
      <w:bCs w:val="0"/>
      <w:i w:val="0"/>
      <w:iCs w:val="0"/>
      <w:u w:val="none"/>
      <w:strike w:val="0"/>
      <w:smallCaps w:val="0"/>
      <w:sz w:val="15"/>
      <w:szCs w:val="15"/>
    </w:rPr>
  </w:style>
  <w:style w:type="character" w:customStyle="1" w:styleId="CharStyle14">
    <w:name w:val="Body text (2) + Spacing 3 pt"/>
    <w:basedOn w:val="CharStyle11"/>
    <w:rPr>
      <w:lang w:val="cs"/>
      <w:rFonts w:ascii="Times New Roman" w:eastAsia="Times New Roman" w:hAnsi="Times New Roman" w:cs="Times New Roman"/>
      <w:w w:val="100"/>
      <w:spacing w:val="60"/>
      <w:color w:val="000000"/>
      <w:position w:val="0"/>
    </w:rPr>
  </w:style>
  <w:style w:type="character" w:customStyle="1" w:styleId="CharStyle16">
    <w:name w:val="Heading #2_"/>
    <w:basedOn w:val="DefaultParagraphFont"/>
    <w:link w:val="Style15"/>
    <w:rPr>
      <w:b w:val="0"/>
      <w:bCs w:val="0"/>
      <w:i w:val="0"/>
      <w:iCs w:val="0"/>
      <w:u w:val="none"/>
      <w:strike w:val="0"/>
      <w:smallCaps w:val="0"/>
      <w:sz w:val="15"/>
      <w:szCs w:val="15"/>
      <w:spacing w:val="10"/>
    </w:rPr>
  </w:style>
  <w:style w:type="character" w:customStyle="1" w:styleId="CharStyle17">
    <w:name w:val="Body text + 9.5 pt,Scaling 75%"/>
    <w:basedOn w:val="CharStyle13"/>
    <w:rPr>
      <w:lang w:val="cs"/>
      <w:sz w:val="19"/>
      <w:szCs w:val="19"/>
      <w:rFonts w:ascii="Times New Roman" w:eastAsia="Times New Roman" w:hAnsi="Times New Roman" w:cs="Times New Roman"/>
      <w:w w:val="75"/>
      <w:spacing w:val="0"/>
      <w:color w:val="000000"/>
      <w:position w:val="0"/>
    </w:rPr>
  </w:style>
  <w:style w:type="character" w:customStyle="1" w:styleId="CharStyle18">
    <w:name w:val="Body text (2) + Spacing 0 pt"/>
    <w:basedOn w:val="CharStyle11"/>
    <w:rPr>
      <w:lang w:val="cs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9">
    <w:name w:val="Body text"/>
    <w:basedOn w:val="CharStyle13"/>
    <w:rPr>
      <w:lang w:val="cs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20">
    <w:name w:val="Picture caption_"/>
    <w:basedOn w:val="DefaultParagraphFont"/>
    <w:link w:val="Style2"/>
    <w:rPr>
      <w:b w:val="0"/>
      <w:bCs w:val="0"/>
      <w:i w:val="0"/>
      <w:iCs w:val="0"/>
      <w:u w:val="none"/>
      <w:strike w:val="0"/>
      <w:smallCaps w:val="0"/>
      <w:sz w:val="15"/>
      <w:szCs w:val="15"/>
    </w:rPr>
  </w:style>
  <w:style w:type="character" w:customStyle="1" w:styleId="CharStyle21">
    <w:name w:val="Picture caption"/>
    <w:basedOn w:val="CharStyle20"/>
    <w:rPr>
      <w:lang w:val="cs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23">
    <w:name w:val="Body text (3)_"/>
    <w:basedOn w:val="DefaultParagraphFont"/>
    <w:link w:val="Style22"/>
    <w:rPr>
      <w:b w:val="0"/>
      <w:bCs w:val="0"/>
      <w:i w:val="0"/>
      <w:iCs w:val="0"/>
      <w:u w:val="none"/>
      <w:strike w:val="0"/>
      <w:smallCaps w:val="0"/>
      <w:sz w:val="15"/>
      <w:szCs w:val="15"/>
    </w:rPr>
  </w:style>
  <w:style w:type="character" w:customStyle="1" w:styleId="CharStyle25">
    <w:name w:val="Body text (4)_"/>
    <w:basedOn w:val="DefaultParagraphFont"/>
    <w:link w:val="Style24"/>
    <w:rPr>
      <w:b w:val="0"/>
      <w:bCs w:val="0"/>
      <w:i w:val="0"/>
      <w:iCs w:val="0"/>
      <w:u w:val="none"/>
      <w:strike w:val="0"/>
      <w:smallCaps w:val="0"/>
      <w:sz w:val="19"/>
      <w:szCs w:val="19"/>
    </w:rPr>
  </w:style>
  <w:style w:type="character" w:customStyle="1" w:styleId="CharStyle26">
    <w:name w:val="Body text (4)"/>
    <w:basedOn w:val="CharStyle25"/>
    <w:rPr>
      <w:lang w:val="cs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28">
    <w:name w:val="Heading #1 (2)_"/>
    <w:basedOn w:val="DefaultParagraphFont"/>
    <w:link w:val="Style27"/>
    <w:rPr>
      <w:b w:val="0"/>
      <w:bCs w:val="0"/>
      <w:i w:val="0"/>
      <w:iCs w:val="0"/>
      <w:u w:val="none"/>
      <w:strike w:val="0"/>
      <w:smallCaps w:val="0"/>
      <w:sz w:val="18"/>
      <w:szCs w:val="18"/>
    </w:rPr>
  </w:style>
  <w:style w:type="character" w:customStyle="1" w:styleId="CharStyle30">
    <w:name w:val="Body text (5)_"/>
    <w:basedOn w:val="DefaultParagraphFont"/>
    <w:link w:val="Style29"/>
    <w:rPr>
      <w:b w:val="0"/>
      <w:bCs w:val="0"/>
      <w:i w:val="0"/>
      <w:iCs w:val="0"/>
      <w:u w:val="none"/>
      <w:strike w:val="0"/>
      <w:smallCaps w:val="0"/>
      <w:sz w:val="13"/>
      <w:szCs w:val="13"/>
    </w:rPr>
  </w:style>
  <w:style w:type="character" w:customStyle="1" w:styleId="CharStyle31">
    <w:name w:val="Body text Exact"/>
    <w:basedOn w:val="DefaultParagraphFont"/>
    <w:rPr>
      <w:b w:val="0"/>
      <w:bCs w:val="0"/>
      <w:i w:val="0"/>
      <w:iCs w:val="0"/>
      <w:u w:val="none"/>
      <w:strike w:val="0"/>
      <w:smallCaps w:val="0"/>
      <w:sz w:val="14"/>
      <w:szCs w:val="14"/>
      <w:spacing w:val="9"/>
    </w:rPr>
  </w:style>
  <w:style w:type="character" w:customStyle="1" w:styleId="CharStyle32">
    <w:name w:val="Body text + Spacing 1 pt Exact"/>
    <w:basedOn w:val="CharStyle13"/>
    <w:rPr>
      <w:lang w:val="cs"/>
      <w:sz w:val="14"/>
      <w:szCs w:val="14"/>
      <w:rFonts w:ascii="Times New Roman" w:eastAsia="Times New Roman" w:hAnsi="Times New Roman" w:cs="Times New Roman"/>
      <w:w w:val="100"/>
      <w:spacing w:val="35"/>
      <w:color w:val="000000"/>
      <w:position w:val="0"/>
    </w:rPr>
  </w:style>
  <w:style w:type="character" w:customStyle="1" w:styleId="CharStyle33">
    <w:name w:val="Body text (5)"/>
    <w:basedOn w:val="CharStyle30"/>
    <w:rPr>
      <w:lang w:val="cs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5">
    <w:name w:val="Header or footer_"/>
    <w:basedOn w:val="DefaultParagraphFont"/>
    <w:link w:val="Style34"/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character" w:customStyle="1" w:styleId="CharStyle36">
    <w:name w:val="Header or footer + 5.5 pt,Bold"/>
    <w:basedOn w:val="CharStyle35"/>
    <w:rPr>
      <w:b/>
      <w:bCs/>
      <w:sz w:val="11"/>
      <w:szCs w:val="11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8">
    <w:name w:val="Body text (6)_"/>
    <w:basedOn w:val="DefaultParagraphFont"/>
    <w:link w:val="Style37"/>
    <w:rPr>
      <w:b w:val="0"/>
      <w:bCs w:val="0"/>
      <w:i w:val="0"/>
      <w:iCs w:val="0"/>
      <w:u w:val="none"/>
      <w:strike w:val="0"/>
      <w:smallCaps w:val="0"/>
      <w:sz w:val="17"/>
      <w:szCs w:val="17"/>
      <w:w w:val="75"/>
    </w:rPr>
  </w:style>
  <w:style w:type="character" w:customStyle="1" w:styleId="CharStyle40">
    <w:name w:val="Body text (7)_"/>
    <w:basedOn w:val="DefaultParagraphFont"/>
    <w:link w:val="Style39"/>
    <w:rPr>
      <w:b w:val="0"/>
      <w:bCs w:val="0"/>
      <w:i w:val="0"/>
      <w:iCs w:val="0"/>
      <w:u w:val="none"/>
      <w:strike w:val="0"/>
      <w:smallCaps w:val="0"/>
      <w:sz w:val="12"/>
      <w:szCs w:val="12"/>
    </w:rPr>
  </w:style>
  <w:style w:type="character" w:customStyle="1" w:styleId="CharStyle41">
    <w:name w:val="Body text (5) + Spacing 1 pt"/>
    <w:basedOn w:val="CharStyle30"/>
    <w:rPr>
      <w:lang w:val="cs"/>
      <w:rFonts w:ascii="Times New Roman" w:eastAsia="Times New Roman" w:hAnsi="Times New Roman" w:cs="Times New Roman"/>
      <w:w w:val="100"/>
      <w:spacing w:val="30"/>
      <w:color w:val="000000"/>
      <w:position w:val="0"/>
    </w:rPr>
  </w:style>
  <w:style w:type="character" w:customStyle="1" w:styleId="CharStyle43">
    <w:name w:val="Body text (8)_"/>
    <w:basedOn w:val="DefaultParagraphFont"/>
    <w:link w:val="Style42"/>
    <w:rPr>
      <w:lang w:val="1024"/>
      <w:b w:val="0"/>
      <w:bCs w:val="0"/>
      <w:i w:val="0"/>
      <w:iCs w:val="0"/>
      <w:u w:val="none"/>
      <w:strike w:val="0"/>
      <w:smallCaps w:val="0"/>
      <w:sz w:val="12"/>
      <w:szCs w:val="12"/>
      <w:w w:val="80"/>
    </w:rPr>
  </w:style>
  <w:style w:type="character" w:customStyle="1" w:styleId="CharStyle44">
    <w:name w:val="Body text (5)"/>
    <w:basedOn w:val="CharStyle30"/>
    <w:rPr>
      <w:lang w:val="cs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45">
    <w:name w:val="Body text (5) + 8.5 pt,Scaling 75%"/>
    <w:basedOn w:val="CharStyle30"/>
    <w:rPr>
      <w:lang w:val="cs"/>
      <w:sz w:val="17"/>
      <w:szCs w:val="17"/>
      <w:rFonts w:ascii="Times New Roman" w:eastAsia="Times New Roman" w:hAnsi="Times New Roman" w:cs="Times New Roman"/>
      <w:w w:val="75"/>
      <w:spacing w:val="0"/>
      <w:color w:val="000000"/>
      <w:position w:val="0"/>
    </w:rPr>
  </w:style>
  <w:style w:type="character" w:customStyle="1" w:styleId="CharStyle46">
    <w:name w:val="Body text (5)"/>
    <w:basedOn w:val="CharStyle30"/>
    <w:rPr>
      <w:lang w:val="cs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47">
    <w:name w:val="Body text (2) Exact"/>
    <w:basedOn w:val="DefaultParagraphFont"/>
    <w:rPr>
      <w:b w:val="0"/>
      <w:bCs w:val="0"/>
      <w:i w:val="0"/>
      <w:iCs w:val="0"/>
      <w:u w:val="none"/>
      <w:strike w:val="0"/>
      <w:smallCaps w:val="0"/>
      <w:sz w:val="14"/>
      <w:szCs w:val="14"/>
      <w:spacing w:val="11"/>
    </w:rPr>
  </w:style>
  <w:style w:type="character" w:customStyle="1" w:styleId="CharStyle48">
    <w:name w:val="Body text + Spacing 0 pt Exact"/>
    <w:basedOn w:val="CharStyle13"/>
    <w:rPr>
      <w:lang w:val="cs"/>
      <w:sz w:val="14"/>
      <w:szCs w:val="14"/>
      <w:rFonts w:ascii="Times New Roman" w:eastAsia="Times New Roman" w:hAnsi="Times New Roman" w:cs="Times New Roman"/>
      <w:w w:val="100"/>
      <w:spacing w:val="8"/>
      <w:color w:val="000000"/>
      <w:position w:val="0"/>
    </w:rPr>
  </w:style>
  <w:style w:type="character" w:customStyle="1" w:styleId="CharStyle50">
    <w:name w:val="Body text (9) Exact"/>
    <w:basedOn w:val="DefaultParagraphFont"/>
    <w:link w:val="Style49"/>
    <w:rPr>
      <w:b w:val="0"/>
      <w:bCs w:val="0"/>
      <w:i w:val="0"/>
      <w:iCs w:val="0"/>
      <w:u w:val="none"/>
      <w:strike w:val="0"/>
      <w:smallCaps w:val="0"/>
      <w:sz w:val="16"/>
      <w:szCs w:val="16"/>
      <w:spacing w:val="5"/>
    </w:rPr>
  </w:style>
  <w:style w:type="character" w:customStyle="1" w:styleId="CharStyle51">
    <w:name w:val="Body text (2)"/>
    <w:basedOn w:val="CharStyle11"/>
    <w:rPr>
      <w:lang w:val="cs"/>
      <w:u w:val="single"/>
      <w:rFonts w:ascii="Times New Roman" w:eastAsia="Times New Roman" w:hAnsi="Times New Roman" w:cs="Times New Roman"/>
      <w:w w:val="100"/>
      <w:color w:val="000000"/>
      <w:position w:val="0"/>
    </w:rPr>
  </w:style>
  <w:style w:type="character" w:customStyle="1" w:styleId="CharStyle52">
    <w:name w:val="Body text"/>
    <w:basedOn w:val="CharStyle13"/>
    <w:rPr>
      <w:lang w:val="cs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paragraph" w:customStyle="1" w:styleId="Style2">
    <w:name w:val="Picture caption"/>
    <w:basedOn w:val="Normal"/>
    <w:link w:val="CharStyle20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</w:rPr>
  </w:style>
  <w:style w:type="paragraph" w:customStyle="1" w:styleId="Style5">
    <w:name w:val="Picture caption (2)"/>
    <w:basedOn w:val="Normal"/>
    <w:link w:val="CharStyle6"/>
    <w:pPr>
      <w:widowControl w:val="0"/>
      <w:shd w:val="clear" w:color="auto" w:fill="FFFFFF"/>
      <w:jc w:val="both"/>
      <w:spacing w:line="230" w:lineRule="exact"/>
    </w:pPr>
    <w:rPr>
      <w:b w:val="0"/>
      <w:bCs w:val="0"/>
      <w:i/>
      <w:iCs/>
      <w:u w:val="none"/>
      <w:strike w:val="0"/>
      <w:smallCaps w:val="0"/>
      <w:sz w:val="17"/>
      <w:szCs w:val="17"/>
      <w:spacing w:val="-1"/>
    </w:rPr>
  </w:style>
  <w:style w:type="paragraph" w:customStyle="1" w:styleId="Style8">
    <w:name w:val="Heading #1"/>
    <w:basedOn w:val="Normal"/>
    <w:link w:val="CharStyle9"/>
    <w:pPr>
      <w:widowControl w:val="0"/>
      <w:shd w:val="clear" w:color="auto" w:fill="FFFFFF"/>
      <w:jc w:val="center"/>
      <w:outlineLvl w:val="0"/>
      <w:spacing w:after="540" w:line="0" w:lineRule="exact"/>
    </w:pPr>
    <w:rPr>
      <w:b w:val="0"/>
      <w:bCs w:val="0"/>
      <w:i w:val="0"/>
      <w:iCs w:val="0"/>
      <w:u w:val="none"/>
      <w:strike w:val="0"/>
      <w:smallCaps w:val="0"/>
      <w:spacing w:val="20"/>
    </w:rPr>
  </w:style>
  <w:style w:type="paragraph" w:customStyle="1" w:styleId="Style10">
    <w:name w:val="Body text (2)"/>
    <w:basedOn w:val="Normal"/>
    <w:link w:val="CharStyle11"/>
    <w:pPr>
      <w:widowControl w:val="0"/>
      <w:shd w:val="clear" w:color="auto" w:fill="FFFFFF"/>
      <w:spacing w:before="540" w:line="230" w:lineRule="exact"/>
    </w:pPr>
    <w:rPr>
      <w:b/>
      <w:bCs/>
      <w:i w:val="0"/>
      <w:iCs w:val="0"/>
      <w:u w:val="none"/>
      <w:strike w:val="0"/>
      <w:smallCaps w:val="0"/>
      <w:sz w:val="15"/>
      <w:szCs w:val="15"/>
      <w:spacing w:val="10"/>
    </w:rPr>
  </w:style>
  <w:style w:type="paragraph" w:customStyle="1" w:styleId="Style12">
    <w:name w:val="Body text"/>
    <w:basedOn w:val="Normal"/>
    <w:link w:val="CharStyle13"/>
    <w:pPr>
      <w:widowControl w:val="0"/>
      <w:shd w:val="clear" w:color="auto" w:fill="FFFFFF"/>
      <w:spacing w:line="230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</w:rPr>
  </w:style>
  <w:style w:type="paragraph" w:customStyle="1" w:styleId="Style15">
    <w:name w:val="Heading #2"/>
    <w:basedOn w:val="Normal"/>
    <w:link w:val="CharStyle16"/>
    <w:pPr>
      <w:widowControl w:val="0"/>
      <w:shd w:val="clear" w:color="auto" w:fill="FFFFFF"/>
      <w:jc w:val="center"/>
      <w:outlineLvl w:val="1"/>
      <w:spacing w:before="480" w:line="230" w:lineRule="exact"/>
    </w:pPr>
    <w:rPr>
      <w:b/>
      <w:bCs/>
      <w:i w:val="0"/>
      <w:iCs w:val="0"/>
      <w:u w:val="none"/>
      <w:strike w:val="0"/>
      <w:smallCaps w:val="0"/>
      <w:sz w:val="15"/>
      <w:szCs w:val="15"/>
      <w:spacing w:val="10"/>
    </w:rPr>
  </w:style>
  <w:style w:type="paragraph" w:customStyle="1" w:styleId="Style22">
    <w:name w:val="Body text (3)"/>
    <w:basedOn w:val="Normal"/>
    <w:link w:val="CharStyle23"/>
    <w:pPr>
      <w:widowControl w:val="0"/>
      <w:shd w:val="clear" w:color="auto" w:fill="FFFFFF"/>
      <w:jc w:val="both"/>
      <w:spacing w:line="221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</w:rPr>
  </w:style>
  <w:style w:type="paragraph" w:customStyle="1" w:styleId="Style24">
    <w:name w:val="Body text (4)"/>
    <w:basedOn w:val="Normal"/>
    <w:link w:val="CharStyle25"/>
    <w:pPr>
      <w:widowControl w:val="0"/>
      <w:shd w:val="clear" w:color="auto" w:fill="FFFFFF"/>
      <w:spacing w:line="0" w:lineRule="exact"/>
    </w:pPr>
    <w:rPr>
      <w:b w:val="0"/>
      <w:bCs w:val="0"/>
      <w:i/>
      <w:iCs/>
      <w:u w:val="none"/>
      <w:strike w:val="0"/>
      <w:smallCaps w:val="0"/>
      <w:sz w:val="19"/>
      <w:szCs w:val="19"/>
    </w:rPr>
  </w:style>
  <w:style w:type="paragraph" w:customStyle="1" w:styleId="Style27">
    <w:name w:val="Heading #1 (2)"/>
    <w:basedOn w:val="Normal"/>
    <w:link w:val="CharStyle28"/>
    <w:pPr>
      <w:widowControl w:val="0"/>
      <w:shd w:val="clear" w:color="auto" w:fill="FFFFFF"/>
      <w:outlineLvl w:val="0"/>
      <w:spacing w:line="269" w:lineRule="exact"/>
      <w:ind w:firstLine="180"/>
    </w:pPr>
    <w:rPr>
      <w:b/>
      <w:bCs/>
      <w:i w:val="0"/>
      <w:iCs w:val="0"/>
      <w:u w:val="none"/>
      <w:strike w:val="0"/>
      <w:smallCaps w:val="0"/>
      <w:sz w:val="18"/>
      <w:szCs w:val="18"/>
    </w:rPr>
  </w:style>
  <w:style w:type="paragraph" w:customStyle="1" w:styleId="Style29">
    <w:name w:val="Body text (5)"/>
    <w:basedOn w:val="Normal"/>
    <w:link w:val="CharStyle30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3"/>
      <w:szCs w:val="13"/>
    </w:rPr>
  </w:style>
  <w:style w:type="paragraph" w:customStyle="1" w:styleId="Style34">
    <w:name w:val="Header or footer"/>
    <w:basedOn w:val="Normal"/>
    <w:link w:val="CharStyle35"/>
    <w:pPr>
      <w:widowControl w:val="0"/>
      <w:shd w:val="clear" w:color="auto" w:fill="FFFFFF"/>
    </w:pPr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paragraph" w:customStyle="1" w:styleId="Style37">
    <w:name w:val="Body text (6)"/>
    <w:basedOn w:val="Normal"/>
    <w:link w:val="CharStyle38"/>
    <w:pPr>
      <w:widowControl w:val="0"/>
      <w:shd w:val="clear" w:color="auto" w:fill="FFFFFF"/>
      <w:jc w:val="both"/>
      <w:spacing w:line="317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w w:val="75"/>
    </w:rPr>
  </w:style>
  <w:style w:type="paragraph" w:customStyle="1" w:styleId="Style39">
    <w:name w:val="Body text (7)"/>
    <w:basedOn w:val="Normal"/>
    <w:link w:val="CharStyle40"/>
    <w:pPr>
      <w:widowControl w:val="0"/>
      <w:shd w:val="clear" w:color="auto" w:fill="FFFFFF"/>
      <w:jc w:val="both"/>
      <w:spacing w:before="180" w:line="182" w:lineRule="exact"/>
    </w:pPr>
    <w:rPr>
      <w:b w:val="0"/>
      <w:bCs w:val="0"/>
      <w:i w:val="0"/>
      <w:iCs w:val="0"/>
      <w:u w:val="none"/>
      <w:strike w:val="0"/>
      <w:smallCaps w:val="0"/>
      <w:sz w:val="12"/>
      <w:szCs w:val="12"/>
    </w:rPr>
  </w:style>
  <w:style w:type="paragraph" w:customStyle="1" w:styleId="Style42">
    <w:name w:val="Body text (8)"/>
    <w:basedOn w:val="Normal"/>
    <w:link w:val="CharStyle43"/>
    <w:pPr>
      <w:widowControl w:val="0"/>
      <w:shd w:val="clear" w:color="auto" w:fill="FFFFFF"/>
      <w:spacing w:line="0" w:lineRule="exact"/>
    </w:pPr>
    <w:rPr>
      <w:lang w:val="1024"/>
      <w:b w:val="0"/>
      <w:bCs w:val="0"/>
      <w:i/>
      <w:iCs/>
      <w:u w:val="none"/>
      <w:strike w:val="0"/>
      <w:smallCaps w:val="0"/>
      <w:sz w:val="12"/>
      <w:szCs w:val="12"/>
      <w:w w:val="80"/>
    </w:rPr>
  </w:style>
  <w:style w:type="paragraph" w:customStyle="1" w:styleId="Style49">
    <w:name w:val="Body text (9)"/>
    <w:basedOn w:val="Normal"/>
    <w:link w:val="CharStyle50"/>
    <w:pPr>
      <w:widowControl w:val="0"/>
      <w:shd w:val="clear" w:color="auto" w:fill="FFFFFF"/>
      <w:spacing w:line="230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spacing w:val="5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footer" Target="footer6.xml"/><Relationship Id="rId15" Type="http://schemas.openxmlformats.org/officeDocument/2006/relationships/footer" Target="footer7.xml"/><Relationship Id="rId16" Type="http://schemas.openxmlformats.org/officeDocument/2006/relationships/footer" Target="footer8.xml"/></Relationships>
</file>