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DC7197" w14:textId="77777777" w:rsidR="00970D4F" w:rsidRPr="008C2C25" w:rsidRDefault="00970D4F" w:rsidP="007B6C6C">
      <w:pPr>
        <w:pStyle w:val="Nzev"/>
        <w:spacing w:before="240"/>
        <w:jc w:val="center"/>
        <w:rPr>
          <w:sz w:val="44"/>
          <w:szCs w:val="44"/>
        </w:rPr>
      </w:pPr>
      <w:r w:rsidRPr="008C2C25">
        <w:rPr>
          <w:sz w:val="44"/>
          <w:szCs w:val="44"/>
        </w:rPr>
        <w:t xml:space="preserve">Dodatek č. </w:t>
      </w:r>
      <w:r w:rsidR="00A506B0" w:rsidRPr="008C2C25">
        <w:rPr>
          <w:sz w:val="44"/>
          <w:szCs w:val="44"/>
        </w:rPr>
        <w:t>1</w:t>
      </w:r>
    </w:p>
    <w:p w14:paraId="14FE7FC1" w14:textId="77777777" w:rsidR="00970D4F" w:rsidRPr="008C2C25" w:rsidRDefault="00970D4F" w:rsidP="00970D4F">
      <w:pPr>
        <w:pStyle w:val="Nzev"/>
        <w:jc w:val="center"/>
        <w:rPr>
          <w:rFonts w:cs="Segoe UI"/>
          <w:b/>
          <w:sz w:val="44"/>
          <w:szCs w:val="44"/>
        </w:rPr>
      </w:pPr>
      <w:r w:rsidRPr="008C2C25">
        <w:rPr>
          <w:sz w:val="44"/>
          <w:szCs w:val="44"/>
        </w:rPr>
        <w:t xml:space="preserve">ke Smlouvě číslo </w:t>
      </w:r>
      <w:r w:rsidR="00A506B0" w:rsidRPr="008C2C25">
        <w:rPr>
          <w:sz w:val="44"/>
          <w:szCs w:val="44"/>
        </w:rPr>
        <w:t>20/108-0</w:t>
      </w:r>
    </w:p>
    <w:p w14:paraId="0277D70C" w14:textId="77777777" w:rsidR="005D4B93" w:rsidRPr="008C2C25" w:rsidRDefault="005D4B93" w:rsidP="004A6689">
      <w:r w:rsidRPr="008C2C25">
        <w:t xml:space="preserve"> </w:t>
      </w:r>
    </w:p>
    <w:p w14:paraId="4A81A939" w14:textId="77777777" w:rsidR="004A6689" w:rsidRPr="008C2C25" w:rsidRDefault="004A6689" w:rsidP="009B02BF">
      <w:pPr>
        <w:jc w:val="both"/>
      </w:pPr>
    </w:p>
    <w:p w14:paraId="6B45BC95" w14:textId="77777777" w:rsidR="009B02BF" w:rsidRPr="008C2C25" w:rsidRDefault="009B02BF" w:rsidP="009F6487">
      <w:pPr>
        <w:jc w:val="center"/>
      </w:pPr>
      <w:r w:rsidRPr="008C2C25">
        <w:t>Dnešního dne uzavřely smluvní strany:</w:t>
      </w:r>
    </w:p>
    <w:p w14:paraId="6D609EE8" w14:textId="77777777" w:rsidR="009B02BF" w:rsidRPr="008C2C25" w:rsidRDefault="009B02BF" w:rsidP="009B02BF"/>
    <w:p w14:paraId="2EBD1102" w14:textId="77777777" w:rsidR="009F6487" w:rsidRPr="008C2C25" w:rsidRDefault="009B02BF" w:rsidP="009B02BF">
      <w:pPr>
        <w:jc w:val="both"/>
        <w:rPr>
          <w:b/>
        </w:rPr>
      </w:pPr>
      <w:r w:rsidRPr="008C2C25">
        <w:rPr>
          <w:b/>
        </w:rPr>
        <w:t>ALVAO s.r.o.</w:t>
      </w:r>
    </w:p>
    <w:p w14:paraId="264254C4" w14:textId="77777777" w:rsidR="009F6487" w:rsidRPr="008C2C25" w:rsidRDefault="009B02BF" w:rsidP="00511A2E">
      <w:pPr>
        <w:spacing w:after="0" w:line="276" w:lineRule="auto"/>
        <w:jc w:val="both"/>
      </w:pPr>
      <w:r w:rsidRPr="008C2C25">
        <w:t xml:space="preserve">se sídlem Hlohová 1455/10, Žďár nad Sázavou 5, 591 01 Žďár nad Sázavou, </w:t>
      </w:r>
      <w:r w:rsidR="00794A8F" w:rsidRPr="008C2C25">
        <w:t>zapsaná v obchodním rejstříku vedeném Krajským soudem v Brně, sp. zn. C 33290,</w:t>
      </w:r>
    </w:p>
    <w:tbl>
      <w:tblPr>
        <w:tblpPr w:leftFromText="141" w:rightFromText="141" w:vertAnchor="text" w:horzAnchor="margin" w:tblpY="332"/>
        <w:tblW w:w="5000" w:type="pct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1985"/>
        <w:gridCol w:w="3545"/>
        <w:gridCol w:w="1560"/>
        <w:gridCol w:w="843"/>
      </w:tblGrid>
      <w:tr w:rsidR="008C2C25" w:rsidRPr="008C2C25" w14:paraId="73D403E0" w14:textId="77777777" w:rsidTr="00BA17DB">
        <w:trPr>
          <w:trHeight w:val="82"/>
        </w:trPr>
        <w:tc>
          <w:tcPr>
            <w:tcW w:w="623" w:type="pct"/>
            <w:shd w:val="clear" w:color="auto" w:fill="auto"/>
            <w:noWrap/>
            <w:vAlign w:val="bottom"/>
          </w:tcPr>
          <w:p w14:paraId="59BAB147" w14:textId="77777777" w:rsidR="00BA17DB" w:rsidRPr="008C2C25" w:rsidRDefault="00BA17DB" w:rsidP="00BA17DB">
            <w:pPr>
              <w:spacing w:after="0" w:line="240" w:lineRule="auto"/>
              <w:jc w:val="center"/>
              <w:rPr>
                <w:rFonts w:eastAsia="Times New Roman" w:cs="Segoe UI"/>
                <w:sz w:val="20"/>
                <w:szCs w:val="20"/>
              </w:rPr>
            </w:pPr>
            <w:r w:rsidRPr="008C2C25">
              <w:rPr>
                <w:rFonts w:eastAsia="Times New Roman" w:cs="Segoe UI"/>
                <w:sz w:val="20"/>
                <w:szCs w:val="20"/>
              </w:rPr>
              <w:t>Banka</w:t>
            </w:r>
          </w:p>
        </w:tc>
        <w:tc>
          <w:tcPr>
            <w:tcW w:w="1095" w:type="pct"/>
            <w:vAlign w:val="bottom"/>
          </w:tcPr>
          <w:p w14:paraId="6A2FD4F8" w14:textId="77777777" w:rsidR="00BA17DB" w:rsidRPr="008C2C25" w:rsidRDefault="00BA17DB" w:rsidP="00BA17DB">
            <w:pPr>
              <w:spacing w:after="0" w:line="240" w:lineRule="auto"/>
              <w:jc w:val="center"/>
              <w:rPr>
                <w:rFonts w:eastAsia="Times New Roman" w:cs="Segoe UI"/>
                <w:sz w:val="20"/>
                <w:szCs w:val="20"/>
              </w:rPr>
            </w:pPr>
            <w:r w:rsidRPr="008C2C25">
              <w:rPr>
                <w:rFonts w:eastAsia="Times New Roman" w:cs="Segoe UI"/>
                <w:sz w:val="20"/>
                <w:szCs w:val="20"/>
              </w:rPr>
              <w:t>Číslo účtu</w:t>
            </w:r>
          </w:p>
        </w:tc>
        <w:tc>
          <w:tcPr>
            <w:tcW w:w="1956" w:type="pct"/>
          </w:tcPr>
          <w:p w14:paraId="480A28AD" w14:textId="77777777" w:rsidR="00BA17DB" w:rsidRPr="008C2C25" w:rsidRDefault="00BA17DB" w:rsidP="00BA17DB">
            <w:pPr>
              <w:spacing w:after="0" w:line="240" w:lineRule="auto"/>
              <w:jc w:val="center"/>
              <w:rPr>
                <w:rFonts w:eastAsia="Times New Roman" w:cs="Segoe UI"/>
                <w:sz w:val="20"/>
                <w:szCs w:val="20"/>
              </w:rPr>
            </w:pPr>
            <w:r w:rsidRPr="008C2C25">
              <w:rPr>
                <w:rFonts w:eastAsia="Times New Roman" w:cs="Segoe UI"/>
                <w:sz w:val="20"/>
                <w:szCs w:val="20"/>
              </w:rPr>
              <w:t>IBAN</w:t>
            </w:r>
          </w:p>
        </w:tc>
        <w:tc>
          <w:tcPr>
            <w:tcW w:w="861" w:type="pct"/>
          </w:tcPr>
          <w:p w14:paraId="48C754FB" w14:textId="77777777" w:rsidR="00BA17DB" w:rsidRPr="008C2C25" w:rsidRDefault="00BA17DB" w:rsidP="00BA17DB">
            <w:pPr>
              <w:spacing w:after="0" w:line="240" w:lineRule="auto"/>
              <w:jc w:val="center"/>
              <w:rPr>
                <w:rFonts w:eastAsia="Times New Roman" w:cs="Segoe UI"/>
                <w:sz w:val="20"/>
                <w:szCs w:val="20"/>
              </w:rPr>
            </w:pPr>
            <w:r w:rsidRPr="008C2C25">
              <w:rPr>
                <w:rFonts w:eastAsia="Times New Roman" w:cs="Segoe UI"/>
                <w:sz w:val="20"/>
                <w:szCs w:val="20"/>
              </w:rPr>
              <w:t>BIC/SWITF</w:t>
            </w:r>
          </w:p>
        </w:tc>
        <w:tc>
          <w:tcPr>
            <w:tcW w:w="465" w:type="pct"/>
            <w:shd w:val="clear" w:color="auto" w:fill="auto"/>
            <w:vAlign w:val="bottom"/>
          </w:tcPr>
          <w:p w14:paraId="2213FCC0" w14:textId="77777777" w:rsidR="00BA17DB" w:rsidRPr="008C2C25" w:rsidRDefault="00BA17DB" w:rsidP="00BA17DB">
            <w:pPr>
              <w:spacing w:after="0" w:line="240" w:lineRule="auto"/>
              <w:jc w:val="center"/>
              <w:rPr>
                <w:rFonts w:eastAsia="Times New Roman" w:cs="Segoe UI"/>
                <w:sz w:val="20"/>
                <w:szCs w:val="20"/>
              </w:rPr>
            </w:pPr>
            <w:r w:rsidRPr="008C2C25">
              <w:rPr>
                <w:rFonts w:eastAsia="Times New Roman" w:cs="Segoe UI"/>
                <w:sz w:val="20"/>
                <w:szCs w:val="20"/>
              </w:rPr>
              <w:t>Měna</w:t>
            </w:r>
          </w:p>
        </w:tc>
      </w:tr>
      <w:tr w:rsidR="008C2C25" w:rsidRPr="008C2C25" w14:paraId="07732822" w14:textId="77777777" w:rsidTr="00BA17DB">
        <w:trPr>
          <w:trHeight w:val="288"/>
        </w:trPr>
        <w:tc>
          <w:tcPr>
            <w:tcW w:w="623" w:type="pct"/>
            <w:shd w:val="clear" w:color="auto" w:fill="auto"/>
            <w:vAlign w:val="center"/>
          </w:tcPr>
          <w:p w14:paraId="27A59612" w14:textId="77777777" w:rsidR="00BA17DB" w:rsidRPr="008C2C25" w:rsidRDefault="00BA17DB" w:rsidP="00BA17DB">
            <w:pPr>
              <w:spacing w:after="0" w:line="240" w:lineRule="auto"/>
              <w:rPr>
                <w:rFonts w:eastAsia="Times New Roman" w:cs="Segoe UI"/>
                <w:sz w:val="20"/>
                <w:szCs w:val="20"/>
              </w:rPr>
            </w:pPr>
            <w:r w:rsidRPr="008C2C25">
              <w:rPr>
                <w:rFonts w:eastAsia="Times New Roman" w:cs="Segoe UI"/>
                <w:sz w:val="20"/>
                <w:szCs w:val="20"/>
              </w:rPr>
              <w:t>ČSOB</w:t>
            </w:r>
            <w:r w:rsidR="00D45903" w:rsidRPr="008C2C25">
              <w:rPr>
                <w:rFonts w:eastAsia="Times New Roman" w:cs="Segoe UI"/>
                <w:sz w:val="20"/>
                <w:szCs w:val="20"/>
              </w:rPr>
              <w:t>,</w:t>
            </w:r>
            <w:r w:rsidRPr="008C2C25">
              <w:rPr>
                <w:rFonts w:eastAsia="Times New Roman" w:cs="Segoe UI"/>
                <w:sz w:val="20"/>
                <w:szCs w:val="20"/>
              </w:rPr>
              <w:t xml:space="preserve"> a.s.</w:t>
            </w:r>
          </w:p>
        </w:tc>
        <w:tc>
          <w:tcPr>
            <w:tcW w:w="1095" w:type="pct"/>
            <w:vAlign w:val="center"/>
          </w:tcPr>
          <w:p w14:paraId="167B0762" w14:textId="77777777" w:rsidR="00BA17DB" w:rsidRPr="008C2C25" w:rsidRDefault="00BA17DB" w:rsidP="00BA17DB">
            <w:pPr>
              <w:spacing w:after="0" w:line="240" w:lineRule="auto"/>
              <w:jc w:val="center"/>
              <w:rPr>
                <w:rFonts w:eastAsia="Times New Roman" w:cs="Segoe UI"/>
                <w:sz w:val="20"/>
                <w:szCs w:val="20"/>
              </w:rPr>
            </w:pPr>
            <w:r w:rsidRPr="008C2C25">
              <w:rPr>
                <w:rFonts w:eastAsia="Times New Roman" w:cs="Segoe UI"/>
                <w:sz w:val="20"/>
                <w:szCs w:val="20"/>
              </w:rPr>
              <w:t>154486226/0300</w:t>
            </w:r>
          </w:p>
        </w:tc>
        <w:tc>
          <w:tcPr>
            <w:tcW w:w="1956" w:type="pct"/>
            <w:vAlign w:val="center"/>
          </w:tcPr>
          <w:p w14:paraId="08D70216" w14:textId="77777777" w:rsidR="00BA17DB" w:rsidRPr="008C2C25" w:rsidRDefault="00BA17DB" w:rsidP="00BA17DB">
            <w:pPr>
              <w:spacing w:after="0" w:line="240" w:lineRule="auto"/>
              <w:jc w:val="center"/>
              <w:rPr>
                <w:rFonts w:eastAsia="Times New Roman" w:cs="Segoe UI"/>
                <w:sz w:val="20"/>
                <w:szCs w:val="20"/>
              </w:rPr>
            </w:pPr>
            <w:r w:rsidRPr="008C2C25">
              <w:rPr>
                <w:rFonts w:eastAsia="Times New Roman" w:cs="Segoe UI"/>
                <w:sz w:val="20"/>
                <w:szCs w:val="20"/>
              </w:rPr>
              <w:t>CZ83 0300 0000 0001 5448 6226</w:t>
            </w:r>
          </w:p>
        </w:tc>
        <w:tc>
          <w:tcPr>
            <w:tcW w:w="861" w:type="pct"/>
            <w:vAlign w:val="center"/>
          </w:tcPr>
          <w:p w14:paraId="3B77C468" w14:textId="77777777" w:rsidR="00BA17DB" w:rsidRPr="008C2C25" w:rsidRDefault="00BA17DB" w:rsidP="00BA17DB">
            <w:pPr>
              <w:spacing w:after="0" w:line="240" w:lineRule="auto"/>
              <w:jc w:val="center"/>
              <w:rPr>
                <w:rFonts w:eastAsia="Times New Roman" w:cs="Segoe UI"/>
                <w:sz w:val="20"/>
                <w:szCs w:val="20"/>
              </w:rPr>
            </w:pPr>
            <w:r w:rsidRPr="008C2C25">
              <w:rPr>
                <w:rFonts w:eastAsia="Times New Roman" w:cs="Segoe UI"/>
                <w:sz w:val="20"/>
                <w:szCs w:val="20"/>
              </w:rPr>
              <w:t>CEKOCZPP</w:t>
            </w: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7CB6AF61" w14:textId="77777777" w:rsidR="00BA17DB" w:rsidRPr="008C2C25" w:rsidRDefault="00BA17DB" w:rsidP="00BA17DB">
            <w:pPr>
              <w:spacing w:after="0" w:line="240" w:lineRule="auto"/>
              <w:jc w:val="center"/>
              <w:rPr>
                <w:rFonts w:eastAsia="Times New Roman" w:cs="Segoe UI"/>
                <w:sz w:val="20"/>
                <w:szCs w:val="20"/>
              </w:rPr>
            </w:pPr>
            <w:r w:rsidRPr="008C2C25">
              <w:rPr>
                <w:rFonts w:eastAsia="Times New Roman" w:cs="Segoe UI"/>
                <w:sz w:val="20"/>
                <w:szCs w:val="20"/>
              </w:rPr>
              <w:t>CZK</w:t>
            </w:r>
          </w:p>
        </w:tc>
      </w:tr>
      <w:tr w:rsidR="008C2C25" w:rsidRPr="008C2C25" w14:paraId="08ECFA5C" w14:textId="77777777" w:rsidTr="00BA17DB">
        <w:trPr>
          <w:trHeight w:val="278"/>
        </w:trPr>
        <w:tc>
          <w:tcPr>
            <w:tcW w:w="623" w:type="pct"/>
            <w:shd w:val="clear" w:color="auto" w:fill="auto"/>
            <w:vAlign w:val="center"/>
          </w:tcPr>
          <w:p w14:paraId="67D7589F" w14:textId="77777777" w:rsidR="00BA17DB" w:rsidRPr="008C2C25" w:rsidRDefault="00BA17DB" w:rsidP="00BA17DB">
            <w:pPr>
              <w:spacing w:after="0" w:line="240" w:lineRule="auto"/>
              <w:rPr>
                <w:rFonts w:eastAsia="Times New Roman" w:cs="Segoe UI"/>
                <w:sz w:val="20"/>
                <w:szCs w:val="20"/>
              </w:rPr>
            </w:pPr>
            <w:r w:rsidRPr="008C2C25">
              <w:rPr>
                <w:rFonts w:eastAsia="Times New Roman" w:cs="Segoe UI"/>
                <w:sz w:val="20"/>
                <w:szCs w:val="20"/>
              </w:rPr>
              <w:t>ČSOB</w:t>
            </w:r>
            <w:r w:rsidR="00D45903" w:rsidRPr="008C2C25">
              <w:rPr>
                <w:rFonts w:eastAsia="Times New Roman" w:cs="Segoe UI"/>
                <w:sz w:val="20"/>
                <w:szCs w:val="20"/>
              </w:rPr>
              <w:t>,</w:t>
            </w:r>
            <w:r w:rsidRPr="008C2C25">
              <w:rPr>
                <w:rFonts w:eastAsia="Times New Roman" w:cs="Segoe UI"/>
                <w:sz w:val="20"/>
                <w:szCs w:val="20"/>
              </w:rPr>
              <w:t xml:space="preserve"> a.s.</w:t>
            </w:r>
          </w:p>
        </w:tc>
        <w:tc>
          <w:tcPr>
            <w:tcW w:w="1095" w:type="pct"/>
            <w:vAlign w:val="center"/>
          </w:tcPr>
          <w:p w14:paraId="4B6FB569" w14:textId="77777777" w:rsidR="00BA17DB" w:rsidRPr="008C2C25" w:rsidRDefault="00BA17DB" w:rsidP="00BA17DB">
            <w:pPr>
              <w:spacing w:after="0" w:line="240" w:lineRule="auto"/>
              <w:jc w:val="center"/>
              <w:rPr>
                <w:rFonts w:eastAsia="Times New Roman" w:cs="Segoe UI"/>
                <w:sz w:val="20"/>
                <w:szCs w:val="20"/>
              </w:rPr>
            </w:pPr>
            <w:r w:rsidRPr="008C2C25">
              <w:rPr>
                <w:rFonts w:eastAsia="Times New Roman" w:cs="Segoe UI"/>
                <w:sz w:val="20"/>
                <w:szCs w:val="20"/>
              </w:rPr>
              <w:t>288237049/0300</w:t>
            </w:r>
          </w:p>
        </w:tc>
        <w:tc>
          <w:tcPr>
            <w:tcW w:w="1956" w:type="pct"/>
            <w:vAlign w:val="center"/>
          </w:tcPr>
          <w:p w14:paraId="178F5B55" w14:textId="77777777" w:rsidR="00BA17DB" w:rsidRPr="008C2C25" w:rsidRDefault="00BA17DB" w:rsidP="00BA17DB">
            <w:pPr>
              <w:spacing w:after="0" w:line="240" w:lineRule="auto"/>
              <w:jc w:val="center"/>
              <w:rPr>
                <w:rFonts w:eastAsia="Times New Roman" w:cs="Segoe UI"/>
                <w:sz w:val="20"/>
                <w:szCs w:val="20"/>
              </w:rPr>
            </w:pPr>
            <w:r w:rsidRPr="008C2C25">
              <w:rPr>
                <w:rFonts w:eastAsia="Times New Roman" w:cs="Segoe UI"/>
                <w:sz w:val="20"/>
                <w:szCs w:val="20"/>
              </w:rPr>
              <w:t>CZ32 0300 0000 0002 8823 7049</w:t>
            </w:r>
          </w:p>
        </w:tc>
        <w:tc>
          <w:tcPr>
            <w:tcW w:w="861" w:type="pct"/>
            <w:vAlign w:val="center"/>
          </w:tcPr>
          <w:p w14:paraId="71AF8BB7" w14:textId="77777777" w:rsidR="00BA17DB" w:rsidRPr="008C2C25" w:rsidRDefault="00BA17DB" w:rsidP="00BA17DB">
            <w:pPr>
              <w:spacing w:after="0" w:line="240" w:lineRule="auto"/>
              <w:jc w:val="center"/>
              <w:rPr>
                <w:rFonts w:eastAsia="Times New Roman" w:cs="Segoe UI"/>
                <w:sz w:val="20"/>
                <w:szCs w:val="20"/>
              </w:rPr>
            </w:pPr>
            <w:r w:rsidRPr="008C2C25">
              <w:rPr>
                <w:rFonts w:eastAsia="Times New Roman" w:cs="Segoe UI"/>
                <w:sz w:val="20"/>
                <w:szCs w:val="20"/>
              </w:rPr>
              <w:t>CEKOCZPP</w:t>
            </w: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768FE263" w14:textId="77777777" w:rsidR="00BA17DB" w:rsidRPr="008C2C25" w:rsidRDefault="00BA17DB" w:rsidP="00BA17DB">
            <w:pPr>
              <w:spacing w:after="0" w:line="240" w:lineRule="auto"/>
              <w:jc w:val="center"/>
              <w:rPr>
                <w:rFonts w:eastAsia="Times New Roman" w:cs="Segoe UI"/>
                <w:sz w:val="20"/>
                <w:szCs w:val="20"/>
              </w:rPr>
            </w:pPr>
            <w:r w:rsidRPr="008C2C25">
              <w:rPr>
                <w:rFonts w:eastAsia="Times New Roman" w:cs="Segoe UI"/>
                <w:sz w:val="20"/>
                <w:szCs w:val="20"/>
              </w:rPr>
              <w:t>EUR</w:t>
            </w:r>
          </w:p>
        </w:tc>
      </w:tr>
    </w:tbl>
    <w:p w14:paraId="064D61C9" w14:textId="77777777" w:rsidR="00794A8F" w:rsidRPr="008C2C25" w:rsidRDefault="009B02BF" w:rsidP="00511A2E">
      <w:pPr>
        <w:spacing w:after="0" w:line="276" w:lineRule="auto"/>
        <w:jc w:val="both"/>
        <w:rPr>
          <w:rFonts w:cs="Segoe UI"/>
          <w:szCs w:val="20"/>
        </w:rPr>
      </w:pPr>
      <w:r w:rsidRPr="008C2C25">
        <w:t xml:space="preserve">IČO: 25561561, </w:t>
      </w:r>
      <w:r w:rsidR="00794A8F" w:rsidRPr="008C2C25">
        <w:rPr>
          <w:rFonts w:cs="Segoe UI"/>
          <w:szCs w:val="20"/>
        </w:rPr>
        <w:t>DIČ: CZ25561561,</w:t>
      </w:r>
    </w:p>
    <w:p w14:paraId="61ACFEA2" w14:textId="77777777" w:rsidR="009B02BF" w:rsidRPr="008C2C25" w:rsidRDefault="009B02BF" w:rsidP="00511A2E">
      <w:pPr>
        <w:spacing w:before="240" w:line="276" w:lineRule="auto"/>
        <w:jc w:val="both"/>
      </w:pPr>
      <w:r w:rsidRPr="008C2C25">
        <w:t>(dále jen „</w:t>
      </w:r>
      <w:r w:rsidRPr="008C2C25">
        <w:rPr>
          <w:b/>
        </w:rPr>
        <w:t>Poskytovatel</w:t>
      </w:r>
      <w:r w:rsidRPr="008C2C25">
        <w:t>“ nebo „</w:t>
      </w:r>
      <w:r w:rsidRPr="008C2C25">
        <w:rPr>
          <w:b/>
        </w:rPr>
        <w:t>Smluvní strana</w:t>
      </w:r>
      <w:r w:rsidRPr="008C2C25">
        <w:t>“)</w:t>
      </w:r>
    </w:p>
    <w:p w14:paraId="44B189E8" w14:textId="77777777" w:rsidR="009B02BF" w:rsidRPr="008C2C25" w:rsidRDefault="009B02BF" w:rsidP="00F50B0B">
      <w:pPr>
        <w:pStyle w:val="AKFZFnormln"/>
        <w:spacing w:before="240" w:line="276" w:lineRule="auto"/>
        <w:rPr>
          <w:rFonts w:asciiTheme="minorHAnsi" w:eastAsiaTheme="minorHAnsi" w:hAnsiTheme="minorHAnsi" w:cstheme="minorBidi"/>
          <w:spacing w:val="6"/>
        </w:rPr>
      </w:pPr>
      <w:r w:rsidRPr="008C2C25">
        <w:rPr>
          <w:rFonts w:asciiTheme="minorHAnsi" w:eastAsiaTheme="minorHAnsi" w:hAnsiTheme="minorHAnsi" w:cstheme="minorBidi"/>
          <w:spacing w:val="6"/>
        </w:rPr>
        <w:t>a</w:t>
      </w:r>
    </w:p>
    <w:p w14:paraId="6A046930" w14:textId="77777777" w:rsidR="007A0FE5" w:rsidRPr="008C2C25" w:rsidRDefault="00A506B0" w:rsidP="00F50B0B">
      <w:pPr>
        <w:spacing w:before="240" w:after="0" w:line="276" w:lineRule="auto"/>
        <w:jc w:val="both"/>
        <w:rPr>
          <w:b/>
          <w:bCs/>
        </w:rPr>
      </w:pPr>
      <w:r w:rsidRPr="008C2C25">
        <w:rPr>
          <w:b/>
          <w:bCs/>
        </w:rPr>
        <w:t>Česká republika – Úřad vlády České republiky</w:t>
      </w:r>
    </w:p>
    <w:p w14:paraId="46444375" w14:textId="77777777" w:rsidR="007A0FE5" w:rsidRPr="008C2C25" w:rsidRDefault="009B02BF" w:rsidP="00F50B0B">
      <w:pPr>
        <w:spacing w:before="240" w:after="0" w:line="276" w:lineRule="auto"/>
        <w:jc w:val="both"/>
      </w:pPr>
      <w:r w:rsidRPr="008C2C25">
        <w:t xml:space="preserve">se sídlem </w:t>
      </w:r>
      <w:r w:rsidR="00A506B0" w:rsidRPr="008C2C25">
        <w:t xml:space="preserve">nábřeží Edvarda Beneše 128/4, 118 01 Praha 1 – Malá Strana, </w:t>
      </w:r>
      <w:r w:rsidRPr="008C2C25">
        <w:t xml:space="preserve"> </w:t>
      </w:r>
    </w:p>
    <w:p w14:paraId="43DCC45C" w14:textId="77777777" w:rsidR="007A0FE5" w:rsidRPr="008C2C25" w:rsidRDefault="007A0FE5" w:rsidP="00F50B0B">
      <w:pPr>
        <w:spacing w:after="0" w:line="276" w:lineRule="auto"/>
        <w:jc w:val="both"/>
      </w:pPr>
      <w:r w:rsidRPr="008C2C25">
        <w:t xml:space="preserve">IČO: </w:t>
      </w:r>
      <w:r w:rsidR="00A506B0" w:rsidRPr="008C2C25">
        <w:t>00006599</w:t>
      </w:r>
      <w:r w:rsidRPr="008C2C25">
        <w:t xml:space="preserve">, </w:t>
      </w:r>
      <w:r w:rsidR="009B02BF" w:rsidRPr="008C2C25">
        <w:t xml:space="preserve">DIČ: </w:t>
      </w:r>
      <w:r w:rsidR="00A506B0" w:rsidRPr="008C2C25">
        <w:t>CZ00006599</w:t>
      </w:r>
      <w:r w:rsidR="009B02BF" w:rsidRPr="008C2C25">
        <w:t xml:space="preserve">, </w:t>
      </w:r>
    </w:p>
    <w:p w14:paraId="0765C3A2" w14:textId="77777777" w:rsidR="009B02BF" w:rsidRPr="008C2C25" w:rsidRDefault="009B02BF" w:rsidP="00F50B0B">
      <w:pPr>
        <w:spacing w:after="0" w:line="276" w:lineRule="auto"/>
        <w:jc w:val="both"/>
      </w:pPr>
      <w:r w:rsidRPr="008C2C25">
        <w:t>Bank</w:t>
      </w:r>
      <w:r w:rsidR="00124DA9" w:rsidRPr="008C2C25">
        <w:t>a:</w:t>
      </w:r>
      <w:r w:rsidRPr="008C2C25">
        <w:t xml:space="preserve"> </w:t>
      </w:r>
      <w:r w:rsidR="00A506B0" w:rsidRPr="008C2C25">
        <w:t>ČNB Praha</w:t>
      </w:r>
      <w:r w:rsidR="00124DA9" w:rsidRPr="008C2C25">
        <w:t xml:space="preserve">, </w:t>
      </w:r>
      <w:r w:rsidR="00D625E6" w:rsidRPr="008C2C25">
        <w:t>Číslo účtu</w:t>
      </w:r>
      <w:r w:rsidR="00124DA9" w:rsidRPr="008C2C25">
        <w:t>:</w:t>
      </w:r>
      <w:r w:rsidR="00A506B0" w:rsidRPr="008C2C25">
        <w:t>4320001/0710</w:t>
      </w:r>
      <w:r w:rsidR="00124DA9" w:rsidRPr="008C2C25">
        <w:t xml:space="preserve">, </w:t>
      </w:r>
      <w:r w:rsidR="00D625E6" w:rsidRPr="008C2C25">
        <w:t>Měna</w:t>
      </w:r>
      <w:r w:rsidR="00124DA9" w:rsidRPr="008C2C25">
        <w:t xml:space="preserve">: </w:t>
      </w:r>
      <w:r w:rsidR="00A506B0" w:rsidRPr="008C2C25">
        <w:t>CZK</w:t>
      </w:r>
    </w:p>
    <w:p w14:paraId="660ED8E5" w14:textId="77777777" w:rsidR="00A506B0" w:rsidRPr="008C2C25" w:rsidRDefault="00A506B0" w:rsidP="00F50B0B">
      <w:pPr>
        <w:spacing w:after="0" w:line="276" w:lineRule="auto"/>
        <w:jc w:val="both"/>
      </w:pPr>
      <w:r w:rsidRPr="008C2C25">
        <w:t>ID datové schránky: trfaa33</w:t>
      </w:r>
    </w:p>
    <w:p w14:paraId="62A3A820" w14:textId="77777777" w:rsidR="00A506B0" w:rsidRPr="008C2C25" w:rsidRDefault="00A506B0" w:rsidP="00F50B0B">
      <w:pPr>
        <w:spacing w:after="0" w:line="276" w:lineRule="auto"/>
        <w:jc w:val="both"/>
      </w:pPr>
    </w:p>
    <w:p w14:paraId="3B75B2C9" w14:textId="77777777" w:rsidR="009B02BF" w:rsidRPr="008C2C25" w:rsidRDefault="009B02BF" w:rsidP="00F50B0B">
      <w:pPr>
        <w:spacing w:before="240" w:after="0" w:line="276" w:lineRule="auto"/>
        <w:jc w:val="both"/>
      </w:pPr>
      <w:r w:rsidRPr="008C2C25">
        <w:t>(dále jen „</w:t>
      </w:r>
      <w:r w:rsidRPr="008C2C25">
        <w:rPr>
          <w:b/>
        </w:rPr>
        <w:t>Objednatel</w:t>
      </w:r>
      <w:r w:rsidRPr="008C2C25">
        <w:t>“ nebo „</w:t>
      </w:r>
      <w:r w:rsidRPr="008C2C25">
        <w:rPr>
          <w:b/>
        </w:rPr>
        <w:t>Smluvní strana</w:t>
      </w:r>
      <w:r w:rsidRPr="008C2C25">
        <w:t>“)</w:t>
      </w:r>
    </w:p>
    <w:p w14:paraId="2D5896B9" w14:textId="77777777" w:rsidR="009B02BF" w:rsidRPr="008C2C25" w:rsidRDefault="009B02BF" w:rsidP="00921A16">
      <w:pPr>
        <w:spacing w:before="240"/>
      </w:pPr>
    </w:p>
    <w:p w14:paraId="3A9AF88C" w14:textId="77777777" w:rsidR="005A5669" w:rsidRPr="008C2C25" w:rsidRDefault="005A5669" w:rsidP="000C3B7C">
      <w:pPr>
        <w:spacing w:line="240" w:lineRule="auto"/>
        <w:jc w:val="center"/>
        <w:rPr>
          <w:lang w:eastAsia="cs-CZ"/>
        </w:rPr>
      </w:pPr>
      <w:r w:rsidRPr="008C2C25">
        <w:rPr>
          <w:lang w:eastAsia="cs-CZ"/>
        </w:rPr>
        <w:t>v souladu s § 1746 odst. 2 zákona se zákonem č. 89/2012 Sb., občansk</w:t>
      </w:r>
      <w:r w:rsidR="00D770E8" w:rsidRPr="008C2C25">
        <w:rPr>
          <w:lang w:eastAsia="cs-CZ"/>
        </w:rPr>
        <w:t>ý</w:t>
      </w:r>
      <w:r w:rsidRPr="008C2C25">
        <w:rPr>
          <w:lang w:eastAsia="cs-CZ"/>
        </w:rPr>
        <w:t xml:space="preserve"> zákoník, ve znění pozdější předpisů tento:</w:t>
      </w:r>
    </w:p>
    <w:p w14:paraId="663DD552" w14:textId="77777777" w:rsidR="005A5669" w:rsidRPr="008C2C25" w:rsidRDefault="005A5669" w:rsidP="000C3B7C">
      <w:pPr>
        <w:spacing w:line="240" w:lineRule="auto"/>
        <w:jc w:val="center"/>
        <w:rPr>
          <w:sz w:val="28"/>
          <w:szCs w:val="28"/>
          <w:lang w:eastAsia="cs-CZ"/>
        </w:rPr>
      </w:pPr>
      <w:r w:rsidRPr="008C2C25">
        <w:rPr>
          <w:sz w:val="28"/>
          <w:szCs w:val="28"/>
          <w:lang w:eastAsia="cs-CZ"/>
        </w:rPr>
        <w:t>Dodatek ke smlouvě</w:t>
      </w:r>
    </w:p>
    <w:p w14:paraId="6D2D890C" w14:textId="77777777" w:rsidR="005A5669" w:rsidRPr="008C2C25" w:rsidRDefault="005A5669" w:rsidP="000C3B7C">
      <w:pPr>
        <w:spacing w:line="240" w:lineRule="auto"/>
        <w:jc w:val="center"/>
        <w:rPr>
          <w:rFonts w:ascii="Segoe UI Semilight" w:hAnsi="Segoe UI Semilight" w:cs="Segoe UI Semilight"/>
          <w:lang w:eastAsia="cs-CZ"/>
        </w:rPr>
      </w:pPr>
      <w:r w:rsidRPr="008C2C25">
        <w:rPr>
          <w:rFonts w:ascii="Segoe UI Semilight" w:hAnsi="Segoe UI Semilight" w:cs="Segoe UI Semilight"/>
          <w:lang w:eastAsia="cs-CZ"/>
        </w:rPr>
        <w:t>(dále jen „</w:t>
      </w:r>
      <w:r w:rsidR="00CF00A1" w:rsidRPr="008C2C25">
        <w:rPr>
          <w:rFonts w:ascii="Segoe UI Semilight" w:hAnsi="Segoe UI Semilight" w:cs="Segoe UI Semilight"/>
          <w:b/>
          <w:lang w:eastAsia="cs-CZ"/>
        </w:rPr>
        <w:t>Dodatek smlouvy</w:t>
      </w:r>
      <w:r w:rsidRPr="008C2C25">
        <w:rPr>
          <w:rFonts w:ascii="Segoe UI Semilight" w:hAnsi="Segoe UI Semilight" w:cs="Segoe UI Semilight"/>
          <w:lang w:eastAsia="cs-CZ"/>
        </w:rPr>
        <w:t>“)</w:t>
      </w:r>
    </w:p>
    <w:p w14:paraId="06EF7E89" w14:textId="77777777" w:rsidR="00274852" w:rsidRPr="008C2C25" w:rsidRDefault="00274852">
      <w:pPr>
        <w:rPr>
          <w:rFonts w:ascii="Segoe UI Semilight" w:hAnsi="Segoe UI Semilight" w:cs="Segoe UI Semilight"/>
          <w:lang w:eastAsia="cs-CZ"/>
        </w:rPr>
        <w:sectPr w:rsidR="00274852" w:rsidRPr="008C2C25" w:rsidSect="00DB4B6E">
          <w:headerReference w:type="default" r:id="rId11"/>
          <w:foot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CD5F3E9" w14:textId="77777777" w:rsidR="005D4B93" w:rsidRPr="008C2C25" w:rsidRDefault="00970D4F" w:rsidP="00A3065E">
      <w:pPr>
        <w:pStyle w:val="Nadpis1"/>
        <w:rPr>
          <w:color w:val="auto"/>
        </w:rPr>
      </w:pPr>
      <w:r w:rsidRPr="008C2C25">
        <w:rPr>
          <w:color w:val="auto"/>
        </w:rPr>
        <w:lastRenderedPageBreak/>
        <w:t>Předmět</w:t>
      </w:r>
    </w:p>
    <w:p w14:paraId="26FAF695" w14:textId="77777777" w:rsidR="000F3DAD" w:rsidRPr="008C2C25" w:rsidRDefault="00970D4F" w:rsidP="00B36758">
      <w:pPr>
        <w:pStyle w:val="Odstavecseseznamem"/>
        <w:numPr>
          <w:ilvl w:val="1"/>
          <w:numId w:val="30"/>
        </w:numPr>
        <w:spacing w:after="0"/>
        <w:ind w:left="680" w:hanging="680"/>
        <w:contextualSpacing w:val="0"/>
        <w:jc w:val="both"/>
        <w:rPr>
          <w:rFonts w:cs="Segoe UI"/>
          <w:szCs w:val="20"/>
        </w:rPr>
      </w:pPr>
      <w:r w:rsidRPr="008C2C25">
        <w:rPr>
          <w:rFonts w:cs="Segoe UI"/>
          <w:szCs w:val="20"/>
        </w:rPr>
        <w:t xml:space="preserve">Předmětem </w:t>
      </w:r>
      <w:r w:rsidR="0082733F" w:rsidRPr="008C2C25">
        <w:rPr>
          <w:rFonts w:cs="Segoe UI"/>
          <w:szCs w:val="20"/>
        </w:rPr>
        <w:t xml:space="preserve">tohoto </w:t>
      </w:r>
      <w:r w:rsidRPr="008C2C25">
        <w:rPr>
          <w:rFonts w:cs="Segoe UI"/>
          <w:szCs w:val="20"/>
        </w:rPr>
        <w:t>Dodatku smlouv</w:t>
      </w:r>
      <w:r w:rsidR="00B549AF" w:rsidRPr="008C2C25">
        <w:rPr>
          <w:rFonts w:cs="Segoe UI"/>
          <w:szCs w:val="20"/>
        </w:rPr>
        <w:t>y</w:t>
      </w:r>
      <w:r w:rsidRPr="008C2C25">
        <w:rPr>
          <w:rFonts w:cs="Segoe UI"/>
          <w:szCs w:val="20"/>
        </w:rPr>
        <w:t xml:space="preserve"> </w:t>
      </w:r>
      <w:r w:rsidR="0082733F" w:rsidRPr="008C2C25">
        <w:rPr>
          <w:rFonts w:cs="Segoe UI"/>
          <w:szCs w:val="20"/>
        </w:rPr>
        <w:t xml:space="preserve">je </w:t>
      </w:r>
      <w:r w:rsidRPr="008C2C25">
        <w:rPr>
          <w:rFonts w:cs="Segoe UI"/>
          <w:szCs w:val="20"/>
        </w:rPr>
        <w:t xml:space="preserve">změna </w:t>
      </w:r>
      <w:r w:rsidR="00A506B0" w:rsidRPr="008C2C25">
        <w:rPr>
          <w:rFonts w:cs="Segoe UI"/>
          <w:szCs w:val="20"/>
        </w:rPr>
        <w:t xml:space="preserve">Přílohy </w:t>
      </w:r>
      <w:r w:rsidR="000F3DAD" w:rsidRPr="008C2C25">
        <w:rPr>
          <w:rFonts w:cs="Segoe UI"/>
          <w:szCs w:val="20"/>
        </w:rPr>
        <w:t xml:space="preserve">A – Specifikace služeb a Přílohy B – Ceny služeb. </w:t>
      </w:r>
    </w:p>
    <w:p w14:paraId="04D269CE" w14:textId="77777777" w:rsidR="000F3DAD" w:rsidRPr="008C2C25" w:rsidRDefault="000F3DAD" w:rsidP="000F3DAD">
      <w:pPr>
        <w:pStyle w:val="Odstavecseseznamem"/>
        <w:numPr>
          <w:ilvl w:val="1"/>
          <w:numId w:val="30"/>
        </w:numPr>
        <w:spacing w:after="0"/>
        <w:ind w:left="680" w:hanging="680"/>
        <w:contextualSpacing w:val="0"/>
        <w:jc w:val="both"/>
        <w:rPr>
          <w:rFonts w:cs="Segoe UI"/>
          <w:szCs w:val="20"/>
        </w:rPr>
      </w:pPr>
      <w:r w:rsidRPr="008C2C25">
        <w:rPr>
          <w:rFonts w:cs="Segoe UI"/>
          <w:szCs w:val="20"/>
        </w:rPr>
        <w:t>Nová Příloha A – Specifikace služeb  a nová Příloha B – Ceny služeb jsou nedílnou součástí tohoto dodatku</w:t>
      </w:r>
      <w:r w:rsidR="00C571CD">
        <w:rPr>
          <w:rFonts w:cs="Segoe UI"/>
          <w:szCs w:val="20"/>
        </w:rPr>
        <w:t xml:space="preserve">, </w:t>
      </w:r>
      <w:r w:rsidR="00726993" w:rsidRPr="008C2C25">
        <w:rPr>
          <w:rFonts w:cs="Segoe UI"/>
          <w:szCs w:val="20"/>
        </w:rPr>
        <w:t xml:space="preserve">a nahrazují </w:t>
      </w:r>
      <w:r w:rsidR="00C571CD">
        <w:rPr>
          <w:rFonts w:cs="Segoe UI"/>
          <w:szCs w:val="20"/>
        </w:rPr>
        <w:t xml:space="preserve">stávající </w:t>
      </w:r>
      <w:r w:rsidR="00726993" w:rsidRPr="008C2C25">
        <w:rPr>
          <w:rFonts w:cs="Segoe UI"/>
          <w:szCs w:val="20"/>
        </w:rPr>
        <w:t>přílohy Smlouvy</w:t>
      </w:r>
      <w:r w:rsidR="00C571CD">
        <w:rPr>
          <w:rFonts w:cs="Segoe UI"/>
          <w:szCs w:val="20"/>
        </w:rPr>
        <w:t>.</w:t>
      </w:r>
    </w:p>
    <w:p w14:paraId="1731B5BE" w14:textId="77777777" w:rsidR="00970D4F" w:rsidRPr="008C2C25" w:rsidRDefault="00970D4F" w:rsidP="00B36758">
      <w:pPr>
        <w:pStyle w:val="Odstavecseseznamem"/>
        <w:numPr>
          <w:ilvl w:val="1"/>
          <w:numId w:val="30"/>
        </w:numPr>
        <w:spacing w:after="0"/>
        <w:ind w:left="680" w:hanging="680"/>
        <w:contextualSpacing w:val="0"/>
        <w:jc w:val="both"/>
        <w:rPr>
          <w:rFonts w:cs="Segoe UI"/>
          <w:szCs w:val="20"/>
        </w:rPr>
      </w:pPr>
      <w:r w:rsidRPr="008C2C25">
        <w:rPr>
          <w:rFonts w:cs="Segoe UI"/>
          <w:szCs w:val="20"/>
        </w:rPr>
        <w:t xml:space="preserve">Ostatní </w:t>
      </w:r>
      <w:r w:rsidR="006360CD" w:rsidRPr="008C2C25">
        <w:rPr>
          <w:rFonts w:cs="Segoe UI"/>
          <w:szCs w:val="20"/>
        </w:rPr>
        <w:t>odstavce</w:t>
      </w:r>
      <w:r w:rsidRPr="008C2C25">
        <w:rPr>
          <w:rFonts w:cs="Segoe UI"/>
          <w:szCs w:val="20"/>
        </w:rPr>
        <w:t xml:space="preserve"> </w:t>
      </w:r>
      <w:r w:rsidR="00744C32" w:rsidRPr="008C2C25">
        <w:rPr>
          <w:rFonts w:cs="Segoe UI"/>
          <w:szCs w:val="20"/>
        </w:rPr>
        <w:t>S</w:t>
      </w:r>
      <w:r w:rsidRPr="008C2C25">
        <w:rPr>
          <w:rFonts w:cs="Segoe UI"/>
          <w:szCs w:val="20"/>
        </w:rPr>
        <w:t>mlouvy zůstávají nezměněny.</w:t>
      </w:r>
      <w:r w:rsidR="008C2C25" w:rsidRPr="008C2C25">
        <w:rPr>
          <w:rFonts w:cs="Segoe UI"/>
          <w:szCs w:val="20"/>
        </w:rPr>
        <w:t xml:space="preserve">  </w:t>
      </w:r>
    </w:p>
    <w:p w14:paraId="6915EC73" w14:textId="77777777" w:rsidR="005D4B93" w:rsidRPr="008C2C25" w:rsidRDefault="00970D4F" w:rsidP="00A3065E">
      <w:pPr>
        <w:pStyle w:val="Nadpis1"/>
        <w:rPr>
          <w:color w:val="auto"/>
        </w:rPr>
      </w:pPr>
      <w:r w:rsidRPr="008C2C25">
        <w:rPr>
          <w:color w:val="auto"/>
        </w:rPr>
        <w:t>Z</w:t>
      </w:r>
      <w:r w:rsidR="005D4B93" w:rsidRPr="008C2C25">
        <w:rPr>
          <w:color w:val="auto"/>
        </w:rPr>
        <w:t>ávěrečná ustanovení</w:t>
      </w:r>
    </w:p>
    <w:p w14:paraId="091CDAFC" w14:textId="77777777" w:rsidR="00E65A06" w:rsidRPr="008C2C25" w:rsidRDefault="00970D4F" w:rsidP="00970D4F">
      <w:pPr>
        <w:pStyle w:val="Odstavecseseznamem"/>
        <w:numPr>
          <w:ilvl w:val="1"/>
          <w:numId w:val="30"/>
        </w:numPr>
        <w:spacing w:after="0"/>
        <w:ind w:left="680" w:hanging="680"/>
        <w:contextualSpacing w:val="0"/>
        <w:jc w:val="both"/>
        <w:rPr>
          <w:rFonts w:cs="Segoe UI"/>
          <w:szCs w:val="20"/>
        </w:rPr>
      </w:pPr>
      <w:r w:rsidRPr="008C2C25">
        <w:t xml:space="preserve">Tento </w:t>
      </w:r>
      <w:r w:rsidR="0053590F" w:rsidRPr="008C2C25">
        <w:t>D</w:t>
      </w:r>
      <w:r w:rsidRPr="008C2C25">
        <w:t xml:space="preserve">odatek </w:t>
      </w:r>
      <w:r w:rsidR="005D4B93" w:rsidRPr="008C2C25">
        <w:t>smlouv</w:t>
      </w:r>
      <w:r w:rsidR="00B549AF" w:rsidRPr="008C2C25">
        <w:t>y</w:t>
      </w:r>
      <w:r w:rsidR="005D4B93" w:rsidRPr="008C2C25">
        <w:t xml:space="preserve"> </w:t>
      </w:r>
      <w:r w:rsidR="00072485" w:rsidRPr="008C2C25">
        <w:t>je</w:t>
      </w:r>
      <w:r w:rsidR="005D4B93" w:rsidRPr="008C2C25">
        <w:t xml:space="preserve"> vyhotov</w:t>
      </w:r>
      <w:r w:rsidR="00072485" w:rsidRPr="008C2C25">
        <w:t>en</w:t>
      </w:r>
      <w:r w:rsidR="005D4B93" w:rsidRPr="008C2C25">
        <w:t xml:space="preserve"> ve dvou</w:t>
      </w:r>
      <w:r w:rsidR="0082128C" w:rsidRPr="008C2C25">
        <w:t xml:space="preserve"> (2)</w:t>
      </w:r>
      <w:r w:rsidR="005D4B93" w:rsidRPr="008C2C25">
        <w:t xml:space="preserve"> stejnopisech</w:t>
      </w:r>
      <w:r w:rsidR="00A36AB5" w:rsidRPr="008C2C25">
        <w:t>, z nichž každ</w:t>
      </w:r>
      <w:r w:rsidR="0085315E" w:rsidRPr="008C2C25">
        <w:t xml:space="preserve">á </w:t>
      </w:r>
      <w:r w:rsidR="00682C18" w:rsidRPr="008C2C25">
        <w:t>Smluvní s</w:t>
      </w:r>
      <w:r w:rsidR="0085315E" w:rsidRPr="008C2C25">
        <w:t xml:space="preserve">trana </w:t>
      </w:r>
      <w:r w:rsidR="005D4B93" w:rsidRPr="008C2C25">
        <w:t>obdrží jed</w:t>
      </w:r>
      <w:r w:rsidR="0085315E" w:rsidRPr="008C2C25">
        <w:t>en</w:t>
      </w:r>
      <w:r w:rsidR="005D4B93" w:rsidRPr="008C2C25">
        <w:t>.</w:t>
      </w:r>
    </w:p>
    <w:p w14:paraId="3309BBE8" w14:textId="77777777" w:rsidR="00E65A06" w:rsidRPr="008C2C25" w:rsidRDefault="00E65A06" w:rsidP="00E65A06">
      <w:pPr>
        <w:pStyle w:val="Odstavecseseznamem"/>
        <w:spacing w:after="0"/>
        <w:ind w:left="454"/>
        <w:contextualSpacing w:val="0"/>
      </w:pPr>
    </w:p>
    <w:p w14:paraId="177A7C44" w14:textId="77777777" w:rsidR="000B4320" w:rsidRPr="008C2C25" w:rsidRDefault="000B4320" w:rsidP="00E65A06">
      <w:pPr>
        <w:pStyle w:val="Odstavecseseznamem"/>
        <w:spacing w:after="0"/>
        <w:ind w:left="454"/>
        <w:contextualSpacing w:val="0"/>
      </w:pPr>
    </w:p>
    <w:p w14:paraId="50FDED08" w14:textId="77777777" w:rsidR="000B4320" w:rsidRPr="008C2C25" w:rsidRDefault="000B4320" w:rsidP="000B4320">
      <w:pPr>
        <w:jc w:val="both"/>
      </w:pPr>
      <w:r w:rsidRPr="008C2C25">
        <w:t xml:space="preserve">NA DŮKAZ TOHO, že </w:t>
      </w:r>
      <w:r w:rsidR="00682C18" w:rsidRPr="008C2C25">
        <w:t>S</w:t>
      </w:r>
      <w:r w:rsidRPr="008C2C25">
        <w:t>mluvní strany s obsahem tohoto Dodatku smlouvy souhlasí, rozumí mu a zavazují se k jejímu plnění, připojují své podpisy a prohlašují, že t</w:t>
      </w:r>
      <w:r w:rsidR="00FE2537" w:rsidRPr="008C2C25">
        <w:t>ento</w:t>
      </w:r>
      <w:r w:rsidRPr="008C2C25">
        <w:t xml:space="preserve"> </w:t>
      </w:r>
      <w:r w:rsidR="00FE2537" w:rsidRPr="008C2C25">
        <w:t>Dodatek s</w:t>
      </w:r>
      <w:r w:rsidRPr="008C2C25">
        <w:t>mlouv</w:t>
      </w:r>
      <w:r w:rsidR="00FE2537" w:rsidRPr="008C2C25">
        <w:t>y</w:t>
      </w:r>
      <w:r w:rsidRPr="008C2C25">
        <w:t xml:space="preserve"> byl uzavřen</w:t>
      </w:r>
      <w:r w:rsidR="0047329F">
        <w:t xml:space="preserve"> </w:t>
      </w:r>
      <w:r w:rsidRPr="008C2C25">
        <w:t>podle jejich svobodné a vážné vůle.</w:t>
      </w:r>
    </w:p>
    <w:p w14:paraId="387B2BD1" w14:textId="77777777" w:rsidR="000B4320" w:rsidRPr="008C2C25" w:rsidRDefault="000B4320" w:rsidP="000B4320"/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46"/>
        <w:gridCol w:w="4426"/>
      </w:tblGrid>
      <w:tr w:rsidR="008C2C25" w:rsidRPr="008C2C25" w14:paraId="26435641" w14:textId="77777777" w:rsidTr="00E807FD">
        <w:trPr>
          <w:jc w:val="center"/>
        </w:trPr>
        <w:tc>
          <w:tcPr>
            <w:tcW w:w="4678" w:type="dxa"/>
          </w:tcPr>
          <w:p w14:paraId="684CB795" w14:textId="77777777" w:rsidR="000B4320" w:rsidRPr="008C2C25" w:rsidRDefault="000B4320" w:rsidP="00257ABD">
            <w:pPr>
              <w:pStyle w:val="AKFZFpodpis"/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C2C25">
              <w:rPr>
                <w:rFonts w:asciiTheme="minorHAnsi" w:hAnsiTheme="minorHAnsi" w:cstheme="minorHAnsi"/>
                <w:b/>
                <w:sz w:val="20"/>
                <w:szCs w:val="20"/>
              </w:rPr>
              <w:t>Poskytovatel</w:t>
            </w:r>
          </w:p>
          <w:p w14:paraId="622BB3FB" w14:textId="122B0FA4" w:rsidR="000B4320" w:rsidRPr="008C2C25" w:rsidRDefault="000B4320" w:rsidP="0092078A">
            <w:pPr>
              <w:pStyle w:val="AKFZFpodpis"/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C2C25">
              <w:rPr>
                <w:rFonts w:asciiTheme="minorHAnsi" w:hAnsiTheme="minorHAnsi" w:cstheme="minorHAnsi"/>
                <w:sz w:val="20"/>
                <w:szCs w:val="20"/>
              </w:rPr>
              <w:t xml:space="preserve">Ve Žďáru nad Sázavou, dne </w:t>
            </w:r>
            <w:proofErr w:type="gramStart"/>
            <w:r w:rsidR="0092078A">
              <w:rPr>
                <w:rFonts w:asciiTheme="minorHAnsi" w:hAnsiTheme="minorHAnsi" w:cstheme="minorHAnsi"/>
                <w:sz w:val="20"/>
                <w:szCs w:val="20"/>
              </w:rPr>
              <w:t>24.10.2022</w:t>
            </w:r>
            <w:proofErr w:type="gramEnd"/>
          </w:p>
        </w:tc>
        <w:tc>
          <w:tcPr>
            <w:tcW w:w="4392" w:type="dxa"/>
          </w:tcPr>
          <w:p w14:paraId="41A490C1" w14:textId="77777777" w:rsidR="000B4320" w:rsidRPr="008C2C25" w:rsidRDefault="000B4320" w:rsidP="00257ABD">
            <w:pPr>
              <w:pStyle w:val="AKFZFpodpis"/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C2C25">
              <w:rPr>
                <w:rFonts w:asciiTheme="minorHAnsi" w:hAnsiTheme="minorHAnsi" w:cstheme="minorHAnsi"/>
                <w:b/>
                <w:sz w:val="20"/>
                <w:szCs w:val="20"/>
              </w:rPr>
              <w:t>Objednatel</w:t>
            </w:r>
          </w:p>
          <w:p w14:paraId="61521D85" w14:textId="6A7EEB25" w:rsidR="000B4320" w:rsidRPr="008C2C25" w:rsidRDefault="000B4320" w:rsidP="0092078A">
            <w:pPr>
              <w:pStyle w:val="AKFZFpodpis"/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C2C25">
              <w:rPr>
                <w:rFonts w:asciiTheme="minorHAnsi" w:hAnsiTheme="minorHAnsi" w:cstheme="minorHAnsi"/>
                <w:sz w:val="20"/>
                <w:szCs w:val="20"/>
              </w:rPr>
              <w:t>V </w:t>
            </w:r>
            <w:r w:rsidR="0092078A">
              <w:rPr>
                <w:rFonts w:asciiTheme="minorHAnsi" w:hAnsiTheme="minorHAnsi" w:cstheme="minorHAnsi"/>
                <w:sz w:val="20"/>
                <w:szCs w:val="20"/>
              </w:rPr>
              <w:t>Praze</w:t>
            </w:r>
            <w:r w:rsidRPr="008C2C25">
              <w:rPr>
                <w:rFonts w:asciiTheme="minorHAnsi" w:hAnsiTheme="minorHAnsi" w:cstheme="minorHAnsi"/>
                <w:sz w:val="20"/>
                <w:szCs w:val="20"/>
              </w:rPr>
              <w:t xml:space="preserve">, dne </w:t>
            </w:r>
            <w:proofErr w:type="gramStart"/>
            <w:r w:rsidR="0092078A">
              <w:rPr>
                <w:rFonts w:asciiTheme="minorHAnsi" w:hAnsiTheme="minorHAnsi" w:cstheme="minorHAnsi"/>
                <w:sz w:val="20"/>
                <w:szCs w:val="20"/>
              </w:rPr>
              <w:t>25.10.2022</w:t>
            </w:r>
            <w:proofErr w:type="gramEnd"/>
          </w:p>
        </w:tc>
      </w:tr>
      <w:tr w:rsidR="008C2C25" w:rsidRPr="008C2C25" w14:paraId="1785FFBD" w14:textId="77777777" w:rsidTr="00E807FD">
        <w:trPr>
          <w:jc w:val="center"/>
        </w:trPr>
        <w:tc>
          <w:tcPr>
            <w:tcW w:w="4678" w:type="dxa"/>
          </w:tcPr>
          <w:p w14:paraId="0050B46A" w14:textId="21DB7C2A" w:rsidR="00EE79C4" w:rsidRDefault="00EE79C4" w:rsidP="00E807FD">
            <w:pPr>
              <w:pStyle w:val="AKFZFpodpis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C3713B9" w14:textId="67FC9073" w:rsidR="00391A78" w:rsidRDefault="00391A78" w:rsidP="00E807FD">
            <w:pPr>
              <w:pStyle w:val="AKFZFpodpis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F3E6983" w14:textId="77777777" w:rsidR="00391A78" w:rsidRPr="008C2C25" w:rsidRDefault="00391A78" w:rsidP="00E807FD">
            <w:pPr>
              <w:pStyle w:val="AKFZFpodpis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325EDD9" w14:textId="77777777" w:rsidR="00EE79C4" w:rsidRPr="008C2C25" w:rsidRDefault="00EE79C4" w:rsidP="00E807FD">
            <w:pPr>
              <w:pStyle w:val="AKFZFpodpis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1225F2C" w14:textId="77777777" w:rsidR="00EE79C4" w:rsidRPr="008C2C25" w:rsidRDefault="00EE79C4" w:rsidP="00E807FD">
            <w:pPr>
              <w:pStyle w:val="AKFZFpodpis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EA9EBD5" w14:textId="77777777" w:rsidR="000B4320" w:rsidRPr="008C2C25" w:rsidRDefault="000B4320" w:rsidP="00E807FD">
            <w:pPr>
              <w:pStyle w:val="AKFZFpodpis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C2C25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.......................................................................................</w:t>
            </w:r>
          </w:p>
          <w:p w14:paraId="47C923D8" w14:textId="1BB06471" w:rsidR="000B4320" w:rsidRPr="008C2C25" w:rsidRDefault="000B4320" w:rsidP="00257ABD">
            <w:pPr>
              <w:pStyle w:val="AKFZFpodpis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C2C25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Ing. Radek Grodl</w:t>
            </w:r>
            <w:r w:rsidR="0092078A">
              <w:rPr>
                <w:rFonts w:asciiTheme="minorHAnsi" w:hAnsiTheme="minorHAnsi" w:cstheme="minorHAnsi"/>
                <w:sz w:val="20"/>
                <w:szCs w:val="20"/>
              </w:rPr>
              <w:t xml:space="preserve"> v. r.</w:t>
            </w:r>
          </w:p>
          <w:p w14:paraId="0A70EAAA" w14:textId="77777777" w:rsidR="000B4320" w:rsidRPr="008C2C25" w:rsidRDefault="000B4320" w:rsidP="00257ABD">
            <w:pPr>
              <w:pStyle w:val="AKFZFpodpis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C2C25">
              <w:rPr>
                <w:rFonts w:asciiTheme="minorHAnsi" w:hAnsiTheme="minorHAnsi" w:cstheme="minorHAnsi"/>
                <w:sz w:val="20"/>
                <w:szCs w:val="20"/>
              </w:rPr>
              <w:t xml:space="preserve">               jednatel společnosti</w:t>
            </w:r>
          </w:p>
          <w:p w14:paraId="28E74364" w14:textId="77777777" w:rsidR="000B4320" w:rsidRPr="008C2C25" w:rsidRDefault="000B4320" w:rsidP="00257ABD">
            <w:pPr>
              <w:pStyle w:val="AKFZFpodpis"/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C2C25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ALVAO s.r.o.</w:t>
            </w:r>
          </w:p>
        </w:tc>
        <w:tc>
          <w:tcPr>
            <w:tcW w:w="4392" w:type="dxa"/>
          </w:tcPr>
          <w:p w14:paraId="4B111FAE" w14:textId="7862A958" w:rsidR="00EE79C4" w:rsidRDefault="00EE79C4" w:rsidP="00E807FD">
            <w:pPr>
              <w:pStyle w:val="AKFZFpodpis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C077E3D" w14:textId="4682F24E" w:rsidR="00391A78" w:rsidRDefault="00391A78" w:rsidP="00E807FD">
            <w:pPr>
              <w:pStyle w:val="AKFZFpodpis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89675D3" w14:textId="77777777" w:rsidR="00391A78" w:rsidRPr="008C2C25" w:rsidRDefault="00391A78" w:rsidP="00E807FD">
            <w:pPr>
              <w:pStyle w:val="AKFZFpodpis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AF93392" w14:textId="77777777" w:rsidR="00EE79C4" w:rsidRPr="008C2C25" w:rsidRDefault="00EE79C4" w:rsidP="00E807FD">
            <w:pPr>
              <w:pStyle w:val="AKFZFpodpis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53C4E50" w14:textId="77777777" w:rsidR="00EE79C4" w:rsidRPr="008C2C25" w:rsidRDefault="00EE79C4" w:rsidP="00E807FD">
            <w:pPr>
              <w:pStyle w:val="AKFZFpodpis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5955105" w14:textId="77777777" w:rsidR="000B4320" w:rsidRPr="008C2C25" w:rsidRDefault="000B4320" w:rsidP="00E807FD">
            <w:pPr>
              <w:pStyle w:val="AKFZFpodpis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C2C25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................................................................................................</w:t>
            </w:r>
          </w:p>
          <w:p w14:paraId="6C51ED54" w14:textId="51EF5CBA" w:rsidR="0047329F" w:rsidRPr="001C5D87" w:rsidRDefault="0047329F" w:rsidP="000F3DAD">
            <w:pPr>
              <w:pStyle w:val="AKFZFpodpis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C5D87">
              <w:rPr>
                <w:rFonts w:asciiTheme="minorHAnsi" w:hAnsiTheme="minorHAnsi" w:cstheme="minorHAnsi"/>
                <w:sz w:val="20"/>
                <w:szCs w:val="20"/>
              </w:rPr>
              <w:t xml:space="preserve">Ing. Narek Oganesjan </w:t>
            </w:r>
            <w:r w:rsidR="0092078A">
              <w:rPr>
                <w:rFonts w:asciiTheme="minorHAnsi" w:hAnsiTheme="minorHAnsi" w:cstheme="minorHAnsi"/>
                <w:sz w:val="20"/>
                <w:szCs w:val="20"/>
              </w:rPr>
              <w:t>v. r.</w:t>
            </w:r>
          </w:p>
          <w:p w14:paraId="1E0A986B" w14:textId="77777777" w:rsidR="000F3DAD" w:rsidRPr="008C2C25" w:rsidRDefault="0047329F" w:rsidP="000F3DAD">
            <w:pPr>
              <w:pStyle w:val="AKFZFpodpis"/>
              <w:spacing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1C5D87">
              <w:rPr>
                <w:rFonts w:asciiTheme="minorHAnsi" w:hAnsiTheme="minorHAnsi" w:cstheme="minorHAnsi"/>
                <w:sz w:val="20"/>
                <w:szCs w:val="20"/>
              </w:rPr>
              <w:t>ředitel Odboru Informatiky</w:t>
            </w:r>
          </w:p>
        </w:tc>
      </w:tr>
    </w:tbl>
    <w:p w14:paraId="0AB0B85A" w14:textId="77777777" w:rsidR="006F28EE" w:rsidRPr="008C2C25" w:rsidRDefault="006F28EE" w:rsidP="000B4320"/>
    <w:p w14:paraId="389CFB22" w14:textId="77777777" w:rsidR="000F3DAD" w:rsidRPr="008C2C25" w:rsidRDefault="000F3DAD" w:rsidP="000B4320"/>
    <w:p w14:paraId="795B2828" w14:textId="77777777" w:rsidR="000F3DAD" w:rsidRPr="008C2C25" w:rsidRDefault="000F3DAD" w:rsidP="000B4320"/>
    <w:p w14:paraId="39207A72" w14:textId="77777777" w:rsidR="000F3DAD" w:rsidRPr="008C2C25" w:rsidRDefault="000F3DAD" w:rsidP="000B4320"/>
    <w:p w14:paraId="2E064141" w14:textId="77777777" w:rsidR="000F3DAD" w:rsidRPr="008C2C25" w:rsidRDefault="000F3DAD" w:rsidP="000B4320"/>
    <w:p w14:paraId="41022C49" w14:textId="77777777" w:rsidR="000F3DAD" w:rsidRPr="008C2C25" w:rsidRDefault="000F3DAD" w:rsidP="000B4320"/>
    <w:p w14:paraId="0B69C5EA" w14:textId="77777777" w:rsidR="000F3DAD" w:rsidRPr="008C2C25" w:rsidRDefault="000F3DAD" w:rsidP="000B4320"/>
    <w:p w14:paraId="73DA49DE" w14:textId="77777777" w:rsidR="000F3DAD" w:rsidRPr="008C2C25" w:rsidRDefault="000F3DAD" w:rsidP="000B4320"/>
    <w:p w14:paraId="1850BBC4" w14:textId="77777777" w:rsidR="000F3DAD" w:rsidRPr="008C2C25" w:rsidRDefault="000F3DAD" w:rsidP="000B4320"/>
    <w:p w14:paraId="723C1776" w14:textId="77777777" w:rsidR="000F3DAD" w:rsidRPr="008C2C25" w:rsidRDefault="000F3DAD" w:rsidP="000F3DAD">
      <w:pPr>
        <w:pStyle w:val="Nzev"/>
        <w:ind w:left="360"/>
        <w:jc w:val="center"/>
      </w:pPr>
      <w:bookmarkStart w:id="0" w:name="_Ref27657298"/>
      <w:r w:rsidRPr="008C2C25">
        <w:t>Příloha A - Specifikace služeb</w:t>
      </w:r>
      <w:bookmarkEnd w:id="0"/>
    </w:p>
    <w:p w14:paraId="065D00C8" w14:textId="77777777" w:rsidR="000F3DAD" w:rsidRPr="008C2C25" w:rsidRDefault="000F3DAD" w:rsidP="000F3DAD">
      <w:pPr>
        <w:pStyle w:val="Nadpis1"/>
        <w:numPr>
          <w:ilvl w:val="0"/>
          <w:numId w:val="41"/>
        </w:numPr>
        <w:tabs>
          <w:tab w:val="num" w:pos="360"/>
        </w:tabs>
        <w:spacing w:after="0"/>
        <w:rPr>
          <w:color w:val="auto"/>
        </w:rPr>
      </w:pPr>
      <w:r w:rsidRPr="008C2C25">
        <w:rPr>
          <w:color w:val="auto"/>
        </w:rPr>
        <w:t xml:space="preserve"> </w:t>
      </w:r>
      <w:bookmarkStart w:id="1" w:name="_Ref66895725"/>
      <w:r w:rsidRPr="008C2C25">
        <w:rPr>
          <w:color w:val="auto"/>
        </w:rPr>
        <w:t>Maintenance ALVAO produktů a modulů</w:t>
      </w:r>
      <w:bookmarkEnd w:id="1"/>
    </w:p>
    <w:tbl>
      <w:tblPr>
        <w:tblpPr w:leftFromText="141" w:rightFromText="141" w:vertAnchor="text" w:horzAnchor="margin" w:tblpY="143"/>
        <w:tblW w:w="91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5"/>
        <w:gridCol w:w="7491"/>
      </w:tblGrid>
      <w:tr w:rsidR="008C2C25" w:rsidRPr="008C2C25" w14:paraId="20020EB4" w14:textId="77777777" w:rsidTr="008736AC">
        <w:trPr>
          <w:trHeight w:val="660"/>
        </w:trPr>
        <w:tc>
          <w:tcPr>
            <w:tcW w:w="1625" w:type="dxa"/>
            <w:vMerge w:val="restart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auto" w:fill="auto"/>
            <w:vAlign w:val="center"/>
            <w:hideMark/>
          </w:tcPr>
          <w:p w14:paraId="38F3B653" w14:textId="77777777" w:rsidR="000F3DAD" w:rsidRPr="008C2C25" w:rsidRDefault="000F3DAD" w:rsidP="008736AC">
            <w:pPr>
              <w:spacing w:after="0" w:line="240" w:lineRule="auto"/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</w:pPr>
            <w:r w:rsidRPr="008C2C25"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  <w:t>Specifikace služby</w:t>
            </w:r>
          </w:p>
        </w:tc>
        <w:tc>
          <w:tcPr>
            <w:tcW w:w="7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A6546F" w14:textId="77777777" w:rsidR="000F3DAD" w:rsidRPr="008C2C25" w:rsidRDefault="000F3DAD" w:rsidP="008736AC">
            <w:pPr>
              <w:spacing w:after="0" w:line="240" w:lineRule="auto"/>
              <w:jc w:val="both"/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</w:pPr>
            <w:r w:rsidRPr="008C2C25"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  <w:t>1) Možnost stahovat a používat nové verze poskytnutých produktů včetně změněné nebo nové dokumentace</w:t>
            </w:r>
          </w:p>
        </w:tc>
      </w:tr>
      <w:tr w:rsidR="008C2C25" w:rsidRPr="008C2C25" w14:paraId="0F113DA7" w14:textId="77777777" w:rsidTr="008736AC">
        <w:trPr>
          <w:trHeight w:val="660"/>
        </w:trPr>
        <w:tc>
          <w:tcPr>
            <w:tcW w:w="1625" w:type="dxa"/>
            <w:vMerge/>
            <w:tcBorders>
              <w:top w:val="nil"/>
              <w:left w:val="nil"/>
              <w:bottom w:val="single" w:sz="4" w:space="0" w:color="F2F2F2"/>
              <w:right w:val="nil"/>
            </w:tcBorders>
            <w:vAlign w:val="center"/>
            <w:hideMark/>
          </w:tcPr>
          <w:p w14:paraId="09FAC3EB" w14:textId="77777777" w:rsidR="000F3DAD" w:rsidRPr="008C2C25" w:rsidRDefault="000F3DAD" w:rsidP="008736AC">
            <w:pPr>
              <w:spacing w:after="0" w:line="240" w:lineRule="auto"/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</w:pPr>
          </w:p>
        </w:tc>
        <w:tc>
          <w:tcPr>
            <w:tcW w:w="7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3ACE82" w14:textId="77777777" w:rsidR="000F3DAD" w:rsidRPr="008C2C25" w:rsidRDefault="000F3DAD" w:rsidP="008736AC">
            <w:pPr>
              <w:spacing w:after="0" w:line="240" w:lineRule="auto"/>
              <w:jc w:val="both"/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</w:pPr>
            <w:r w:rsidRPr="008C2C25"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  <w:t xml:space="preserve">2) Možnost stahovat aktualizované verze Knihovny softwarových produktů prostřednictvím funkcí Produktu </w:t>
            </w:r>
          </w:p>
        </w:tc>
      </w:tr>
      <w:tr w:rsidR="008C2C25" w:rsidRPr="008C2C25" w14:paraId="765F771B" w14:textId="77777777" w:rsidTr="008736AC">
        <w:trPr>
          <w:trHeight w:val="660"/>
        </w:trPr>
        <w:tc>
          <w:tcPr>
            <w:tcW w:w="1625" w:type="dxa"/>
            <w:vMerge/>
            <w:tcBorders>
              <w:top w:val="nil"/>
              <w:left w:val="nil"/>
              <w:bottom w:val="single" w:sz="4" w:space="0" w:color="F2F2F2"/>
              <w:right w:val="nil"/>
            </w:tcBorders>
            <w:vAlign w:val="center"/>
            <w:hideMark/>
          </w:tcPr>
          <w:p w14:paraId="2376DCDA" w14:textId="77777777" w:rsidR="000F3DAD" w:rsidRPr="008C2C25" w:rsidRDefault="000F3DAD" w:rsidP="008736AC">
            <w:pPr>
              <w:spacing w:after="0" w:line="240" w:lineRule="auto"/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</w:pPr>
          </w:p>
        </w:tc>
        <w:tc>
          <w:tcPr>
            <w:tcW w:w="7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035EFB" w14:textId="77777777" w:rsidR="000F3DAD" w:rsidRPr="008C2C25" w:rsidRDefault="000F3DAD" w:rsidP="008736AC">
            <w:pPr>
              <w:spacing w:after="0" w:line="240" w:lineRule="auto"/>
              <w:jc w:val="both"/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</w:pPr>
            <w:r w:rsidRPr="008C2C25"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  <w:t>3) Možnost zasílat Poskytovateli emailem nerozpoznané softwarové detekce pro aktualizaci knihovny softwarových produktů</w:t>
            </w:r>
          </w:p>
        </w:tc>
      </w:tr>
      <w:tr w:rsidR="008C2C25" w:rsidRPr="008C2C25" w14:paraId="07D3761F" w14:textId="77777777" w:rsidTr="008736AC">
        <w:trPr>
          <w:trHeight w:val="330"/>
        </w:trPr>
        <w:tc>
          <w:tcPr>
            <w:tcW w:w="1625" w:type="dxa"/>
            <w:vMerge/>
            <w:tcBorders>
              <w:top w:val="nil"/>
              <w:left w:val="nil"/>
              <w:bottom w:val="single" w:sz="4" w:space="0" w:color="F2F2F2"/>
              <w:right w:val="nil"/>
            </w:tcBorders>
            <w:vAlign w:val="center"/>
            <w:hideMark/>
          </w:tcPr>
          <w:p w14:paraId="4769424A" w14:textId="77777777" w:rsidR="000F3DAD" w:rsidRPr="008C2C25" w:rsidRDefault="000F3DAD" w:rsidP="008736AC">
            <w:pPr>
              <w:spacing w:after="0" w:line="240" w:lineRule="auto"/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</w:pPr>
          </w:p>
        </w:tc>
        <w:tc>
          <w:tcPr>
            <w:tcW w:w="7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20F7E9" w14:textId="77777777" w:rsidR="000F3DAD" w:rsidRPr="008C2C25" w:rsidRDefault="000F3DAD" w:rsidP="008736AC">
            <w:pPr>
              <w:spacing w:after="0" w:line="240" w:lineRule="auto"/>
              <w:jc w:val="both"/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</w:pPr>
            <w:r w:rsidRPr="008C2C25"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  <w:t>4) Rozvoj produktů dle nejlepších praktik ITIL®</w:t>
            </w:r>
          </w:p>
        </w:tc>
      </w:tr>
      <w:tr w:rsidR="008C2C25" w:rsidRPr="008C2C25" w14:paraId="7FD86FAC" w14:textId="77777777" w:rsidTr="008736AC">
        <w:trPr>
          <w:trHeight w:val="330"/>
        </w:trPr>
        <w:tc>
          <w:tcPr>
            <w:tcW w:w="1625" w:type="dxa"/>
            <w:vMerge/>
            <w:tcBorders>
              <w:top w:val="nil"/>
              <w:left w:val="nil"/>
              <w:bottom w:val="single" w:sz="4" w:space="0" w:color="F2F2F2"/>
              <w:right w:val="nil"/>
            </w:tcBorders>
            <w:vAlign w:val="center"/>
            <w:hideMark/>
          </w:tcPr>
          <w:p w14:paraId="566739E2" w14:textId="77777777" w:rsidR="000F3DAD" w:rsidRPr="008C2C25" w:rsidRDefault="000F3DAD" w:rsidP="008736AC">
            <w:pPr>
              <w:spacing w:after="0" w:line="240" w:lineRule="auto"/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</w:pPr>
          </w:p>
        </w:tc>
        <w:tc>
          <w:tcPr>
            <w:tcW w:w="7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247CE6" w14:textId="77777777" w:rsidR="000F3DAD" w:rsidRPr="008C2C25" w:rsidRDefault="000F3DAD" w:rsidP="008736AC">
            <w:pPr>
              <w:spacing w:after="0" w:line="240" w:lineRule="auto"/>
              <w:jc w:val="both"/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</w:pPr>
            <w:r w:rsidRPr="008C2C25"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  <w:t>5) Rozvoj produktů dle nejlepších praktik SAM</w:t>
            </w:r>
          </w:p>
        </w:tc>
      </w:tr>
      <w:tr w:rsidR="008C2C25" w:rsidRPr="008C2C25" w14:paraId="395F27CA" w14:textId="77777777" w:rsidTr="008736AC">
        <w:trPr>
          <w:trHeight w:val="330"/>
        </w:trPr>
        <w:tc>
          <w:tcPr>
            <w:tcW w:w="1625" w:type="dxa"/>
            <w:vMerge/>
            <w:tcBorders>
              <w:top w:val="nil"/>
              <w:left w:val="nil"/>
              <w:bottom w:val="single" w:sz="4" w:space="0" w:color="F2F2F2"/>
              <w:right w:val="nil"/>
            </w:tcBorders>
            <w:vAlign w:val="center"/>
            <w:hideMark/>
          </w:tcPr>
          <w:p w14:paraId="2D411DCF" w14:textId="77777777" w:rsidR="000F3DAD" w:rsidRPr="008C2C25" w:rsidRDefault="000F3DAD" w:rsidP="008736AC">
            <w:pPr>
              <w:spacing w:after="0" w:line="240" w:lineRule="auto"/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</w:pPr>
          </w:p>
        </w:tc>
        <w:tc>
          <w:tcPr>
            <w:tcW w:w="7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215FA6" w14:textId="77777777" w:rsidR="000F3DAD" w:rsidRPr="008C2C25" w:rsidRDefault="000F3DAD" w:rsidP="008736AC">
            <w:pPr>
              <w:spacing w:after="0" w:line="240" w:lineRule="auto"/>
              <w:jc w:val="both"/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</w:pPr>
            <w:r w:rsidRPr="008C2C25"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  <w:t>6) Rozvoj produktů pro technologie společnosti Microsoft</w:t>
            </w:r>
          </w:p>
        </w:tc>
      </w:tr>
      <w:tr w:rsidR="008C2C25" w:rsidRPr="008C2C25" w14:paraId="52580B89" w14:textId="77777777" w:rsidTr="008736AC">
        <w:trPr>
          <w:trHeight w:val="330"/>
        </w:trPr>
        <w:tc>
          <w:tcPr>
            <w:tcW w:w="1625" w:type="dxa"/>
            <w:vMerge/>
            <w:tcBorders>
              <w:top w:val="nil"/>
              <w:left w:val="nil"/>
              <w:bottom w:val="single" w:sz="4" w:space="0" w:color="F2F2F2"/>
              <w:right w:val="nil"/>
            </w:tcBorders>
            <w:vAlign w:val="center"/>
            <w:hideMark/>
          </w:tcPr>
          <w:p w14:paraId="12864AF9" w14:textId="77777777" w:rsidR="000F3DAD" w:rsidRPr="008C2C25" w:rsidRDefault="000F3DAD" w:rsidP="008736AC">
            <w:pPr>
              <w:spacing w:after="0" w:line="240" w:lineRule="auto"/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</w:pPr>
          </w:p>
        </w:tc>
        <w:tc>
          <w:tcPr>
            <w:tcW w:w="7491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auto" w:fill="auto"/>
            <w:vAlign w:val="center"/>
            <w:hideMark/>
          </w:tcPr>
          <w:p w14:paraId="44F6FD16" w14:textId="77777777" w:rsidR="000F3DAD" w:rsidRPr="008C2C25" w:rsidRDefault="000F3DAD" w:rsidP="008736AC">
            <w:pPr>
              <w:spacing w:after="0" w:line="240" w:lineRule="auto"/>
              <w:jc w:val="both"/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</w:pPr>
            <w:r w:rsidRPr="008C2C25"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  <w:t>7) Rozvoj produktů dle legislativy České republiky</w:t>
            </w:r>
          </w:p>
        </w:tc>
      </w:tr>
      <w:tr w:rsidR="008C2C25" w:rsidRPr="008C2C25" w14:paraId="61ED24D6" w14:textId="77777777" w:rsidTr="008736AC">
        <w:trPr>
          <w:trHeight w:val="330"/>
        </w:trPr>
        <w:tc>
          <w:tcPr>
            <w:tcW w:w="1625" w:type="dxa"/>
            <w:vMerge w:val="restart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auto" w:fill="auto"/>
            <w:vAlign w:val="center"/>
            <w:hideMark/>
          </w:tcPr>
          <w:p w14:paraId="16BF58BE" w14:textId="77777777" w:rsidR="000F3DAD" w:rsidRPr="008C2C25" w:rsidRDefault="000F3DAD" w:rsidP="008736AC">
            <w:pPr>
              <w:spacing w:after="0" w:line="240" w:lineRule="auto"/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</w:pPr>
            <w:r w:rsidRPr="008C2C25"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  <w:t>Forma poskytování</w:t>
            </w:r>
          </w:p>
        </w:tc>
        <w:tc>
          <w:tcPr>
            <w:tcW w:w="7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BC3FEC" w14:textId="77777777" w:rsidR="000F3DAD" w:rsidRPr="008C2C25" w:rsidRDefault="000F3DAD" w:rsidP="008736AC">
            <w:pPr>
              <w:spacing w:after="0" w:line="240" w:lineRule="auto"/>
              <w:jc w:val="both"/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</w:pPr>
            <w:r w:rsidRPr="008C2C25"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  <w:t xml:space="preserve">support@alvao.com </w:t>
            </w:r>
          </w:p>
        </w:tc>
      </w:tr>
      <w:tr w:rsidR="008C2C25" w:rsidRPr="008C2C25" w14:paraId="0B918441" w14:textId="77777777" w:rsidTr="008736AC">
        <w:trPr>
          <w:trHeight w:val="330"/>
        </w:trPr>
        <w:tc>
          <w:tcPr>
            <w:tcW w:w="1625" w:type="dxa"/>
            <w:vMerge/>
            <w:tcBorders>
              <w:top w:val="nil"/>
              <w:left w:val="nil"/>
              <w:bottom w:val="single" w:sz="4" w:space="0" w:color="F2F2F2"/>
              <w:right w:val="nil"/>
            </w:tcBorders>
            <w:vAlign w:val="center"/>
            <w:hideMark/>
          </w:tcPr>
          <w:p w14:paraId="61AB195B" w14:textId="77777777" w:rsidR="000F3DAD" w:rsidRPr="008C2C25" w:rsidRDefault="000F3DAD" w:rsidP="008736AC">
            <w:pPr>
              <w:spacing w:after="0" w:line="240" w:lineRule="auto"/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</w:pPr>
          </w:p>
        </w:tc>
        <w:tc>
          <w:tcPr>
            <w:tcW w:w="7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F89C4F" w14:textId="77777777" w:rsidR="000F3DAD" w:rsidRPr="008C2C25" w:rsidRDefault="000F3DAD" w:rsidP="008736AC">
            <w:pPr>
              <w:spacing w:after="0" w:line="240" w:lineRule="auto"/>
              <w:jc w:val="both"/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</w:pPr>
            <w:r w:rsidRPr="008C2C25"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  <w:t>https://www.alvao.com/download</w:t>
            </w:r>
          </w:p>
        </w:tc>
      </w:tr>
      <w:tr w:rsidR="008C2C25" w:rsidRPr="008C2C25" w14:paraId="20524FA8" w14:textId="77777777" w:rsidTr="008736AC">
        <w:trPr>
          <w:trHeight w:val="660"/>
        </w:trPr>
        <w:tc>
          <w:tcPr>
            <w:tcW w:w="1625" w:type="dxa"/>
            <w:vMerge w:val="restart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auto" w:fill="auto"/>
            <w:vAlign w:val="center"/>
            <w:hideMark/>
          </w:tcPr>
          <w:p w14:paraId="688B6756" w14:textId="77777777" w:rsidR="000F3DAD" w:rsidRPr="008C2C25" w:rsidRDefault="000F3DAD" w:rsidP="008736AC">
            <w:pPr>
              <w:spacing w:after="0" w:line="240" w:lineRule="auto"/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</w:pPr>
            <w:r w:rsidRPr="008C2C25"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  <w:t>Cena služby</w:t>
            </w:r>
          </w:p>
        </w:tc>
        <w:tc>
          <w:tcPr>
            <w:tcW w:w="7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083126" w14:textId="77777777" w:rsidR="000F3DAD" w:rsidRPr="008C2C25" w:rsidRDefault="000F3DAD" w:rsidP="008736AC">
            <w:pPr>
              <w:spacing w:after="0" w:line="240" w:lineRule="auto"/>
              <w:jc w:val="both"/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</w:pPr>
            <w:r w:rsidRPr="008C2C25"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  <w:t xml:space="preserve">Cena </w:t>
            </w:r>
            <w:r w:rsidR="006C5B72"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  <w:t>služ</w:t>
            </w:r>
            <w:r w:rsidR="0047329F"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  <w:t>b</w:t>
            </w:r>
            <w:r w:rsidR="006C5B72"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  <w:t xml:space="preserve">y </w:t>
            </w:r>
            <w:r w:rsidRPr="008C2C25"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  <w:t>odpovídá</w:t>
            </w:r>
            <w:r w:rsidR="006C5B72"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  <w:t xml:space="preserve"> obvykle</w:t>
            </w:r>
            <w:r w:rsidRPr="008C2C25"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  <w:t xml:space="preserve"> 20% ze součtu základních ceníkových cen všech poskytnutých licencí ALVAO produktů a modulů. </w:t>
            </w:r>
          </w:p>
        </w:tc>
      </w:tr>
      <w:tr w:rsidR="008C2C25" w:rsidRPr="008C2C25" w14:paraId="0D43467F" w14:textId="77777777" w:rsidTr="008736AC">
        <w:trPr>
          <w:trHeight w:val="660"/>
        </w:trPr>
        <w:tc>
          <w:tcPr>
            <w:tcW w:w="1625" w:type="dxa"/>
            <w:vMerge/>
            <w:tcBorders>
              <w:top w:val="nil"/>
              <w:left w:val="nil"/>
              <w:bottom w:val="single" w:sz="4" w:space="0" w:color="F2F2F2"/>
              <w:right w:val="nil"/>
            </w:tcBorders>
            <w:vAlign w:val="center"/>
            <w:hideMark/>
          </w:tcPr>
          <w:p w14:paraId="10C69323" w14:textId="77777777" w:rsidR="000F3DAD" w:rsidRPr="008C2C25" w:rsidRDefault="000F3DAD" w:rsidP="008736AC">
            <w:pPr>
              <w:spacing w:after="0" w:line="240" w:lineRule="auto"/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</w:pPr>
          </w:p>
        </w:tc>
        <w:tc>
          <w:tcPr>
            <w:tcW w:w="7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07548C" w14:textId="77777777" w:rsidR="000F3DAD" w:rsidRPr="008C2C25" w:rsidRDefault="000F3DAD" w:rsidP="008736AC">
            <w:pPr>
              <w:spacing w:after="0" w:line="240" w:lineRule="auto"/>
              <w:jc w:val="both"/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</w:pPr>
            <w:r w:rsidRPr="008C2C25"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  <w:t>Cena za první rok poskytování služby je zdarma tj. pouze v rámci prvního roku od prvního pořízení licencí k používání ALVAO produktů a modulů.</w:t>
            </w:r>
          </w:p>
        </w:tc>
      </w:tr>
      <w:tr w:rsidR="008C2C25" w:rsidRPr="008C2C25" w14:paraId="13E2ADD4" w14:textId="77777777" w:rsidTr="008736AC">
        <w:trPr>
          <w:trHeight w:val="990"/>
        </w:trPr>
        <w:tc>
          <w:tcPr>
            <w:tcW w:w="1625" w:type="dxa"/>
            <w:vMerge/>
            <w:tcBorders>
              <w:top w:val="nil"/>
              <w:left w:val="nil"/>
              <w:bottom w:val="single" w:sz="4" w:space="0" w:color="F2F2F2"/>
              <w:right w:val="nil"/>
            </w:tcBorders>
            <w:vAlign w:val="center"/>
            <w:hideMark/>
          </w:tcPr>
          <w:p w14:paraId="68F41C20" w14:textId="77777777" w:rsidR="000F3DAD" w:rsidRPr="008C2C25" w:rsidRDefault="000F3DAD" w:rsidP="008736AC">
            <w:pPr>
              <w:spacing w:after="0" w:line="240" w:lineRule="auto"/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</w:pPr>
          </w:p>
        </w:tc>
        <w:tc>
          <w:tcPr>
            <w:tcW w:w="7491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auto" w:fill="auto"/>
            <w:vAlign w:val="center"/>
            <w:hideMark/>
          </w:tcPr>
          <w:p w14:paraId="77E7D4FC" w14:textId="77777777" w:rsidR="000F3DAD" w:rsidRPr="008C2C25" w:rsidRDefault="000F3DAD" w:rsidP="006C5B72">
            <w:pPr>
              <w:spacing w:after="0" w:line="240" w:lineRule="auto"/>
              <w:jc w:val="both"/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</w:pPr>
            <w:r w:rsidRPr="008C2C25"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  <w:t xml:space="preserve">Ke změně ceny služby ALVAO Maintenance automaticky dojde při dokoupení dalších licencí ALVAO produktů nebo modulů. Cena služby ALVAO Maintenance pak bude na další roky </w:t>
            </w:r>
            <w:r w:rsidR="00E1056A"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  <w:t xml:space="preserve"> daná aktuální nabídkou zaslanou </w:t>
            </w:r>
            <w:r w:rsidR="0047329F"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  <w:t>poskytovatelem</w:t>
            </w:r>
            <w:r w:rsidR="00E1056A"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  <w:t>. Aktuální nabídk</w:t>
            </w:r>
            <w:r w:rsidR="006C5B72"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  <w:t>a</w:t>
            </w:r>
            <w:r w:rsidR="00E1056A"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  <w:t xml:space="preserve"> bude zaslaná též před každým prodloužením podpory, dojde</w:t>
            </w:r>
            <w:r w:rsidR="0047329F"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  <w:t>-</w:t>
            </w:r>
            <w:r w:rsidR="00E1056A"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  <w:t>li v následujícím období ke změnám příslušných cen služby.</w:t>
            </w:r>
          </w:p>
        </w:tc>
      </w:tr>
      <w:tr w:rsidR="008C2C25" w:rsidRPr="008C2C25" w14:paraId="020B2616" w14:textId="77777777" w:rsidTr="008736AC">
        <w:trPr>
          <w:trHeight w:val="414"/>
        </w:trPr>
        <w:tc>
          <w:tcPr>
            <w:tcW w:w="1625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auto" w:fill="auto"/>
            <w:vAlign w:val="center"/>
            <w:hideMark/>
          </w:tcPr>
          <w:p w14:paraId="7A334F3E" w14:textId="77777777" w:rsidR="000F3DAD" w:rsidRPr="008C2C25" w:rsidRDefault="000F3DAD" w:rsidP="008736AC">
            <w:pPr>
              <w:spacing w:after="0" w:line="240" w:lineRule="auto"/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</w:pPr>
            <w:r w:rsidRPr="008C2C25"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  <w:t>Zúčtovací období</w:t>
            </w:r>
          </w:p>
        </w:tc>
        <w:tc>
          <w:tcPr>
            <w:tcW w:w="7491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auto" w:fill="auto"/>
            <w:vAlign w:val="center"/>
            <w:hideMark/>
          </w:tcPr>
          <w:p w14:paraId="1D73E454" w14:textId="77777777" w:rsidR="000F3DAD" w:rsidRPr="008C2C25" w:rsidRDefault="000F3DAD" w:rsidP="008736AC">
            <w:pPr>
              <w:spacing w:after="0" w:line="240" w:lineRule="auto"/>
              <w:jc w:val="both"/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</w:pPr>
            <w:r w:rsidRPr="008C2C25"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  <w:t>Zúčtovací období je rok. Fakturace probíhá před započetím čerpání služeb.</w:t>
            </w:r>
          </w:p>
        </w:tc>
      </w:tr>
      <w:tr w:rsidR="008C2C25" w:rsidRPr="008C2C25" w14:paraId="145F2E76" w14:textId="77777777" w:rsidTr="008736AC">
        <w:trPr>
          <w:trHeight w:val="330"/>
        </w:trPr>
        <w:tc>
          <w:tcPr>
            <w:tcW w:w="1625" w:type="dxa"/>
            <w:vMerge w:val="restart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auto" w:fill="auto"/>
            <w:vAlign w:val="center"/>
            <w:hideMark/>
          </w:tcPr>
          <w:p w14:paraId="00C0DCFB" w14:textId="77777777" w:rsidR="000F3DAD" w:rsidRPr="008C2C25" w:rsidRDefault="000F3DAD" w:rsidP="008736AC">
            <w:pPr>
              <w:spacing w:after="0" w:line="240" w:lineRule="auto"/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</w:pPr>
            <w:r w:rsidRPr="008C2C25"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  <w:t>Postupy a podmínky poskytování služby</w:t>
            </w:r>
          </w:p>
        </w:tc>
        <w:tc>
          <w:tcPr>
            <w:tcW w:w="7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A4B80" w14:textId="77777777" w:rsidR="000F3DAD" w:rsidRPr="008C2C25" w:rsidRDefault="000F3DAD" w:rsidP="008736AC">
            <w:pPr>
              <w:spacing w:after="0" w:line="240" w:lineRule="auto"/>
              <w:jc w:val="both"/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</w:pPr>
            <w:r w:rsidRPr="008C2C25"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  <w:t>Stažení a instalaci nových verzí poskytnutých produktů a modulů provádí Objednatel.</w:t>
            </w:r>
          </w:p>
        </w:tc>
      </w:tr>
      <w:tr w:rsidR="008C2C25" w:rsidRPr="008C2C25" w14:paraId="486C30AF" w14:textId="77777777" w:rsidTr="008736AC">
        <w:trPr>
          <w:trHeight w:val="330"/>
        </w:trPr>
        <w:tc>
          <w:tcPr>
            <w:tcW w:w="1625" w:type="dxa"/>
            <w:vMerge/>
            <w:tcBorders>
              <w:top w:val="nil"/>
              <w:left w:val="nil"/>
              <w:bottom w:val="single" w:sz="4" w:space="0" w:color="F2F2F2"/>
              <w:right w:val="nil"/>
            </w:tcBorders>
            <w:vAlign w:val="center"/>
            <w:hideMark/>
          </w:tcPr>
          <w:p w14:paraId="228617BB" w14:textId="77777777" w:rsidR="000F3DAD" w:rsidRPr="008C2C25" w:rsidRDefault="000F3DAD" w:rsidP="008736AC">
            <w:pPr>
              <w:spacing w:after="0" w:line="240" w:lineRule="auto"/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</w:pPr>
          </w:p>
        </w:tc>
        <w:tc>
          <w:tcPr>
            <w:tcW w:w="7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4919B7" w14:textId="77777777" w:rsidR="000F3DAD" w:rsidRPr="008C2C25" w:rsidRDefault="0092078A" w:rsidP="008736AC">
            <w:pPr>
              <w:spacing w:after="0" w:line="240" w:lineRule="auto"/>
              <w:jc w:val="both"/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</w:pPr>
            <w:hyperlink r:id="rId13" w:history="1">
              <w:r w:rsidR="000F3DAD" w:rsidRPr="008C2C25">
                <w:rPr>
                  <w:rFonts w:ascii="Segoe UI Light" w:eastAsia="Times New Roman" w:hAnsi="Segoe UI Light" w:cs="Segoe UI Light"/>
                  <w:spacing w:val="0"/>
                  <w:sz w:val="18"/>
                  <w:szCs w:val="18"/>
                </w:rPr>
                <w:t>http://www.alvao.com/download</w:t>
              </w:r>
            </w:hyperlink>
          </w:p>
        </w:tc>
      </w:tr>
      <w:tr w:rsidR="008C2C25" w:rsidRPr="008C2C25" w14:paraId="2F9AD0D4" w14:textId="77777777" w:rsidTr="008736AC">
        <w:trPr>
          <w:trHeight w:val="330"/>
        </w:trPr>
        <w:tc>
          <w:tcPr>
            <w:tcW w:w="1625" w:type="dxa"/>
            <w:vMerge/>
            <w:tcBorders>
              <w:top w:val="nil"/>
              <w:left w:val="nil"/>
              <w:bottom w:val="single" w:sz="4" w:space="0" w:color="F2F2F2"/>
              <w:right w:val="nil"/>
            </w:tcBorders>
            <w:vAlign w:val="center"/>
            <w:hideMark/>
          </w:tcPr>
          <w:p w14:paraId="7994940B" w14:textId="77777777" w:rsidR="000F3DAD" w:rsidRPr="008C2C25" w:rsidRDefault="000F3DAD" w:rsidP="008736AC">
            <w:pPr>
              <w:spacing w:after="0" w:line="240" w:lineRule="auto"/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</w:pPr>
          </w:p>
        </w:tc>
        <w:tc>
          <w:tcPr>
            <w:tcW w:w="7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006E78" w14:textId="77777777" w:rsidR="000F3DAD" w:rsidRPr="008C2C25" w:rsidRDefault="000F3DAD" w:rsidP="008736AC">
            <w:pPr>
              <w:spacing w:after="0" w:line="240" w:lineRule="auto"/>
              <w:jc w:val="both"/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</w:pPr>
            <w:r w:rsidRPr="008C2C25"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  <w:t xml:space="preserve">Dokumentace je k dispozici na https://doc.alvao.com/support/doc </w:t>
            </w:r>
          </w:p>
        </w:tc>
      </w:tr>
      <w:tr w:rsidR="008C2C25" w:rsidRPr="008C2C25" w14:paraId="01157B5F" w14:textId="77777777" w:rsidTr="008736AC">
        <w:trPr>
          <w:trHeight w:val="330"/>
        </w:trPr>
        <w:tc>
          <w:tcPr>
            <w:tcW w:w="1625" w:type="dxa"/>
            <w:vMerge/>
            <w:tcBorders>
              <w:top w:val="nil"/>
              <w:left w:val="nil"/>
              <w:bottom w:val="single" w:sz="4" w:space="0" w:color="F2F2F2"/>
              <w:right w:val="nil"/>
            </w:tcBorders>
            <w:vAlign w:val="center"/>
            <w:hideMark/>
          </w:tcPr>
          <w:p w14:paraId="614A29AF" w14:textId="77777777" w:rsidR="000F3DAD" w:rsidRPr="008C2C25" w:rsidRDefault="000F3DAD" w:rsidP="008736AC">
            <w:pPr>
              <w:spacing w:after="0" w:line="240" w:lineRule="auto"/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</w:pPr>
          </w:p>
        </w:tc>
        <w:tc>
          <w:tcPr>
            <w:tcW w:w="7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2E0227" w14:textId="77777777" w:rsidR="000F3DAD" w:rsidRPr="008C2C25" w:rsidRDefault="000F3DAD" w:rsidP="008736AC">
            <w:pPr>
              <w:spacing w:after="0" w:line="240" w:lineRule="auto"/>
              <w:jc w:val="both"/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</w:pPr>
            <w:r w:rsidRPr="008C2C25"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  <w:t>Rozsah a harmonogram rozvoje produktů a modulů stanovuje Výrobce.</w:t>
            </w:r>
          </w:p>
        </w:tc>
      </w:tr>
      <w:tr w:rsidR="008C2C25" w:rsidRPr="008C2C25" w14:paraId="59BC2CB5" w14:textId="77777777" w:rsidTr="008736AC">
        <w:trPr>
          <w:trHeight w:val="759"/>
        </w:trPr>
        <w:tc>
          <w:tcPr>
            <w:tcW w:w="1625" w:type="dxa"/>
            <w:vMerge/>
            <w:tcBorders>
              <w:top w:val="nil"/>
              <w:left w:val="nil"/>
              <w:bottom w:val="single" w:sz="4" w:space="0" w:color="F2F2F2"/>
              <w:right w:val="nil"/>
            </w:tcBorders>
            <w:vAlign w:val="center"/>
            <w:hideMark/>
          </w:tcPr>
          <w:p w14:paraId="302A9FE3" w14:textId="77777777" w:rsidR="000F3DAD" w:rsidRPr="008C2C25" w:rsidRDefault="000F3DAD" w:rsidP="008736AC">
            <w:pPr>
              <w:spacing w:after="0" w:line="240" w:lineRule="auto"/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</w:pPr>
          </w:p>
        </w:tc>
        <w:tc>
          <w:tcPr>
            <w:tcW w:w="7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44A007" w14:textId="77777777" w:rsidR="000F3DAD" w:rsidRPr="008C2C25" w:rsidRDefault="000F3DAD" w:rsidP="008736AC">
            <w:pPr>
              <w:spacing w:after="0" w:line="240" w:lineRule="auto"/>
              <w:jc w:val="both"/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</w:pPr>
            <w:r w:rsidRPr="008C2C25"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  <w:t>Stažení a instalaci aktualizací Knihovny softwarových produktů provádí Objednatel nebo systém ALVAO automaticky, pokud je funkce aktivovaná. V případě aktivované funkce jsou data zasílána anonymně. Rozsah a harmonogram údržby a distribuce knihovny softwarových produktů stanovuje výrobce produktů ALVAO.</w:t>
            </w:r>
          </w:p>
        </w:tc>
      </w:tr>
      <w:tr w:rsidR="008C2C25" w:rsidRPr="008C2C25" w14:paraId="52FFCA10" w14:textId="77777777" w:rsidTr="008736AC">
        <w:trPr>
          <w:trHeight w:val="558"/>
        </w:trPr>
        <w:tc>
          <w:tcPr>
            <w:tcW w:w="1625" w:type="dxa"/>
            <w:vMerge/>
            <w:tcBorders>
              <w:top w:val="nil"/>
              <w:left w:val="nil"/>
              <w:bottom w:val="single" w:sz="4" w:space="0" w:color="F2F2F2"/>
              <w:right w:val="nil"/>
            </w:tcBorders>
            <w:vAlign w:val="center"/>
            <w:hideMark/>
          </w:tcPr>
          <w:p w14:paraId="230BFD3D" w14:textId="77777777" w:rsidR="000F3DAD" w:rsidRPr="008C2C25" w:rsidRDefault="000F3DAD" w:rsidP="008736AC">
            <w:pPr>
              <w:spacing w:after="0" w:line="240" w:lineRule="auto"/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</w:pPr>
          </w:p>
        </w:tc>
        <w:tc>
          <w:tcPr>
            <w:tcW w:w="7491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auto" w:fill="auto"/>
            <w:vAlign w:val="center"/>
            <w:hideMark/>
          </w:tcPr>
          <w:p w14:paraId="1DFECCB4" w14:textId="1D5A4969" w:rsidR="000F3DAD" w:rsidRPr="008C2C25" w:rsidRDefault="000F3DAD" w:rsidP="0047329F">
            <w:pPr>
              <w:spacing w:after="0" w:line="240" w:lineRule="auto"/>
              <w:jc w:val="both"/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</w:pPr>
            <w:r w:rsidRPr="008C2C25"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  <w:t xml:space="preserve">ALVAO Maintenance musí být Objednatelem pořízeny kontinuálně tj. každý rok. V případě, že Objednatel nepořídí ALVAO Maintenance před uplynutím doby předchozího ALVAO Maintenance, </w:t>
            </w:r>
            <w:r w:rsidR="006C5B72"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  <w:t xml:space="preserve"> je objednatel  povinen při požadavku na obnovu pod</w:t>
            </w:r>
            <w:r w:rsidR="0047329F"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  <w:t>p</w:t>
            </w:r>
            <w:r w:rsidR="006C5B72"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  <w:t xml:space="preserve">ory po přerušení podporu doplatit zpětně, nebo provést jinou dohodu o provozování </w:t>
            </w:r>
            <w:r w:rsidR="0047329F"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  <w:t> podpory s Poskytovatelem.</w:t>
            </w:r>
          </w:p>
        </w:tc>
      </w:tr>
    </w:tbl>
    <w:p w14:paraId="39F7BC40" w14:textId="77777777" w:rsidR="000F3DAD" w:rsidRPr="008C2C25" w:rsidRDefault="000F3DAD" w:rsidP="000F3DAD"/>
    <w:tbl>
      <w:tblPr>
        <w:tblpPr w:leftFromText="141" w:rightFromText="141" w:vertAnchor="text" w:horzAnchor="margin" w:tblpY="-60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2834"/>
        <w:gridCol w:w="1985"/>
      </w:tblGrid>
      <w:tr w:rsidR="008C2C25" w:rsidRPr="008C2C25" w14:paraId="75D89B2D" w14:textId="77777777" w:rsidTr="008736AC">
        <w:trPr>
          <w:trHeight w:val="43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DC76D" w14:textId="77777777" w:rsidR="000F3DAD" w:rsidRPr="008C2C25" w:rsidRDefault="000F3DAD" w:rsidP="008736AC">
            <w:pPr>
              <w:spacing w:after="0" w:line="240" w:lineRule="auto"/>
              <w:jc w:val="center"/>
              <w:rPr>
                <w:rFonts w:eastAsia="Times New Roman" w:cs="Segoe UI"/>
                <w:sz w:val="18"/>
                <w:szCs w:val="18"/>
              </w:rPr>
            </w:pPr>
            <w:r w:rsidRPr="008C2C25">
              <w:rPr>
                <w:rFonts w:eastAsia="Times New Roman" w:cs="Segoe UI"/>
                <w:sz w:val="18"/>
                <w:szCs w:val="18"/>
              </w:rPr>
              <w:t>Kontaktní osoby pro zasílání licenčních aktivačních klíčů</w:t>
            </w:r>
          </w:p>
        </w:tc>
      </w:tr>
      <w:tr w:rsidR="008C2C25" w:rsidRPr="008C2C25" w14:paraId="3429626E" w14:textId="77777777" w:rsidTr="008736AC">
        <w:trPr>
          <w:trHeight w:val="82"/>
        </w:trPr>
        <w:tc>
          <w:tcPr>
            <w:tcW w:w="2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C613D9" w14:textId="77777777" w:rsidR="000F3DAD" w:rsidRPr="008C2C25" w:rsidRDefault="000F3DAD" w:rsidP="008736AC">
            <w:pPr>
              <w:spacing w:after="0" w:line="240" w:lineRule="auto"/>
              <w:jc w:val="center"/>
              <w:rPr>
                <w:rFonts w:eastAsia="Times New Roman" w:cs="Segoe UI"/>
                <w:sz w:val="18"/>
                <w:szCs w:val="18"/>
              </w:rPr>
            </w:pPr>
            <w:r w:rsidRPr="008C2C25">
              <w:rPr>
                <w:rFonts w:eastAsia="Times New Roman" w:cs="Segoe UI"/>
                <w:sz w:val="18"/>
                <w:szCs w:val="18"/>
              </w:rPr>
              <w:t>jméno a příjmení</w:t>
            </w:r>
          </w:p>
        </w:tc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F4211A" w14:textId="77777777" w:rsidR="000F3DAD" w:rsidRPr="008C2C25" w:rsidRDefault="000F3DAD" w:rsidP="008736AC">
            <w:pPr>
              <w:spacing w:after="0" w:line="240" w:lineRule="auto"/>
              <w:jc w:val="center"/>
              <w:rPr>
                <w:rFonts w:eastAsia="Times New Roman" w:cs="Segoe UI"/>
                <w:sz w:val="18"/>
                <w:szCs w:val="18"/>
              </w:rPr>
            </w:pPr>
            <w:r w:rsidRPr="008C2C25">
              <w:rPr>
                <w:rFonts w:eastAsia="Times New Roman" w:cs="Segoe UI"/>
                <w:sz w:val="18"/>
                <w:szCs w:val="18"/>
              </w:rPr>
              <w:t>email</w:t>
            </w:r>
          </w:p>
        </w:tc>
        <w:tc>
          <w:tcPr>
            <w:tcW w:w="10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A6E845" w14:textId="77777777" w:rsidR="000F3DAD" w:rsidRPr="008C2C25" w:rsidRDefault="000F3DAD" w:rsidP="008736AC">
            <w:pPr>
              <w:spacing w:after="0" w:line="240" w:lineRule="auto"/>
              <w:jc w:val="center"/>
              <w:rPr>
                <w:rFonts w:eastAsia="Times New Roman" w:cs="Segoe UI"/>
                <w:sz w:val="18"/>
                <w:szCs w:val="18"/>
              </w:rPr>
            </w:pPr>
            <w:r w:rsidRPr="008C2C25">
              <w:rPr>
                <w:rFonts w:eastAsia="Times New Roman" w:cs="Segoe UI"/>
                <w:sz w:val="18"/>
                <w:szCs w:val="18"/>
              </w:rPr>
              <w:t>telefon</w:t>
            </w:r>
          </w:p>
        </w:tc>
      </w:tr>
      <w:tr w:rsidR="008C2C25" w:rsidRPr="008C2C25" w14:paraId="7258F967" w14:textId="77777777" w:rsidTr="008736AC">
        <w:trPr>
          <w:trHeight w:val="391"/>
        </w:trPr>
        <w:tc>
          <w:tcPr>
            <w:tcW w:w="2344" w:type="pct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  <w:shd w:val="clear" w:color="auto" w:fill="auto"/>
            <w:vAlign w:val="center"/>
          </w:tcPr>
          <w:p w14:paraId="32B1D4C1" w14:textId="3B1CBD29" w:rsidR="000F3DAD" w:rsidRPr="008C2C25" w:rsidRDefault="00566B01" w:rsidP="00566B01">
            <w:pPr>
              <w:spacing w:after="0" w:line="240" w:lineRule="auto"/>
              <w:jc w:val="center"/>
              <w:rPr>
                <w:rFonts w:eastAsia="Times New Roman" w:cs="Segoe UI"/>
                <w:sz w:val="18"/>
                <w:szCs w:val="18"/>
              </w:rPr>
            </w:pPr>
            <w:r>
              <w:rPr>
                <w:rFonts w:eastAsia="Times New Roman" w:cs="Segoe UI"/>
                <w:sz w:val="18"/>
                <w:szCs w:val="18"/>
              </w:rPr>
              <w:t>Lukáš Strnad</w:t>
            </w:r>
          </w:p>
        </w:tc>
        <w:tc>
          <w:tcPr>
            <w:tcW w:w="1562" w:type="pct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  <w:vAlign w:val="center"/>
          </w:tcPr>
          <w:p w14:paraId="6B3BABD4" w14:textId="1B3961B1" w:rsidR="00566B01" w:rsidRPr="008C2C25" w:rsidRDefault="0092078A" w:rsidP="00566B01">
            <w:pPr>
              <w:spacing w:after="0" w:line="240" w:lineRule="auto"/>
              <w:jc w:val="center"/>
              <w:rPr>
                <w:rFonts w:eastAsia="Times New Roman" w:cs="Segoe UI"/>
                <w:sz w:val="18"/>
                <w:szCs w:val="18"/>
              </w:rPr>
            </w:pPr>
            <w:r>
              <w:rPr>
                <w:rFonts w:eastAsia="Times New Roman" w:cs="Segoe UI"/>
                <w:sz w:val="18"/>
                <w:szCs w:val="18"/>
              </w:rPr>
              <w:t>XXXXXX</w:t>
            </w:r>
          </w:p>
        </w:tc>
        <w:tc>
          <w:tcPr>
            <w:tcW w:w="1094" w:type="pct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  <w:shd w:val="clear" w:color="auto" w:fill="auto"/>
            <w:noWrap/>
            <w:vAlign w:val="center"/>
          </w:tcPr>
          <w:p w14:paraId="6B3BDB4D" w14:textId="4D0EBD0B" w:rsidR="000F3DAD" w:rsidRPr="00566B01" w:rsidRDefault="0092078A" w:rsidP="00566B01">
            <w:pPr>
              <w:spacing w:after="0" w:line="240" w:lineRule="auto"/>
              <w:jc w:val="center"/>
              <w:rPr>
                <w:rFonts w:eastAsia="Times New Roman" w:cs="Segoe UI"/>
                <w:sz w:val="18"/>
                <w:szCs w:val="18"/>
              </w:rPr>
            </w:pPr>
            <w:r>
              <w:rPr>
                <w:rFonts w:eastAsia="Times New Roman" w:cs="Segoe UI"/>
                <w:sz w:val="18"/>
                <w:szCs w:val="18"/>
              </w:rPr>
              <w:t>XXXXXX</w:t>
            </w:r>
          </w:p>
        </w:tc>
      </w:tr>
    </w:tbl>
    <w:p w14:paraId="5A64DBED" w14:textId="77777777" w:rsidR="000F3DAD" w:rsidRPr="008C2C25" w:rsidRDefault="000F3DAD" w:rsidP="000F3DAD">
      <w:pPr>
        <w:spacing w:after="0" w:line="240" w:lineRule="auto"/>
      </w:pPr>
    </w:p>
    <w:p w14:paraId="6A560882" w14:textId="77777777" w:rsidR="000F3DAD" w:rsidRPr="008C2C25" w:rsidRDefault="000F3DAD" w:rsidP="000F3DAD">
      <w:pPr>
        <w:pStyle w:val="Nadpis1"/>
        <w:numPr>
          <w:ilvl w:val="0"/>
          <w:numId w:val="41"/>
        </w:numPr>
        <w:rPr>
          <w:color w:val="auto"/>
        </w:rPr>
      </w:pPr>
      <w:bookmarkStart w:id="2" w:name="_Ref27661456"/>
      <w:r w:rsidRPr="008C2C25">
        <w:rPr>
          <w:color w:val="auto"/>
        </w:rPr>
        <w:t>Zajištění podpory provozu ALVAO produktů a modulů</w:t>
      </w:r>
      <w:bookmarkEnd w:id="2"/>
    </w:p>
    <w:tbl>
      <w:tblPr>
        <w:tblW w:w="9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0"/>
        <w:gridCol w:w="2620"/>
        <w:gridCol w:w="2640"/>
        <w:gridCol w:w="2660"/>
      </w:tblGrid>
      <w:tr w:rsidR="008C2C25" w:rsidRPr="008C2C25" w14:paraId="78C088F9" w14:textId="77777777" w:rsidTr="008736AC">
        <w:trPr>
          <w:trHeight w:val="330"/>
        </w:trPr>
        <w:tc>
          <w:tcPr>
            <w:tcW w:w="1260" w:type="dxa"/>
            <w:vMerge w:val="restart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auto" w:fill="auto"/>
            <w:vAlign w:val="center"/>
            <w:hideMark/>
          </w:tcPr>
          <w:p w14:paraId="01915546" w14:textId="77777777" w:rsidR="000F3DAD" w:rsidRPr="008C2C25" w:rsidRDefault="000F3DAD" w:rsidP="008736AC">
            <w:pPr>
              <w:spacing w:after="0" w:line="240" w:lineRule="auto"/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</w:pPr>
            <w:r w:rsidRPr="008C2C25"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  <w:t>Varianty  služby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80FD13" w14:textId="77777777" w:rsidR="000F3DAD" w:rsidRPr="008C2C25" w:rsidRDefault="000F3DAD" w:rsidP="008736AC">
            <w:pPr>
              <w:spacing w:after="0" w:line="240" w:lineRule="auto"/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</w:pPr>
            <w:r w:rsidRPr="008C2C25"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  <w:t>ALVAO Support Basic</w:t>
            </w:r>
          </w:p>
        </w:tc>
        <w:tc>
          <w:tcPr>
            <w:tcW w:w="2640" w:type="dxa"/>
            <w:tcBorders>
              <w:top w:val="nil"/>
              <w:left w:val="single" w:sz="4" w:space="0" w:color="F2F2F2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79A6E8" w14:textId="77777777" w:rsidR="000F3DAD" w:rsidRPr="008C2C25" w:rsidRDefault="000F3DAD" w:rsidP="008736AC">
            <w:pPr>
              <w:spacing w:after="0" w:line="240" w:lineRule="auto"/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</w:pPr>
            <w:r w:rsidRPr="008C2C25"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  <w:t>ALVAO Support Standard</w:t>
            </w:r>
          </w:p>
        </w:tc>
        <w:tc>
          <w:tcPr>
            <w:tcW w:w="2660" w:type="dxa"/>
            <w:tcBorders>
              <w:top w:val="nil"/>
              <w:left w:val="single" w:sz="4" w:space="0" w:color="F2F2F2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04F1E4" w14:textId="77777777" w:rsidR="000F3DAD" w:rsidRPr="008C2C25" w:rsidRDefault="000F3DAD" w:rsidP="008736AC">
            <w:pPr>
              <w:spacing w:after="0" w:line="240" w:lineRule="auto"/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</w:pPr>
            <w:r w:rsidRPr="008C2C25"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  <w:t>ALVAO Support Enterprise</w:t>
            </w:r>
          </w:p>
        </w:tc>
      </w:tr>
      <w:tr w:rsidR="008C2C25" w:rsidRPr="008C2C25" w14:paraId="3818B393" w14:textId="77777777" w:rsidTr="008736AC">
        <w:trPr>
          <w:trHeight w:val="330"/>
        </w:trPr>
        <w:tc>
          <w:tcPr>
            <w:tcW w:w="1260" w:type="dxa"/>
            <w:vMerge/>
            <w:tcBorders>
              <w:top w:val="nil"/>
              <w:left w:val="nil"/>
              <w:bottom w:val="single" w:sz="4" w:space="0" w:color="F2F2F2"/>
              <w:right w:val="nil"/>
            </w:tcBorders>
            <w:vAlign w:val="center"/>
            <w:hideMark/>
          </w:tcPr>
          <w:p w14:paraId="0D53ADCC" w14:textId="77777777" w:rsidR="000F3DAD" w:rsidRPr="008C2C25" w:rsidRDefault="000F3DAD" w:rsidP="008736AC">
            <w:pPr>
              <w:spacing w:after="0" w:line="240" w:lineRule="auto"/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auto" w:fill="auto"/>
            <w:vAlign w:val="center"/>
            <w:hideMark/>
          </w:tcPr>
          <w:p w14:paraId="5E3F2FF8" w14:textId="77777777" w:rsidR="000F3DAD" w:rsidRPr="008C2C25" w:rsidRDefault="000F3DAD" w:rsidP="008736AC">
            <w:pPr>
              <w:spacing w:after="0" w:line="240" w:lineRule="auto"/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</w:pPr>
            <w:r w:rsidRPr="008C2C25"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  <w:t>ALVAO Support Basic+</w:t>
            </w:r>
          </w:p>
        </w:tc>
        <w:tc>
          <w:tcPr>
            <w:tcW w:w="2640" w:type="dxa"/>
            <w:tcBorders>
              <w:top w:val="nil"/>
              <w:left w:val="single" w:sz="4" w:space="0" w:color="F2F2F2"/>
              <w:bottom w:val="single" w:sz="4" w:space="0" w:color="F2F2F2"/>
              <w:right w:val="nil"/>
            </w:tcBorders>
            <w:shd w:val="clear" w:color="auto" w:fill="auto"/>
            <w:vAlign w:val="center"/>
            <w:hideMark/>
          </w:tcPr>
          <w:p w14:paraId="39201429" w14:textId="77777777" w:rsidR="000F3DAD" w:rsidRPr="008C2C25" w:rsidRDefault="000F3DAD" w:rsidP="008736AC">
            <w:pPr>
              <w:spacing w:after="0" w:line="240" w:lineRule="auto"/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</w:pPr>
            <w:r w:rsidRPr="008C2C25"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  <w:t>ALVAO Support Standard+</w:t>
            </w:r>
          </w:p>
        </w:tc>
        <w:tc>
          <w:tcPr>
            <w:tcW w:w="2660" w:type="dxa"/>
            <w:tcBorders>
              <w:top w:val="nil"/>
              <w:left w:val="single" w:sz="4" w:space="0" w:color="F2F2F2"/>
              <w:bottom w:val="single" w:sz="4" w:space="0" w:color="F2F2F2"/>
              <w:right w:val="nil"/>
            </w:tcBorders>
            <w:shd w:val="clear" w:color="auto" w:fill="auto"/>
            <w:vAlign w:val="center"/>
            <w:hideMark/>
          </w:tcPr>
          <w:p w14:paraId="1EB24549" w14:textId="77777777" w:rsidR="000F3DAD" w:rsidRPr="008C2C25" w:rsidRDefault="000F3DAD" w:rsidP="008736AC">
            <w:pPr>
              <w:spacing w:after="0" w:line="240" w:lineRule="auto"/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</w:pPr>
            <w:r w:rsidRPr="008C2C25"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  <w:t> </w:t>
            </w:r>
          </w:p>
        </w:tc>
      </w:tr>
      <w:tr w:rsidR="008C2C25" w:rsidRPr="008C2C25" w14:paraId="1F9308BB" w14:textId="77777777" w:rsidTr="008736AC">
        <w:trPr>
          <w:trHeight w:val="660"/>
        </w:trPr>
        <w:tc>
          <w:tcPr>
            <w:tcW w:w="1260" w:type="dxa"/>
            <w:vMerge w:val="restart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auto" w:fill="auto"/>
            <w:vAlign w:val="center"/>
            <w:hideMark/>
          </w:tcPr>
          <w:p w14:paraId="26ADCEC5" w14:textId="77777777" w:rsidR="000F3DAD" w:rsidRPr="008C2C25" w:rsidRDefault="000F3DAD" w:rsidP="008736AC">
            <w:pPr>
              <w:spacing w:after="0" w:line="240" w:lineRule="auto"/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</w:pPr>
            <w:r w:rsidRPr="008C2C25"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  <w:t>Specifikace služby</w:t>
            </w:r>
          </w:p>
        </w:tc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E2102A" w14:textId="77777777" w:rsidR="000F3DAD" w:rsidRPr="008C2C25" w:rsidRDefault="000F3DAD" w:rsidP="008736AC">
            <w:pPr>
              <w:spacing w:after="0" w:line="240" w:lineRule="auto"/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</w:pPr>
            <w:r w:rsidRPr="008C2C25"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  <w:t>1) Řešení chyb v produktech ALVAO a řešení problémů s produkty ALVAO. Spolupráce při řešení krizových stavů při provozování produktů ALVAO. Služba je poskytována vzdáleně.</w:t>
            </w:r>
          </w:p>
        </w:tc>
      </w:tr>
      <w:tr w:rsidR="008C2C25" w:rsidRPr="008C2C25" w14:paraId="41830C1B" w14:textId="77777777" w:rsidTr="008736AC">
        <w:trPr>
          <w:trHeight w:val="660"/>
        </w:trPr>
        <w:tc>
          <w:tcPr>
            <w:tcW w:w="1260" w:type="dxa"/>
            <w:vMerge/>
            <w:tcBorders>
              <w:top w:val="nil"/>
              <w:left w:val="nil"/>
              <w:bottom w:val="single" w:sz="4" w:space="0" w:color="F2F2F2"/>
              <w:right w:val="nil"/>
            </w:tcBorders>
            <w:vAlign w:val="center"/>
            <w:hideMark/>
          </w:tcPr>
          <w:p w14:paraId="66C2AFF2" w14:textId="77777777" w:rsidR="000F3DAD" w:rsidRPr="008C2C25" w:rsidRDefault="000F3DAD" w:rsidP="008736AC">
            <w:pPr>
              <w:spacing w:after="0" w:line="240" w:lineRule="auto"/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</w:pPr>
          </w:p>
        </w:tc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E4B1BA" w14:textId="77777777" w:rsidR="000F3DAD" w:rsidRPr="008C2C25" w:rsidRDefault="000F3DAD" w:rsidP="008736AC">
            <w:pPr>
              <w:spacing w:after="0" w:line="240" w:lineRule="auto"/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</w:pPr>
            <w:r w:rsidRPr="008C2C25"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  <w:t xml:space="preserve">2) Telefonické a emailové poradenství nad produkty ALVAO v souladu s dokumentací a FAQ. Služba je poskytována vzdáleně. </w:t>
            </w:r>
          </w:p>
        </w:tc>
      </w:tr>
      <w:tr w:rsidR="008C2C25" w:rsidRPr="008C2C25" w14:paraId="29F13310" w14:textId="77777777" w:rsidTr="008736AC">
        <w:trPr>
          <w:trHeight w:val="660"/>
        </w:trPr>
        <w:tc>
          <w:tcPr>
            <w:tcW w:w="1260" w:type="dxa"/>
            <w:vMerge/>
            <w:tcBorders>
              <w:top w:val="nil"/>
              <w:left w:val="nil"/>
              <w:bottom w:val="single" w:sz="4" w:space="0" w:color="F2F2F2"/>
              <w:right w:val="nil"/>
            </w:tcBorders>
            <w:vAlign w:val="center"/>
            <w:hideMark/>
          </w:tcPr>
          <w:p w14:paraId="5B7431FC" w14:textId="77777777" w:rsidR="000F3DAD" w:rsidRPr="008C2C25" w:rsidRDefault="000F3DAD" w:rsidP="008736AC">
            <w:pPr>
              <w:spacing w:after="0" w:line="240" w:lineRule="auto"/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</w:pPr>
          </w:p>
        </w:tc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AE8A02" w14:textId="77777777" w:rsidR="000F3DAD" w:rsidRPr="008C2C25" w:rsidRDefault="000F3DAD" w:rsidP="008736AC">
            <w:pPr>
              <w:spacing w:after="0" w:line="240" w:lineRule="auto"/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</w:pPr>
            <w:r w:rsidRPr="008C2C25"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  <w:t>3) Přístup do Service Desku Poskytovatele skrze web a přístup do Znalostní báze Poskytovatele skrze web.  Služba je poskytována vzdáleně.</w:t>
            </w:r>
          </w:p>
        </w:tc>
      </w:tr>
      <w:tr w:rsidR="008C2C25" w:rsidRPr="008C2C25" w14:paraId="118A043E" w14:textId="77777777" w:rsidTr="008736AC">
        <w:trPr>
          <w:trHeight w:val="990"/>
        </w:trPr>
        <w:tc>
          <w:tcPr>
            <w:tcW w:w="1260" w:type="dxa"/>
            <w:vMerge/>
            <w:tcBorders>
              <w:top w:val="nil"/>
              <w:left w:val="nil"/>
              <w:bottom w:val="single" w:sz="4" w:space="0" w:color="F2F2F2"/>
              <w:right w:val="nil"/>
            </w:tcBorders>
            <w:vAlign w:val="center"/>
            <w:hideMark/>
          </w:tcPr>
          <w:p w14:paraId="2540B977" w14:textId="77777777" w:rsidR="000F3DAD" w:rsidRPr="008C2C25" w:rsidRDefault="000F3DAD" w:rsidP="008736AC">
            <w:pPr>
              <w:spacing w:after="0" w:line="240" w:lineRule="auto"/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</w:pPr>
          </w:p>
        </w:tc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17DD1A" w14:textId="77777777" w:rsidR="000F3DAD" w:rsidRPr="008C2C25" w:rsidRDefault="000F3DAD" w:rsidP="008736AC">
            <w:pPr>
              <w:spacing w:after="0" w:line="240" w:lineRule="auto"/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</w:pPr>
            <w:r w:rsidRPr="008C2C25"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  <w:t>4) Konzultace a plánování budoucího rozvoje produktů ALVAO. Konzultace možných příčin problémů a důsledků Objednatelem zvažovaného úkonu a jeho vlivu na produkty ALVAO. Služba je poskytována vzdáleně nebo v místě</w:t>
            </w:r>
          </w:p>
        </w:tc>
      </w:tr>
      <w:tr w:rsidR="008C2C25" w:rsidRPr="008C2C25" w14:paraId="126A8228" w14:textId="77777777" w:rsidTr="008736AC">
        <w:trPr>
          <w:trHeight w:val="990"/>
        </w:trPr>
        <w:tc>
          <w:tcPr>
            <w:tcW w:w="1260" w:type="dxa"/>
            <w:vMerge/>
            <w:tcBorders>
              <w:top w:val="nil"/>
              <w:left w:val="nil"/>
              <w:bottom w:val="single" w:sz="4" w:space="0" w:color="F2F2F2"/>
              <w:right w:val="nil"/>
            </w:tcBorders>
            <w:vAlign w:val="center"/>
            <w:hideMark/>
          </w:tcPr>
          <w:p w14:paraId="76D1712C" w14:textId="77777777" w:rsidR="000F3DAD" w:rsidRPr="008C2C25" w:rsidRDefault="000F3DAD" w:rsidP="008736AC">
            <w:pPr>
              <w:spacing w:after="0" w:line="240" w:lineRule="auto"/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</w:pPr>
          </w:p>
        </w:tc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EF9D18" w14:textId="77777777" w:rsidR="000F3DAD" w:rsidRPr="008C2C25" w:rsidRDefault="000F3DAD" w:rsidP="008736AC">
            <w:pPr>
              <w:spacing w:after="0" w:line="240" w:lineRule="auto"/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</w:pPr>
            <w:r w:rsidRPr="008C2C25"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  <w:t>5) Provedení preventivní kontroly (profylaxe) stavu produktů ALVAO z funkčního hlediska (kontrola logů, výkonnostních parametrů), popřípadě provedení drobných konfigurací nastavení. Služba je poskytována vzdáleně nebo v místě. Objednatel obdrží zprávu o stavu a případná doporučení.</w:t>
            </w:r>
          </w:p>
        </w:tc>
      </w:tr>
      <w:tr w:rsidR="008C2C25" w:rsidRPr="008C2C25" w14:paraId="0FE1EF3D" w14:textId="77777777" w:rsidTr="008736AC">
        <w:trPr>
          <w:trHeight w:val="660"/>
        </w:trPr>
        <w:tc>
          <w:tcPr>
            <w:tcW w:w="1260" w:type="dxa"/>
            <w:vMerge/>
            <w:tcBorders>
              <w:top w:val="nil"/>
              <w:left w:val="nil"/>
              <w:bottom w:val="single" w:sz="4" w:space="0" w:color="F2F2F2"/>
              <w:right w:val="nil"/>
            </w:tcBorders>
            <w:vAlign w:val="center"/>
            <w:hideMark/>
          </w:tcPr>
          <w:p w14:paraId="1B0FE33E" w14:textId="77777777" w:rsidR="000F3DAD" w:rsidRPr="008C2C25" w:rsidRDefault="000F3DAD" w:rsidP="008736AC">
            <w:pPr>
              <w:spacing w:after="0" w:line="240" w:lineRule="auto"/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</w:pPr>
          </w:p>
        </w:tc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8D8987" w14:textId="77777777" w:rsidR="000F3DAD" w:rsidRPr="008C2C25" w:rsidRDefault="000F3DAD" w:rsidP="008736AC">
            <w:pPr>
              <w:spacing w:after="0" w:line="240" w:lineRule="auto"/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</w:pPr>
            <w:r w:rsidRPr="008C2C25"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  <w:t>6) Upgrade na nové verze produktů ALVAO včetně základního zaškolení novinek max. 8 lidí. Služba je poskytována vzdáleně nebo v místě.</w:t>
            </w:r>
          </w:p>
        </w:tc>
      </w:tr>
      <w:tr w:rsidR="008C2C25" w:rsidRPr="008C2C25" w14:paraId="710A56CD" w14:textId="77777777" w:rsidTr="008736AC">
        <w:trPr>
          <w:trHeight w:val="975"/>
        </w:trPr>
        <w:tc>
          <w:tcPr>
            <w:tcW w:w="1260" w:type="dxa"/>
            <w:vMerge/>
            <w:tcBorders>
              <w:top w:val="nil"/>
              <w:left w:val="nil"/>
              <w:bottom w:val="single" w:sz="4" w:space="0" w:color="F2F2F2"/>
              <w:right w:val="nil"/>
            </w:tcBorders>
            <w:vAlign w:val="center"/>
            <w:hideMark/>
          </w:tcPr>
          <w:p w14:paraId="69A3BFEA" w14:textId="77777777" w:rsidR="000F3DAD" w:rsidRPr="008C2C25" w:rsidRDefault="000F3DAD" w:rsidP="008736AC">
            <w:pPr>
              <w:spacing w:after="0" w:line="240" w:lineRule="auto"/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</w:pPr>
          </w:p>
        </w:tc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065C28" w14:textId="77777777" w:rsidR="000F3DAD" w:rsidRPr="008C2C25" w:rsidRDefault="000F3DAD" w:rsidP="008736AC">
            <w:pPr>
              <w:spacing w:after="0" w:line="240" w:lineRule="auto"/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</w:pPr>
            <w:r w:rsidRPr="008C2C25"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  <w:t>7) Pomoc při obnově systému ALVAO po havárii infrastruktury. Pomoc při rekonstrukci, obnově systému po havárii infrastruktury z poslední funkční zálohy. Služba je poskytována vzdáleně nebo v místě. Služba je poskytována pouze ve variantě Standard+ a Enterprise.</w:t>
            </w:r>
          </w:p>
        </w:tc>
      </w:tr>
      <w:tr w:rsidR="008C2C25" w:rsidRPr="008C2C25" w14:paraId="0A6CDB57" w14:textId="77777777" w:rsidTr="008736AC">
        <w:trPr>
          <w:trHeight w:val="660"/>
        </w:trPr>
        <w:tc>
          <w:tcPr>
            <w:tcW w:w="1260" w:type="dxa"/>
            <w:vMerge/>
            <w:tcBorders>
              <w:top w:val="nil"/>
              <w:left w:val="nil"/>
              <w:bottom w:val="single" w:sz="4" w:space="0" w:color="F2F2F2"/>
              <w:right w:val="nil"/>
            </w:tcBorders>
            <w:vAlign w:val="center"/>
            <w:hideMark/>
          </w:tcPr>
          <w:p w14:paraId="34B0E25F" w14:textId="77777777" w:rsidR="000F3DAD" w:rsidRPr="008C2C25" w:rsidRDefault="000F3DAD" w:rsidP="008736AC">
            <w:pPr>
              <w:spacing w:after="0" w:line="240" w:lineRule="auto"/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</w:pPr>
          </w:p>
        </w:tc>
        <w:tc>
          <w:tcPr>
            <w:tcW w:w="7920" w:type="dxa"/>
            <w:gridSpan w:val="3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auto" w:fill="auto"/>
            <w:vAlign w:val="center"/>
            <w:hideMark/>
          </w:tcPr>
          <w:p w14:paraId="00E91F92" w14:textId="77777777" w:rsidR="000F3DAD" w:rsidRPr="008C2C25" w:rsidRDefault="000F3DAD" w:rsidP="008736AC">
            <w:pPr>
              <w:spacing w:after="0" w:line="240" w:lineRule="auto"/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</w:pPr>
            <w:r w:rsidRPr="008C2C25"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  <w:t>8) Eskalační telefonní linka. Služba je poskytována vzdáleně. Služba je poskytována pouze ve variantě Standard+ a Enterprise.</w:t>
            </w:r>
          </w:p>
        </w:tc>
      </w:tr>
      <w:tr w:rsidR="008C2C25" w:rsidRPr="008C2C25" w14:paraId="71A9C389" w14:textId="77777777" w:rsidTr="008736AC">
        <w:trPr>
          <w:trHeight w:val="660"/>
        </w:trPr>
        <w:tc>
          <w:tcPr>
            <w:tcW w:w="1260" w:type="dxa"/>
            <w:vMerge w:val="restart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auto" w:fill="auto"/>
            <w:vAlign w:val="center"/>
            <w:hideMark/>
          </w:tcPr>
          <w:p w14:paraId="0D274E09" w14:textId="77777777" w:rsidR="000F3DAD" w:rsidRPr="008C2C25" w:rsidRDefault="000F3DAD" w:rsidP="008736AC">
            <w:pPr>
              <w:spacing w:after="0" w:line="240" w:lineRule="auto"/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</w:pPr>
            <w:r w:rsidRPr="008C2C25"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  <w:t>Forma poskytování</w:t>
            </w:r>
          </w:p>
        </w:tc>
        <w:tc>
          <w:tcPr>
            <w:tcW w:w="5260" w:type="dxa"/>
            <w:gridSpan w:val="2"/>
            <w:tcBorders>
              <w:top w:val="single" w:sz="4" w:space="0" w:color="F2F2F2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E95B71" w14:textId="77777777" w:rsidR="000F3DAD" w:rsidRPr="008C2C25" w:rsidRDefault="000F3DAD" w:rsidP="008736AC">
            <w:pPr>
              <w:spacing w:after="0" w:line="240" w:lineRule="auto"/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</w:pPr>
            <w:r w:rsidRPr="008C2C25"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  <w:t xml:space="preserve">Služby jsou poskytovány v režimu 8x5 tj. v pracovních dnech Poskytovatele od 8:00 do 16:00 hod. </w:t>
            </w:r>
          </w:p>
        </w:tc>
        <w:tc>
          <w:tcPr>
            <w:tcW w:w="2660" w:type="dxa"/>
            <w:tcBorders>
              <w:top w:val="nil"/>
              <w:left w:val="single" w:sz="4" w:space="0" w:color="F2F2F2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65C7AC" w14:textId="77777777" w:rsidR="000F3DAD" w:rsidRPr="008C2C25" w:rsidRDefault="000F3DAD" w:rsidP="008736AC">
            <w:pPr>
              <w:spacing w:after="0" w:line="240" w:lineRule="auto"/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</w:pPr>
            <w:r w:rsidRPr="008C2C25"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  <w:t>Služby jsou poskytovány v režimu 24x7; pouze pro Enterprise.</w:t>
            </w:r>
          </w:p>
        </w:tc>
      </w:tr>
      <w:tr w:rsidR="008C2C25" w:rsidRPr="008C2C25" w14:paraId="5079306C" w14:textId="77777777" w:rsidTr="008736AC">
        <w:trPr>
          <w:trHeight w:val="330"/>
        </w:trPr>
        <w:tc>
          <w:tcPr>
            <w:tcW w:w="1260" w:type="dxa"/>
            <w:vMerge/>
            <w:tcBorders>
              <w:top w:val="nil"/>
              <w:left w:val="nil"/>
              <w:bottom w:val="single" w:sz="4" w:space="0" w:color="F2F2F2"/>
              <w:right w:val="nil"/>
            </w:tcBorders>
            <w:vAlign w:val="center"/>
            <w:hideMark/>
          </w:tcPr>
          <w:p w14:paraId="18BF4580" w14:textId="77777777" w:rsidR="000F3DAD" w:rsidRPr="008C2C25" w:rsidRDefault="000F3DAD" w:rsidP="008736AC">
            <w:pPr>
              <w:spacing w:after="0" w:line="240" w:lineRule="auto"/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</w:pPr>
          </w:p>
        </w:tc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D9F42C" w14:textId="7E4FA9B6" w:rsidR="000F3DAD" w:rsidRPr="008C2C25" w:rsidRDefault="000F3DAD" w:rsidP="008736AC">
            <w:pPr>
              <w:spacing w:after="0" w:line="240" w:lineRule="auto"/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</w:pPr>
            <w:r w:rsidRPr="008C2C25"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  <w:t xml:space="preserve">Email: </w:t>
            </w:r>
            <w:r w:rsidR="0092078A">
              <w:rPr>
                <w:rFonts w:eastAsia="Times New Roman" w:cs="Segoe UI"/>
                <w:sz w:val="18"/>
                <w:szCs w:val="18"/>
              </w:rPr>
              <w:t>XXXXXX</w:t>
            </w:r>
          </w:p>
        </w:tc>
      </w:tr>
      <w:tr w:rsidR="008C2C25" w:rsidRPr="008C2C25" w14:paraId="51E08C7C" w14:textId="77777777" w:rsidTr="008736AC">
        <w:trPr>
          <w:trHeight w:val="330"/>
        </w:trPr>
        <w:tc>
          <w:tcPr>
            <w:tcW w:w="1260" w:type="dxa"/>
            <w:vMerge/>
            <w:tcBorders>
              <w:top w:val="nil"/>
              <w:left w:val="nil"/>
              <w:bottom w:val="single" w:sz="4" w:space="0" w:color="F2F2F2"/>
              <w:right w:val="nil"/>
            </w:tcBorders>
            <w:vAlign w:val="center"/>
            <w:hideMark/>
          </w:tcPr>
          <w:p w14:paraId="54438390" w14:textId="77777777" w:rsidR="000F3DAD" w:rsidRPr="008C2C25" w:rsidRDefault="000F3DAD" w:rsidP="008736AC">
            <w:pPr>
              <w:spacing w:after="0" w:line="240" w:lineRule="auto"/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</w:pPr>
          </w:p>
        </w:tc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B0D78" w14:textId="1FA65EB3" w:rsidR="000F3DAD" w:rsidRPr="008C2C25" w:rsidRDefault="000F3DAD" w:rsidP="008736AC">
            <w:pPr>
              <w:spacing w:after="0" w:line="240" w:lineRule="auto"/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</w:pPr>
            <w:r w:rsidRPr="008C2C25"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  <w:t xml:space="preserve">Telefon: </w:t>
            </w:r>
            <w:r w:rsidR="0092078A">
              <w:rPr>
                <w:rFonts w:eastAsia="Times New Roman" w:cs="Segoe UI"/>
                <w:sz w:val="18"/>
                <w:szCs w:val="18"/>
              </w:rPr>
              <w:t>XXXXXX</w:t>
            </w:r>
          </w:p>
        </w:tc>
      </w:tr>
      <w:tr w:rsidR="008C2C25" w:rsidRPr="008C2C25" w14:paraId="22939680" w14:textId="77777777" w:rsidTr="008736AC">
        <w:trPr>
          <w:trHeight w:val="345"/>
        </w:trPr>
        <w:tc>
          <w:tcPr>
            <w:tcW w:w="1260" w:type="dxa"/>
            <w:vMerge/>
            <w:tcBorders>
              <w:top w:val="nil"/>
              <w:left w:val="nil"/>
              <w:bottom w:val="single" w:sz="4" w:space="0" w:color="F2F2F2"/>
              <w:right w:val="nil"/>
            </w:tcBorders>
            <w:vAlign w:val="center"/>
            <w:hideMark/>
          </w:tcPr>
          <w:p w14:paraId="2E7A4D5C" w14:textId="77777777" w:rsidR="000F3DAD" w:rsidRPr="008C2C25" w:rsidRDefault="000F3DAD" w:rsidP="008736AC">
            <w:pPr>
              <w:spacing w:after="0" w:line="240" w:lineRule="auto"/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</w:pPr>
          </w:p>
        </w:tc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F693DF" w14:textId="77777777" w:rsidR="000F3DAD" w:rsidRPr="008C2C25" w:rsidRDefault="000F3DAD" w:rsidP="008736AC">
            <w:pPr>
              <w:spacing w:after="0" w:line="240" w:lineRule="auto"/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</w:pPr>
            <w:r w:rsidRPr="008C2C25"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  <w:t>Web: https://www.alvao.com/download</w:t>
            </w:r>
          </w:p>
        </w:tc>
      </w:tr>
      <w:tr w:rsidR="008C2C25" w:rsidRPr="008C2C25" w14:paraId="120A9D13" w14:textId="77777777" w:rsidTr="008736AC">
        <w:trPr>
          <w:trHeight w:val="345"/>
        </w:trPr>
        <w:tc>
          <w:tcPr>
            <w:tcW w:w="1260" w:type="dxa"/>
            <w:vMerge/>
            <w:tcBorders>
              <w:top w:val="nil"/>
              <w:left w:val="nil"/>
              <w:bottom w:val="single" w:sz="4" w:space="0" w:color="F2F2F2"/>
              <w:right w:val="nil"/>
            </w:tcBorders>
            <w:vAlign w:val="center"/>
            <w:hideMark/>
          </w:tcPr>
          <w:p w14:paraId="130160BA" w14:textId="77777777" w:rsidR="000F3DAD" w:rsidRPr="008C2C25" w:rsidRDefault="000F3DAD" w:rsidP="008736AC">
            <w:pPr>
              <w:spacing w:after="0" w:line="240" w:lineRule="auto"/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</w:pPr>
          </w:p>
        </w:tc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E88A33" w14:textId="77777777" w:rsidR="000F3DAD" w:rsidRPr="008C2C25" w:rsidRDefault="000F3DAD" w:rsidP="008736AC">
            <w:pPr>
              <w:spacing w:after="0" w:line="240" w:lineRule="auto"/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</w:pPr>
            <w:r w:rsidRPr="008C2C25"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  <w:t>Service Desk: https://app.alvao.com</w:t>
            </w:r>
          </w:p>
        </w:tc>
      </w:tr>
      <w:tr w:rsidR="008C2C25" w:rsidRPr="008C2C25" w14:paraId="02080485" w14:textId="77777777" w:rsidTr="008736AC">
        <w:trPr>
          <w:trHeight w:val="345"/>
        </w:trPr>
        <w:tc>
          <w:tcPr>
            <w:tcW w:w="1260" w:type="dxa"/>
            <w:vMerge/>
            <w:tcBorders>
              <w:top w:val="nil"/>
              <w:left w:val="nil"/>
              <w:bottom w:val="single" w:sz="4" w:space="0" w:color="F2F2F2"/>
              <w:right w:val="nil"/>
            </w:tcBorders>
            <w:vAlign w:val="center"/>
            <w:hideMark/>
          </w:tcPr>
          <w:p w14:paraId="3C388D83" w14:textId="77777777" w:rsidR="000F3DAD" w:rsidRPr="008C2C25" w:rsidRDefault="000F3DAD" w:rsidP="008736AC">
            <w:pPr>
              <w:spacing w:after="0" w:line="240" w:lineRule="auto"/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</w:pPr>
          </w:p>
        </w:tc>
        <w:tc>
          <w:tcPr>
            <w:tcW w:w="7920" w:type="dxa"/>
            <w:gridSpan w:val="3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auto" w:fill="auto"/>
            <w:noWrap/>
            <w:vAlign w:val="center"/>
            <w:hideMark/>
          </w:tcPr>
          <w:p w14:paraId="6099A97D" w14:textId="77777777" w:rsidR="000F3DAD" w:rsidRPr="008C2C25" w:rsidRDefault="000F3DAD" w:rsidP="008736AC">
            <w:pPr>
              <w:spacing w:after="0" w:line="240" w:lineRule="auto"/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</w:pPr>
            <w:r w:rsidRPr="008C2C25"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  <w:t>Vzdálené připojení k Objednateli:</w:t>
            </w:r>
          </w:p>
        </w:tc>
      </w:tr>
      <w:tr w:rsidR="008C2C25" w:rsidRPr="008C2C25" w14:paraId="226E21A0" w14:textId="77777777" w:rsidTr="008736AC">
        <w:trPr>
          <w:trHeight w:val="660"/>
        </w:trPr>
        <w:tc>
          <w:tcPr>
            <w:tcW w:w="1260" w:type="dxa"/>
            <w:vMerge w:val="restart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auto" w:fill="auto"/>
            <w:vAlign w:val="center"/>
            <w:hideMark/>
          </w:tcPr>
          <w:p w14:paraId="08A20935" w14:textId="77777777" w:rsidR="000F3DAD" w:rsidRPr="008C2C25" w:rsidRDefault="000F3DAD" w:rsidP="008736AC">
            <w:pPr>
              <w:spacing w:after="0" w:line="240" w:lineRule="auto"/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</w:pPr>
            <w:r w:rsidRPr="008C2C25"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  <w:t>Reakční    doba</w:t>
            </w:r>
          </w:p>
        </w:tc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47F426" w14:textId="77777777" w:rsidR="000F3DAD" w:rsidRPr="008C2C25" w:rsidRDefault="000F3DAD" w:rsidP="008736AC">
            <w:pPr>
              <w:spacing w:after="0" w:line="240" w:lineRule="auto"/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</w:pPr>
            <w:r w:rsidRPr="008C2C25"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  <w:t>Pro řešení chyb v produktech, problémů s produkty a obnově systému ALVAO po havárii infrastruktury se stanovují reakční doby:</w:t>
            </w:r>
          </w:p>
        </w:tc>
      </w:tr>
      <w:tr w:rsidR="008C2C25" w:rsidRPr="008C2C25" w14:paraId="1DD217E9" w14:textId="77777777" w:rsidTr="008736AC">
        <w:trPr>
          <w:trHeight w:val="1200"/>
        </w:trPr>
        <w:tc>
          <w:tcPr>
            <w:tcW w:w="1260" w:type="dxa"/>
            <w:vMerge/>
            <w:tcBorders>
              <w:top w:val="nil"/>
              <w:left w:val="nil"/>
              <w:bottom w:val="single" w:sz="4" w:space="0" w:color="F2F2F2"/>
              <w:right w:val="nil"/>
            </w:tcBorders>
            <w:vAlign w:val="center"/>
            <w:hideMark/>
          </w:tcPr>
          <w:p w14:paraId="760CBAC8" w14:textId="77777777" w:rsidR="000F3DAD" w:rsidRPr="008C2C25" w:rsidRDefault="000F3DAD" w:rsidP="008736AC">
            <w:pPr>
              <w:spacing w:after="0" w:line="240" w:lineRule="auto"/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668BAE" w14:textId="77777777" w:rsidR="000F3DAD" w:rsidRPr="008C2C25" w:rsidRDefault="000F3DAD" w:rsidP="008736AC">
            <w:pPr>
              <w:spacing w:after="0" w:line="240" w:lineRule="auto"/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</w:pPr>
            <w:r w:rsidRPr="008C2C25"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  <w:t>A1 – 2 pracovní dny s povinností hlášení chyby telefonicky a současně na Service Desku Poskytovatele pro Basic a Basic+,</w:t>
            </w:r>
          </w:p>
        </w:tc>
        <w:tc>
          <w:tcPr>
            <w:tcW w:w="2640" w:type="dxa"/>
            <w:tcBorders>
              <w:top w:val="nil"/>
              <w:left w:val="single" w:sz="4" w:space="0" w:color="F2F2F2"/>
              <w:bottom w:val="nil"/>
              <w:right w:val="nil"/>
            </w:tcBorders>
            <w:shd w:val="clear" w:color="auto" w:fill="auto"/>
            <w:hideMark/>
          </w:tcPr>
          <w:p w14:paraId="36098A52" w14:textId="77777777" w:rsidR="000F3DAD" w:rsidRPr="008C2C25" w:rsidRDefault="000F3DAD" w:rsidP="008736AC">
            <w:pPr>
              <w:spacing w:after="0" w:line="240" w:lineRule="auto"/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</w:pPr>
            <w:r w:rsidRPr="008C2C25"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  <w:t>A1 – 1 pracovní den s povinností hlášení chyby telefonicky a současně na Service Desku Poskytovatele pro Standard a Standard+,</w:t>
            </w:r>
          </w:p>
        </w:tc>
        <w:tc>
          <w:tcPr>
            <w:tcW w:w="2660" w:type="dxa"/>
            <w:tcBorders>
              <w:top w:val="nil"/>
              <w:left w:val="single" w:sz="4" w:space="0" w:color="F2F2F2"/>
              <w:bottom w:val="nil"/>
              <w:right w:val="nil"/>
            </w:tcBorders>
            <w:shd w:val="clear" w:color="auto" w:fill="auto"/>
            <w:hideMark/>
          </w:tcPr>
          <w:p w14:paraId="270C4C26" w14:textId="77777777" w:rsidR="000F3DAD" w:rsidRPr="008C2C25" w:rsidRDefault="000F3DAD" w:rsidP="008736AC">
            <w:pPr>
              <w:spacing w:after="0" w:line="240" w:lineRule="auto"/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</w:pPr>
            <w:r w:rsidRPr="008C2C25"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  <w:t>A1 – 4 hodiny s povinností hlášení chyby telefonicky a současně na Service Desku Poskytovatele pro Enterprise</w:t>
            </w:r>
          </w:p>
        </w:tc>
      </w:tr>
      <w:tr w:rsidR="008C2C25" w:rsidRPr="008C2C25" w14:paraId="414AF268" w14:textId="77777777" w:rsidTr="008736AC">
        <w:trPr>
          <w:trHeight w:val="480"/>
        </w:trPr>
        <w:tc>
          <w:tcPr>
            <w:tcW w:w="1260" w:type="dxa"/>
            <w:vMerge/>
            <w:tcBorders>
              <w:top w:val="nil"/>
              <w:left w:val="nil"/>
              <w:bottom w:val="single" w:sz="4" w:space="0" w:color="F2F2F2"/>
              <w:right w:val="nil"/>
            </w:tcBorders>
            <w:vAlign w:val="center"/>
            <w:hideMark/>
          </w:tcPr>
          <w:p w14:paraId="1FEC11C6" w14:textId="77777777" w:rsidR="000F3DAD" w:rsidRPr="008C2C25" w:rsidRDefault="000F3DAD" w:rsidP="008736AC">
            <w:pPr>
              <w:spacing w:after="0" w:line="240" w:lineRule="auto"/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72A163" w14:textId="77777777" w:rsidR="000F3DAD" w:rsidRPr="008C2C25" w:rsidRDefault="000F3DAD" w:rsidP="008736AC">
            <w:pPr>
              <w:spacing w:after="0" w:line="240" w:lineRule="auto"/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</w:pPr>
            <w:r w:rsidRPr="008C2C25"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  <w:t>A2 – 2 pracovní dny pro Basic a Basic+,</w:t>
            </w:r>
          </w:p>
        </w:tc>
        <w:tc>
          <w:tcPr>
            <w:tcW w:w="2640" w:type="dxa"/>
            <w:tcBorders>
              <w:top w:val="nil"/>
              <w:left w:val="single" w:sz="4" w:space="0" w:color="F2F2F2"/>
              <w:bottom w:val="nil"/>
              <w:right w:val="nil"/>
            </w:tcBorders>
            <w:shd w:val="clear" w:color="auto" w:fill="auto"/>
            <w:hideMark/>
          </w:tcPr>
          <w:p w14:paraId="4EA61F3E" w14:textId="77777777" w:rsidR="000F3DAD" w:rsidRPr="008C2C25" w:rsidRDefault="000F3DAD" w:rsidP="008736AC">
            <w:pPr>
              <w:spacing w:after="0" w:line="240" w:lineRule="auto"/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</w:pPr>
            <w:r w:rsidRPr="008C2C25"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  <w:t>A2 – 2 pracovní dny pro Standard a Standard+,</w:t>
            </w:r>
          </w:p>
        </w:tc>
        <w:tc>
          <w:tcPr>
            <w:tcW w:w="2660" w:type="dxa"/>
            <w:tcBorders>
              <w:top w:val="nil"/>
              <w:left w:val="single" w:sz="4" w:space="0" w:color="F2F2F2"/>
              <w:bottom w:val="nil"/>
              <w:right w:val="nil"/>
            </w:tcBorders>
            <w:shd w:val="clear" w:color="auto" w:fill="auto"/>
            <w:hideMark/>
          </w:tcPr>
          <w:p w14:paraId="560963EA" w14:textId="77777777" w:rsidR="000F3DAD" w:rsidRPr="008C2C25" w:rsidRDefault="000F3DAD" w:rsidP="008736AC">
            <w:pPr>
              <w:spacing w:after="0" w:line="240" w:lineRule="auto"/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</w:pPr>
            <w:r w:rsidRPr="008C2C25"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  <w:t>A2 – 1 pracovní den pro Enterprise,</w:t>
            </w:r>
          </w:p>
        </w:tc>
      </w:tr>
      <w:tr w:rsidR="008C2C25" w:rsidRPr="008C2C25" w14:paraId="44DCFD01" w14:textId="77777777" w:rsidTr="008736AC">
        <w:trPr>
          <w:trHeight w:val="480"/>
        </w:trPr>
        <w:tc>
          <w:tcPr>
            <w:tcW w:w="1260" w:type="dxa"/>
            <w:vMerge/>
            <w:tcBorders>
              <w:top w:val="nil"/>
              <w:left w:val="nil"/>
              <w:bottom w:val="single" w:sz="4" w:space="0" w:color="F2F2F2"/>
              <w:right w:val="nil"/>
            </w:tcBorders>
            <w:vAlign w:val="center"/>
            <w:hideMark/>
          </w:tcPr>
          <w:p w14:paraId="734256EC" w14:textId="77777777" w:rsidR="000F3DAD" w:rsidRPr="008C2C25" w:rsidRDefault="000F3DAD" w:rsidP="008736AC">
            <w:pPr>
              <w:spacing w:after="0" w:line="240" w:lineRule="auto"/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0D7F17" w14:textId="77777777" w:rsidR="000F3DAD" w:rsidRPr="008C2C25" w:rsidRDefault="000F3DAD" w:rsidP="008736AC">
            <w:pPr>
              <w:spacing w:after="0" w:line="240" w:lineRule="auto"/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</w:pPr>
            <w:r w:rsidRPr="008C2C25"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  <w:t>A3 – 4 pracovní dny pro Basic a Basic+.</w:t>
            </w:r>
          </w:p>
        </w:tc>
        <w:tc>
          <w:tcPr>
            <w:tcW w:w="2640" w:type="dxa"/>
            <w:tcBorders>
              <w:top w:val="nil"/>
              <w:left w:val="single" w:sz="4" w:space="0" w:color="F2F2F2"/>
              <w:bottom w:val="nil"/>
              <w:right w:val="nil"/>
            </w:tcBorders>
            <w:shd w:val="clear" w:color="auto" w:fill="auto"/>
            <w:hideMark/>
          </w:tcPr>
          <w:p w14:paraId="47D169CD" w14:textId="77777777" w:rsidR="000F3DAD" w:rsidRPr="008C2C25" w:rsidRDefault="000F3DAD" w:rsidP="008736AC">
            <w:pPr>
              <w:spacing w:after="0" w:line="240" w:lineRule="auto"/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</w:pPr>
            <w:r w:rsidRPr="008C2C25"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  <w:t>A3 – 3 pracovní dny pro Standard a Standard+.</w:t>
            </w:r>
          </w:p>
        </w:tc>
        <w:tc>
          <w:tcPr>
            <w:tcW w:w="2660" w:type="dxa"/>
            <w:tcBorders>
              <w:top w:val="nil"/>
              <w:left w:val="single" w:sz="4" w:space="0" w:color="F2F2F2"/>
              <w:bottom w:val="nil"/>
              <w:right w:val="nil"/>
            </w:tcBorders>
            <w:shd w:val="clear" w:color="auto" w:fill="auto"/>
            <w:hideMark/>
          </w:tcPr>
          <w:p w14:paraId="47D4AC26" w14:textId="77777777" w:rsidR="000F3DAD" w:rsidRPr="008C2C25" w:rsidRDefault="000F3DAD" w:rsidP="008736AC">
            <w:pPr>
              <w:spacing w:after="0" w:line="240" w:lineRule="auto"/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</w:pPr>
            <w:r w:rsidRPr="008C2C25"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  <w:t>A3 – 2 pracovní dny pro Enterprise.</w:t>
            </w:r>
          </w:p>
        </w:tc>
      </w:tr>
      <w:tr w:rsidR="008C2C25" w:rsidRPr="008C2C25" w14:paraId="1121CD1C" w14:textId="77777777" w:rsidTr="008736AC">
        <w:trPr>
          <w:trHeight w:val="405"/>
        </w:trPr>
        <w:tc>
          <w:tcPr>
            <w:tcW w:w="1260" w:type="dxa"/>
            <w:vMerge/>
            <w:tcBorders>
              <w:top w:val="nil"/>
              <w:left w:val="nil"/>
              <w:bottom w:val="single" w:sz="4" w:space="0" w:color="F2F2F2"/>
              <w:right w:val="nil"/>
            </w:tcBorders>
            <w:vAlign w:val="center"/>
            <w:hideMark/>
          </w:tcPr>
          <w:p w14:paraId="6CE2E8FA" w14:textId="77777777" w:rsidR="000F3DAD" w:rsidRPr="008C2C25" w:rsidRDefault="000F3DAD" w:rsidP="008736AC">
            <w:pPr>
              <w:spacing w:after="0" w:line="240" w:lineRule="auto"/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</w:pPr>
          </w:p>
        </w:tc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10A1F3" w14:textId="77777777" w:rsidR="000F3DAD" w:rsidRPr="008C2C25" w:rsidRDefault="000F3DAD" w:rsidP="008736AC">
            <w:pPr>
              <w:spacing w:after="0" w:line="240" w:lineRule="auto"/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</w:pPr>
            <w:r w:rsidRPr="008C2C25"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  <w:t>Pro řešení telefonického a emailového poradenství se stanovují reakční doby:</w:t>
            </w:r>
          </w:p>
        </w:tc>
      </w:tr>
      <w:tr w:rsidR="008C2C25" w:rsidRPr="008C2C25" w14:paraId="23BB96D0" w14:textId="77777777" w:rsidTr="008736AC">
        <w:trPr>
          <w:trHeight w:val="480"/>
        </w:trPr>
        <w:tc>
          <w:tcPr>
            <w:tcW w:w="1260" w:type="dxa"/>
            <w:vMerge/>
            <w:tcBorders>
              <w:top w:val="nil"/>
              <w:left w:val="nil"/>
              <w:bottom w:val="single" w:sz="4" w:space="0" w:color="F2F2F2"/>
              <w:right w:val="nil"/>
            </w:tcBorders>
            <w:vAlign w:val="center"/>
            <w:hideMark/>
          </w:tcPr>
          <w:p w14:paraId="58C658E0" w14:textId="77777777" w:rsidR="000F3DAD" w:rsidRPr="008C2C25" w:rsidRDefault="000F3DAD" w:rsidP="008736AC">
            <w:pPr>
              <w:spacing w:after="0" w:line="240" w:lineRule="auto"/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4C81EF" w14:textId="77777777" w:rsidR="000F3DAD" w:rsidRPr="008C2C25" w:rsidRDefault="000F3DAD" w:rsidP="008736AC">
            <w:pPr>
              <w:spacing w:after="0" w:line="240" w:lineRule="auto"/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</w:pPr>
            <w:r w:rsidRPr="008C2C25"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  <w:t>4 pracovní dny pro Basic a Basic+.</w:t>
            </w:r>
          </w:p>
        </w:tc>
        <w:tc>
          <w:tcPr>
            <w:tcW w:w="2640" w:type="dxa"/>
            <w:tcBorders>
              <w:top w:val="nil"/>
              <w:left w:val="single" w:sz="4" w:space="0" w:color="F2F2F2"/>
              <w:bottom w:val="nil"/>
              <w:right w:val="nil"/>
            </w:tcBorders>
            <w:shd w:val="clear" w:color="auto" w:fill="auto"/>
            <w:hideMark/>
          </w:tcPr>
          <w:p w14:paraId="2E2191A1" w14:textId="77777777" w:rsidR="000F3DAD" w:rsidRPr="008C2C25" w:rsidRDefault="000F3DAD" w:rsidP="008736AC">
            <w:pPr>
              <w:spacing w:after="0" w:line="240" w:lineRule="auto"/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</w:pPr>
            <w:r w:rsidRPr="008C2C25"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  <w:t>2 pracovní dny pro Standard a Standard+.</w:t>
            </w:r>
          </w:p>
        </w:tc>
        <w:tc>
          <w:tcPr>
            <w:tcW w:w="2660" w:type="dxa"/>
            <w:tcBorders>
              <w:top w:val="nil"/>
              <w:left w:val="single" w:sz="4" w:space="0" w:color="F2F2F2"/>
              <w:bottom w:val="nil"/>
              <w:right w:val="nil"/>
            </w:tcBorders>
            <w:shd w:val="clear" w:color="auto" w:fill="auto"/>
            <w:hideMark/>
          </w:tcPr>
          <w:p w14:paraId="58DCA53A" w14:textId="77777777" w:rsidR="000F3DAD" w:rsidRPr="008C2C25" w:rsidRDefault="000F3DAD" w:rsidP="008736AC">
            <w:pPr>
              <w:spacing w:after="0" w:line="240" w:lineRule="auto"/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</w:pPr>
            <w:r w:rsidRPr="008C2C25"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  <w:t>1 pracovní den pro Enterprise.</w:t>
            </w:r>
          </w:p>
        </w:tc>
      </w:tr>
      <w:tr w:rsidR="008C2C25" w:rsidRPr="008C2C25" w14:paraId="2EB427F2" w14:textId="77777777" w:rsidTr="008736AC">
        <w:trPr>
          <w:trHeight w:val="390"/>
        </w:trPr>
        <w:tc>
          <w:tcPr>
            <w:tcW w:w="1260" w:type="dxa"/>
            <w:vMerge/>
            <w:tcBorders>
              <w:top w:val="nil"/>
              <w:left w:val="nil"/>
              <w:bottom w:val="single" w:sz="4" w:space="0" w:color="F2F2F2"/>
              <w:right w:val="nil"/>
            </w:tcBorders>
            <w:vAlign w:val="center"/>
            <w:hideMark/>
          </w:tcPr>
          <w:p w14:paraId="6E955CE3" w14:textId="77777777" w:rsidR="000F3DAD" w:rsidRPr="008C2C25" w:rsidRDefault="000F3DAD" w:rsidP="008736AC">
            <w:pPr>
              <w:spacing w:after="0" w:line="240" w:lineRule="auto"/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</w:pPr>
          </w:p>
        </w:tc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195A8F" w14:textId="77777777" w:rsidR="000F3DAD" w:rsidRPr="008C2C25" w:rsidRDefault="000F3DAD" w:rsidP="008736AC">
            <w:pPr>
              <w:spacing w:after="0" w:line="240" w:lineRule="auto"/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</w:pPr>
            <w:r w:rsidRPr="008C2C25"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  <w:t>Pro řešení konzultací a plánování budoucího rozvoje se stanovují reakční doby:</w:t>
            </w:r>
          </w:p>
        </w:tc>
      </w:tr>
      <w:tr w:rsidR="008C2C25" w:rsidRPr="008C2C25" w14:paraId="136862C1" w14:textId="77777777" w:rsidTr="008736AC">
        <w:trPr>
          <w:trHeight w:val="480"/>
        </w:trPr>
        <w:tc>
          <w:tcPr>
            <w:tcW w:w="1260" w:type="dxa"/>
            <w:vMerge/>
            <w:tcBorders>
              <w:top w:val="nil"/>
              <w:left w:val="nil"/>
              <w:bottom w:val="single" w:sz="4" w:space="0" w:color="F2F2F2"/>
              <w:right w:val="nil"/>
            </w:tcBorders>
            <w:vAlign w:val="center"/>
            <w:hideMark/>
          </w:tcPr>
          <w:p w14:paraId="506D3C77" w14:textId="77777777" w:rsidR="000F3DAD" w:rsidRPr="008C2C25" w:rsidRDefault="000F3DAD" w:rsidP="008736AC">
            <w:pPr>
              <w:spacing w:after="0" w:line="240" w:lineRule="auto"/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B57B00" w14:textId="77777777" w:rsidR="000F3DAD" w:rsidRPr="008C2C25" w:rsidRDefault="000F3DAD" w:rsidP="008736AC">
            <w:pPr>
              <w:spacing w:after="0" w:line="240" w:lineRule="auto"/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</w:pPr>
            <w:r w:rsidRPr="008C2C25"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  <w:t>10 pracovních dnů pro Basic a Basic+.</w:t>
            </w:r>
          </w:p>
        </w:tc>
        <w:tc>
          <w:tcPr>
            <w:tcW w:w="2640" w:type="dxa"/>
            <w:tcBorders>
              <w:top w:val="nil"/>
              <w:left w:val="single" w:sz="4" w:space="0" w:color="F2F2F2"/>
              <w:bottom w:val="nil"/>
              <w:right w:val="nil"/>
            </w:tcBorders>
            <w:shd w:val="clear" w:color="auto" w:fill="auto"/>
            <w:hideMark/>
          </w:tcPr>
          <w:p w14:paraId="123C5358" w14:textId="77777777" w:rsidR="000F3DAD" w:rsidRPr="008C2C25" w:rsidRDefault="000F3DAD" w:rsidP="008736AC">
            <w:pPr>
              <w:spacing w:after="0" w:line="240" w:lineRule="auto"/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</w:pPr>
            <w:r w:rsidRPr="008C2C25"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  <w:t>5 pracovních dnů pro Standard a Standard+.</w:t>
            </w:r>
          </w:p>
        </w:tc>
        <w:tc>
          <w:tcPr>
            <w:tcW w:w="2660" w:type="dxa"/>
            <w:tcBorders>
              <w:top w:val="nil"/>
              <w:left w:val="single" w:sz="4" w:space="0" w:color="F2F2F2"/>
              <w:bottom w:val="nil"/>
              <w:right w:val="nil"/>
            </w:tcBorders>
            <w:shd w:val="clear" w:color="auto" w:fill="auto"/>
            <w:hideMark/>
          </w:tcPr>
          <w:p w14:paraId="2F560E1E" w14:textId="77777777" w:rsidR="000F3DAD" w:rsidRPr="008C2C25" w:rsidRDefault="000F3DAD" w:rsidP="008736AC">
            <w:pPr>
              <w:spacing w:after="0" w:line="240" w:lineRule="auto"/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</w:pPr>
            <w:r w:rsidRPr="008C2C25"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  <w:t>5 pracovních dnů pro Enterprise.</w:t>
            </w:r>
          </w:p>
        </w:tc>
      </w:tr>
      <w:tr w:rsidR="008C2C25" w:rsidRPr="008C2C25" w14:paraId="5FCFECD9" w14:textId="77777777" w:rsidTr="008736AC">
        <w:trPr>
          <w:trHeight w:val="1044"/>
        </w:trPr>
        <w:tc>
          <w:tcPr>
            <w:tcW w:w="1260" w:type="dxa"/>
            <w:vMerge/>
            <w:tcBorders>
              <w:top w:val="nil"/>
              <w:left w:val="nil"/>
              <w:bottom w:val="single" w:sz="4" w:space="0" w:color="F2F2F2"/>
              <w:right w:val="nil"/>
            </w:tcBorders>
            <w:vAlign w:val="center"/>
            <w:hideMark/>
          </w:tcPr>
          <w:p w14:paraId="26A12F07" w14:textId="77777777" w:rsidR="000F3DAD" w:rsidRPr="008C2C25" w:rsidRDefault="000F3DAD" w:rsidP="008736AC">
            <w:pPr>
              <w:spacing w:after="0" w:line="240" w:lineRule="auto"/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</w:pPr>
          </w:p>
        </w:tc>
        <w:tc>
          <w:tcPr>
            <w:tcW w:w="7920" w:type="dxa"/>
            <w:gridSpan w:val="3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auto" w:fill="auto"/>
            <w:vAlign w:val="center"/>
            <w:hideMark/>
          </w:tcPr>
          <w:p w14:paraId="1095D9C4" w14:textId="77777777" w:rsidR="000F3DAD" w:rsidRPr="008C2C25" w:rsidRDefault="000F3DAD" w:rsidP="008736AC">
            <w:pPr>
              <w:spacing w:after="0" w:line="240" w:lineRule="auto"/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</w:pPr>
            <w:r w:rsidRPr="008C2C25"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  <w:t>Ostatní služby jako profylaxe a upgrade nemají stanovenu reakční dobu. Na termínech realizace se Poskytovatel dohodne se Zákazníkem. Poskytovatel bude proaktivně nabízet Objednateli tyto služby a hledat vhodné termíny pro jejich realizaci. Přednost v termínech plnění mají zákazníci s podporou Standard, Standard+ a Enterprise.</w:t>
            </w:r>
          </w:p>
        </w:tc>
      </w:tr>
      <w:tr w:rsidR="008C2C25" w:rsidRPr="008C2C25" w14:paraId="22384FFE" w14:textId="77777777" w:rsidTr="008736AC">
        <w:trPr>
          <w:trHeight w:val="709"/>
        </w:trPr>
        <w:tc>
          <w:tcPr>
            <w:tcW w:w="1260" w:type="dxa"/>
            <w:vMerge w:val="restart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auto" w:fill="auto"/>
            <w:vAlign w:val="center"/>
            <w:hideMark/>
          </w:tcPr>
          <w:p w14:paraId="46BE26F6" w14:textId="77777777" w:rsidR="000F3DAD" w:rsidRPr="008C2C25" w:rsidRDefault="000F3DAD" w:rsidP="008736AC">
            <w:pPr>
              <w:spacing w:after="0" w:line="240" w:lineRule="auto"/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</w:pPr>
            <w:r w:rsidRPr="008C2C25"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  <w:t>Měsíční fond předplacených hodin</w:t>
            </w:r>
          </w:p>
        </w:tc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E974F3" w14:textId="77777777" w:rsidR="000F3DAD" w:rsidRPr="008C2C25" w:rsidRDefault="000F3DAD" w:rsidP="008736AC">
            <w:pPr>
              <w:spacing w:after="0" w:line="240" w:lineRule="auto"/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</w:pPr>
            <w:r w:rsidRPr="008C2C25"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  <w:t>Pro požadavky spojené s řešením chyb v produktech, problémů s produkty, telefonické emailové poradenství nad produkty a obnovou systému po havárii infrastruktury garantuje Poskytovatel Objednateli měsíční kapacity předplacených hodin ve výši:</w:t>
            </w:r>
          </w:p>
        </w:tc>
      </w:tr>
      <w:tr w:rsidR="008C2C25" w:rsidRPr="008C2C25" w14:paraId="49CE38E7" w14:textId="77777777" w:rsidTr="008736AC">
        <w:trPr>
          <w:trHeight w:val="330"/>
        </w:trPr>
        <w:tc>
          <w:tcPr>
            <w:tcW w:w="1260" w:type="dxa"/>
            <w:vMerge/>
            <w:tcBorders>
              <w:top w:val="nil"/>
              <w:left w:val="nil"/>
              <w:bottom w:val="single" w:sz="4" w:space="0" w:color="F2F2F2"/>
              <w:right w:val="nil"/>
            </w:tcBorders>
            <w:vAlign w:val="center"/>
            <w:hideMark/>
          </w:tcPr>
          <w:p w14:paraId="65618236" w14:textId="77777777" w:rsidR="000F3DAD" w:rsidRPr="008C2C25" w:rsidRDefault="000F3DAD" w:rsidP="008736AC">
            <w:pPr>
              <w:spacing w:after="0" w:line="240" w:lineRule="auto"/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CD41A2" w14:textId="77777777" w:rsidR="000F3DAD" w:rsidRPr="008C2C25" w:rsidRDefault="000F3DAD" w:rsidP="008736AC">
            <w:pPr>
              <w:spacing w:after="0" w:line="240" w:lineRule="auto"/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</w:pPr>
            <w:r w:rsidRPr="008C2C25"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  <w:t>1 hodina pro Basic</w:t>
            </w:r>
          </w:p>
        </w:tc>
        <w:tc>
          <w:tcPr>
            <w:tcW w:w="2640" w:type="dxa"/>
            <w:tcBorders>
              <w:top w:val="nil"/>
              <w:left w:val="single" w:sz="4" w:space="0" w:color="F2F2F2"/>
              <w:bottom w:val="nil"/>
              <w:right w:val="nil"/>
            </w:tcBorders>
            <w:shd w:val="clear" w:color="auto" w:fill="auto"/>
            <w:hideMark/>
          </w:tcPr>
          <w:p w14:paraId="255BD2E6" w14:textId="77777777" w:rsidR="000F3DAD" w:rsidRPr="008C2C25" w:rsidRDefault="000F3DAD" w:rsidP="008736AC">
            <w:pPr>
              <w:spacing w:after="0" w:line="240" w:lineRule="auto"/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</w:pPr>
            <w:r w:rsidRPr="008C2C25"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  <w:t>3 hodiny pro Standard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F2F2F2"/>
              <w:bottom w:val="nil"/>
              <w:right w:val="nil"/>
            </w:tcBorders>
            <w:shd w:val="clear" w:color="auto" w:fill="auto"/>
            <w:hideMark/>
          </w:tcPr>
          <w:p w14:paraId="4EB67C5F" w14:textId="77777777" w:rsidR="000F3DAD" w:rsidRPr="008C2C25" w:rsidRDefault="000F3DAD" w:rsidP="008736AC">
            <w:pPr>
              <w:spacing w:after="0" w:line="240" w:lineRule="auto"/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</w:pPr>
            <w:r w:rsidRPr="008C2C25"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  <w:t>9 hodin pro Enterprise</w:t>
            </w:r>
          </w:p>
        </w:tc>
      </w:tr>
      <w:tr w:rsidR="008C2C25" w:rsidRPr="008C2C25" w14:paraId="65D48529" w14:textId="77777777" w:rsidTr="008736AC">
        <w:trPr>
          <w:trHeight w:val="330"/>
        </w:trPr>
        <w:tc>
          <w:tcPr>
            <w:tcW w:w="1260" w:type="dxa"/>
            <w:vMerge/>
            <w:tcBorders>
              <w:top w:val="nil"/>
              <w:left w:val="nil"/>
              <w:bottom w:val="single" w:sz="4" w:space="0" w:color="F2F2F2"/>
              <w:right w:val="nil"/>
            </w:tcBorders>
            <w:vAlign w:val="center"/>
            <w:hideMark/>
          </w:tcPr>
          <w:p w14:paraId="0769E172" w14:textId="77777777" w:rsidR="000F3DAD" w:rsidRPr="008C2C25" w:rsidRDefault="000F3DAD" w:rsidP="008736AC">
            <w:pPr>
              <w:spacing w:after="0" w:line="240" w:lineRule="auto"/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FA78A2" w14:textId="77777777" w:rsidR="000F3DAD" w:rsidRPr="008C2C25" w:rsidRDefault="000F3DAD" w:rsidP="008736AC">
            <w:pPr>
              <w:spacing w:after="0" w:line="240" w:lineRule="auto"/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</w:pPr>
            <w:r w:rsidRPr="008C2C25"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  <w:t>1 hodina pro Basic+</w:t>
            </w:r>
          </w:p>
        </w:tc>
        <w:tc>
          <w:tcPr>
            <w:tcW w:w="2640" w:type="dxa"/>
            <w:tcBorders>
              <w:top w:val="nil"/>
              <w:left w:val="single" w:sz="4" w:space="0" w:color="F2F2F2"/>
              <w:bottom w:val="nil"/>
              <w:right w:val="nil"/>
            </w:tcBorders>
            <w:shd w:val="clear" w:color="auto" w:fill="auto"/>
            <w:hideMark/>
          </w:tcPr>
          <w:p w14:paraId="3AF28464" w14:textId="77777777" w:rsidR="000F3DAD" w:rsidRPr="008C2C25" w:rsidRDefault="000F3DAD" w:rsidP="008736AC">
            <w:pPr>
              <w:spacing w:after="0" w:line="240" w:lineRule="auto"/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</w:pPr>
            <w:r w:rsidRPr="008C2C25"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  <w:t>6 hodin pro Standard+</w:t>
            </w:r>
          </w:p>
        </w:tc>
        <w:tc>
          <w:tcPr>
            <w:tcW w:w="2660" w:type="dxa"/>
            <w:vMerge/>
            <w:tcBorders>
              <w:top w:val="nil"/>
              <w:left w:val="single" w:sz="4" w:space="0" w:color="F2F2F2"/>
              <w:bottom w:val="nil"/>
              <w:right w:val="nil"/>
            </w:tcBorders>
            <w:vAlign w:val="center"/>
            <w:hideMark/>
          </w:tcPr>
          <w:p w14:paraId="04CDCA3F" w14:textId="77777777" w:rsidR="000F3DAD" w:rsidRPr="008C2C25" w:rsidRDefault="000F3DAD" w:rsidP="008736AC">
            <w:pPr>
              <w:spacing w:after="0" w:line="240" w:lineRule="auto"/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</w:pPr>
          </w:p>
        </w:tc>
      </w:tr>
      <w:tr w:rsidR="008C2C25" w:rsidRPr="008C2C25" w14:paraId="422E802C" w14:textId="77777777" w:rsidTr="008736AC">
        <w:trPr>
          <w:trHeight w:val="765"/>
        </w:trPr>
        <w:tc>
          <w:tcPr>
            <w:tcW w:w="1260" w:type="dxa"/>
            <w:vMerge/>
            <w:tcBorders>
              <w:top w:val="nil"/>
              <w:left w:val="nil"/>
              <w:bottom w:val="single" w:sz="4" w:space="0" w:color="F2F2F2"/>
              <w:right w:val="nil"/>
            </w:tcBorders>
            <w:vAlign w:val="center"/>
            <w:hideMark/>
          </w:tcPr>
          <w:p w14:paraId="25057187" w14:textId="77777777" w:rsidR="000F3DAD" w:rsidRPr="008C2C25" w:rsidRDefault="000F3DAD" w:rsidP="008736AC">
            <w:pPr>
              <w:spacing w:after="0" w:line="240" w:lineRule="auto"/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</w:pPr>
          </w:p>
        </w:tc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E116A4" w14:textId="77777777" w:rsidR="000F3DAD" w:rsidRPr="008C2C25" w:rsidRDefault="000F3DAD" w:rsidP="008736AC">
            <w:pPr>
              <w:spacing w:after="0" w:line="240" w:lineRule="auto"/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</w:pPr>
            <w:r w:rsidRPr="008C2C25"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  <w:t>Pro požadavky spojené s rozvojovými konzultacemi, profylaxí a upgradem garantuje Poskytovatel Objednateli měsíční kapacity předplacených hodin ve výši:</w:t>
            </w:r>
          </w:p>
        </w:tc>
      </w:tr>
      <w:tr w:rsidR="008C2C25" w:rsidRPr="008C2C25" w14:paraId="3D986026" w14:textId="77777777" w:rsidTr="008736AC">
        <w:trPr>
          <w:trHeight w:val="330"/>
        </w:trPr>
        <w:tc>
          <w:tcPr>
            <w:tcW w:w="1260" w:type="dxa"/>
            <w:vMerge/>
            <w:tcBorders>
              <w:top w:val="nil"/>
              <w:left w:val="nil"/>
              <w:bottom w:val="single" w:sz="4" w:space="0" w:color="F2F2F2"/>
              <w:right w:val="nil"/>
            </w:tcBorders>
            <w:vAlign w:val="center"/>
            <w:hideMark/>
          </w:tcPr>
          <w:p w14:paraId="0CF7F5B9" w14:textId="77777777" w:rsidR="000F3DAD" w:rsidRPr="008C2C25" w:rsidRDefault="000F3DAD" w:rsidP="008736AC">
            <w:pPr>
              <w:spacing w:after="0" w:line="240" w:lineRule="auto"/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9A769A" w14:textId="77777777" w:rsidR="000F3DAD" w:rsidRPr="008C2C25" w:rsidRDefault="000F3DAD" w:rsidP="008736AC">
            <w:pPr>
              <w:spacing w:after="0" w:line="240" w:lineRule="auto"/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</w:pPr>
            <w:r w:rsidRPr="008C2C25"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  <w:t>1 hodina pro Basic</w:t>
            </w:r>
          </w:p>
        </w:tc>
        <w:tc>
          <w:tcPr>
            <w:tcW w:w="2640" w:type="dxa"/>
            <w:tcBorders>
              <w:top w:val="nil"/>
              <w:left w:val="single" w:sz="4" w:space="0" w:color="F2F2F2"/>
              <w:bottom w:val="nil"/>
              <w:right w:val="nil"/>
            </w:tcBorders>
            <w:shd w:val="clear" w:color="auto" w:fill="auto"/>
            <w:hideMark/>
          </w:tcPr>
          <w:p w14:paraId="03C4B4DC" w14:textId="77777777" w:rsidR="000F3DAD" w:rsidRPr="008C2C25" w:rsidRDefault="000F3DAD" w:rsidP="008736AC">
            <w:pPr>
              <w:spacing w:after="0" w:line="240" w:lineRule="auto"/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</w:pPr>
            <w:r w:rsidRPr="008C2C25"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  <w:t>3 hodiny pro Standard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F2F2F2"/>
              <w:bottom w:val="nil"/>
              <w:right w:val="nil"/>
            </w:tcBorders>
            <w:shd w:val="clear" w:color="auto" w:fill="auto"/>
            <w:hideMark/>
          </w:tcPr>
          <w:p w14:paraId="2C5B1744" w14:textId="77777777" w:rsidR="000F3DAD" w:rsidRPr="008C2C25" w:rsidRDefault="000F3DAD" w:rsidP="008736AC">
            <w:pPr>
              <w:spacing w:after="0" w:line="240" w:lineRule="auto"/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</w:pPr>
            <w:r w:rsidRPr="008C2C25"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  <w:t>12 hodin pro Enterprise</w:t>
            </w:r>
          </w:p>
        </w:tc>
      </w:tr>
      <w:tr w:rsidR="008C2C25" w:rsidRPr="008C2C25" w14:paraId="40BB396D" w14:textId="77777777" w:rsidTr="008736AC">
        <w:trPr>
          <w:trHeight w:val="330"/>
        </w:trPr>
        <w:tc>
          <w:tcPr>
            <w:tcW w:w="1260" w:type="dxa"/>
            <w:vMerge/>
            <w:tcBorders>
              <w:top w:val="nil"/>
              <w:left w:val="nil"/>
              <w:bottom w:val="single" w:sz="4" w:space="0" w:color="F2F2F2"/>
              <w:right w:val="nil"/>
            </w:tcBorders>
            <w:vAlign w:val="center"/>
            <w:hideMark/>
          </w:tcPr>
          <w:p w14:paraId="19AD607B" w14:textId="77777777" w:rsidR="000F3DAD" w:rsidRPr="008C2C25" w:rsidRDefault="000F3DAD" w:rsidP="008736AC">
            <w:pPr>
              <w:spacing w:after="0" w:line="240" w:lineRule="auto"/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5B1DE2" w14:textId="77777777" w:rsidR="000F3DAD" w:rsidRPr="008C2C25" w:rsidRDefault="000F3DAD" w:rsidP="008736AC">
            <w:pPr>
              <w:spacing w:after="0" w:line="240" w:lineRule="auto"/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</w:pPr>
            <w:r w:rsidRPr="008C2C25"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  <w:t>2 hodiny pro Basic+</w:t>
            </w:r>
          </w:p>
        </w:tc>
        <w:tc>
          <w:tcPr>
            <w:tcW w:w="2640" w:type="dxa"/>
            <w:tcBorders>
              <w:top w:val="nil"/>
              <w:left w:val="single" w:sz="4" w:space="0" w:color="F2F2F2"/>
              <w:bottom w:val="nil"/>
              <w:right w:val="nil"/>
            </w:tcBorders>
            <w:shd w:val="clear" w:color="auto" w:fill="auto"/>
            <w:hideMark/>
          </w:tcPr>
          <w:p w14:paraId="619640B7" w14:textId="77777777" w:rsidR="000F3DAD" w:rsidRPr="008C2C25" w:rsidRDefault="000F3DAD" w:rsidP="008736AC">
            <w:pPr>
              <w:spacing w:after="0" w:line="240" w:lineRule="auto"/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</w:pPr>
            <w:r w:rsidRPr="008C2C25"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  <w:t>6 hodin pro Standard+</w:t>
            </w:r>
          </w:p>
        </w:tc>
        <w:tc>
          <w:tcPr>
            <w:tcW w:w="2660" w:type="dxa"/>
            <w:vMerge/>
            <w:tcBorders>
              <w:top w:val="nil"/>
              <w:left w:val="single" w:sz="4" w:space="0" w:color="F2F2F2"/>
              <w:bottom w:val="nil"/>
              <w:right w:val="nil"/>
            </w:tcBorders>
            <w:vAlign w:val="center"/>
            <w:hideMark/>
          </w:tcPr>
          <w:p w14:paraId="5C3D8F9C" w14:textId="77777777" w:rsidR="000F3DAD" w:rsidRPr="008C2C25" w:rsidRDefault="000F3DAD" w:rsidP="008736AC">
            <w:pPr>
              <w:spacing w:after="0" w:line="240" w:lineRule="auto"/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</w:pPr>
          </w:p>
        </w:tc>
      </w:tr>
      <w:tr w:rsidR="008C2C25" w:rsidRPr="008C2C25" w14:paraId="08C24767" w14:textId="77777777" w:rsidTr="008736AC">
        <w:trPr>
          <w:trHeight w:val="990"/>
        </w:trPr>
        <w:tc>
          <w:tcPr>
            <w:tcW w:w="1260" w:type="dxa"/>
            <w:vMerge/>
            <w:tcBorders>
              <w:top w:val="nil"/>
              <w:left w:val="nil"/>
              <w:bottom w:val="single" w:sz="4" w:space="0" w:color="F2F2F2"/>
              <w:right w:val="nil"/>
            </w:tcBorders>
            <w:vAlign w:val="center"/>
            <w:hideMark/>
          </w:tcPr>
          <w:p w14:paraId="6996D7B2" w14:textId="77777777" w:rsidR="000F3DAD" w:rsidRPr="008C2C25" w:rsidRDefault="000F3DAD" w:rsidP="008736AC">
            <w:pPr>
              <w:spacing w:after="0" w:line="240" w:lineRule="auto"/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</w:pPr>
          </w:p>
        </w:tc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DDC458" w14:textId="77777777" w:rsidR="000F3DAD" w:rsidRPr="008C2C25" w:rsidRDefault="000F3DAD" w:rsidP="008736AC">
            <w:pPr>
              <w:spacing w:after="0" w:line="240" w:lineRule="auto"/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</w:pPr>
            <w:r w:rsidRPr="008C2C25"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  <w:t xml:space="preserve">Nevyužité hodiny se přesouvají do následujícího měsíce avšak pouze v rámci aktuálního roku. Je možné jednorázové nebo vícerázové vyčerpání takto nakumulovaných hodin avšak v termínech a rozsahu dohodnutém mezi Objednatelem a Poskytovatelem. </w:t>
            </w:r>
          </w:p>
        </w:tc>
      </w:tr>
      <w:tr w:rsidR="008C2C25" w:rsidRPr="008C2C25" w14:paraId="0E07429A" w14:textId="77777777" w:rsidTr="008736AC">
        <w:trPr>
          <w:trHeight w:val="780"/>
        </w:trPr>
        <w:tc>
          <w:tcPr>
            <w:tcW w:w="1260" w:type="dxa"/>
            <w:vMerge/>
            <w:tcBorders>
              <w:top w:val="nil"/>
              <w:left w:val="nil"/>
              <w:bottom w:val="single" w:sz="4" w:space="0" w:color="F2F2F2"/>
              <w:right w:val="nil"/>
            </w:tcBorders>
            <w:vAlign w:val="center"/>
            <w:hideMark/>
          </w:tcPr>
          <w:p w14:paraId="2039EF52" w14:textId="77777777" w:rsidR="000F3DAD" w:rsidRPr="008C2C25" w:rsidRDefault="000F3DAD" w:rsidP="008736AC">
            <w:pPr>
              <w:spacing w:after="0" w:line="240" w:lineRule="auto"/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</w:pPr>
          </w:p>
        </w:tc>
        <w:tc>
          <w:tcPr>
            <w:tcW w:w="7920" w:type="dxa"/>
            <w:gridSpan w:val="3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auto" w:fill="auto"/>
            <w:vAlign w:val="center"/>
            <w:hideMark/>
          </w:tcPr>
          <w:p w14:paraId="699ED967" w14:textId="77777777" w:rsidR="000F3DAD" w:rsidRPr="008C2C25" w:rsidRDefault="000F3DAD" w:rsidP="008736AC">
            <w:pPr>
              <w:spacing w:after="0" w:line="240" w:lineRule="auto"/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</w:pPr>
            <w:r w:rsidRPr="008C2C25"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  <w:t xml:space="preserve">V případě vyčerpání předplaceného objemu hodin lze čerpat další práce v termínech a rozsahu dohodnutém mezi Objednatelem a Poskytovatelem. </w:t>
            </w:r>
          </w:p>
        </w:tc>
      </w:tr>
      <w:tr w:rsidR="008C2C25" w:rsidRPr="008C2C25" w14:paraId="73EE553A" w14:textId="77777777" w:rsidTr="008736AC">
        <w:trPr>
          <w:trHeight w:val="600"/>
        </w:trPr>
        <w:tc>
          <w:tcPr>
            <w:tcW w:w="1260" w:type="dxa"/>
            <w:vMerge/>
            <w:tcBorders>
              <w:top w:val="nil"/>
              <w:left w:val="nil"/>
              <w:bottom w:val="single" w:sz="4" w:space="0" w:color="F2F2F2"/>
              <w:right w:val="nil"/>
            </w:tcBorders>
            <w:vAlign w:val="center"/>
            <w:hideMark/>
          </w:tcPr>
          <w:p w14:paraId="4792BCED" w14:textId="77777777" w:rsidR="000F3DAD" w:rsidRPr="008C2C25" w:rsidRDefault="000F3DAD" w:rsidP="008736AC">
            <w:pPr>
              <w:spacing w:after="0" w:line="240" w:lineRule="auto"/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</w:pPr>
          </w:p>
        </w:tc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66A5AA" w14:textId="77777777" w:rsidR="000F3DAD" w:rsidRPr="008C2C25" w:rsidRDefault="000F3DAD" w:rsidP="008736AC">
            <w:pPr>
              <w:spacing w:after="0" w:line="240" w:lineRule="auto"/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</w:pPr>
            <w:r w:rsidRPr="008C2C25"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  <w:t xml:space="preserve">Nejmenší časová jednotka pro čerpání služeb přes telefon, email nebo vzdálené připojení </w:t>
            </w:r>
            <w:proofErr w:type="gramStart"/>
            <w:r w:rsidRPr="008C2C25"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  <w:t>je</w:t>
            </w:r>
            <w:proofErr w:type="gramEnd"/>
            <w:r w:rsidRPr="008C2C25"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  <w:t xml:space="preserve"> 15 min. Nejmenší časová jednotka pro čerpání služeb v místě je jeden pracovní den (md).</w:t>
            </w:r>
          </w:p>
        </w:tc>
      </w:tr>
      <w:tr w:rsidR="008C2C25" w:rsidRPr="008C2C25" w14:paraId="51B4A79A" w14:textId="77777777" w:rsidTr="008736AC">
        <w:trPr>
          <w:trHeight w:val="1320"/>
        </w:trPr>
        <w:tc>
          <w:tcPr>
            <w:tcW w:w="1260" w:type="dxa"/>
            <w:vMerge/>
            <w:tcBorders>
              <w:top w:val="nil"/>
              <w:left w:val="nil"/>
              <w:bottom w:val="single" w:sz="4" w:space="0" w:color="F2F2F2"/>
              <w:right w:val="nil"/>
            </w:tcBorders>
            <w:vAlign w:val="center"/>
            <w:hideMark/>
          </w:tcPr>
          <w:p w14:paraId="1948968C" w14:textId="77777777" w:rsidR="000F3DAD" w:rsidRPr="008C2C25" w:rsidRDefault="000F3DAD" w:rsidP="008736AC">
            <w:pPr>
              <w:spacing w:after="0" w:line="240" w:lineRule="auto"/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</w:pPr>
          </w:p>
        </w:tc>
        <w:tc>
          <w:tcPr>
            <w:tcW w:w="7920" w:type="dxa"/>
            <w:gridSpan w:val="3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auto" w:fill="auto"/>
            <w:vAlign w:val="center"/>
            <w:hideMark/>
          </w:tcPr>
          <w:p w14:paraId="10C431BC" w14:textId="77777777" w:rsidR="000F3DAD" w:rsidRPr="008C2C25" w:rsidRDefault="000F3DAD" w:rsidP="008736AC">
            <w:pPr>
              <w:spacing w:after="0" w:line="240" w:lineRule="auto"/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</w:pPr>
            <w:r w:rsidRPr="008C2C25"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  <w:t>V případě řešení problému s produkty ALVAO, kdy je chyba prokazatelně způsobena produkty ALVAO, se neodečítá čas strávený při řešení tohoto problému z předplacené kapacity. Ve všech ostatních případech zejména, kdy je problém způsoben neodborným zásahem pracovníků Objednatele nebo třetí stranou, se standardně započítává čas strávený s řešením problému.</w:t>
            </w:r>
          </w:p>
        </w:tc>
      </w:tr>
      <w:tr w:rsidR="008C2C25" w:rsidRPr="008C2C25" w14:paraId="614FAD7A" w14:textId="77777777" w:rsidTr="008736AC">
        <w:trPr>
          <w:trHeight w:val="330"/>
        </w:trPr>
        <w:tc>
          <w:tcPr>
            <w:tcW w:w="1260" w:type="dxa"/>
            <w:vMerge w:val="restart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auto" w:fill="auto"/>
            <w:vAlign w:val="center"/>
            <w:hideMark/>
          </w:tcPr>
          <w:p w14:paraId="1A8EA287" w14:textId="77777777" w:rsidR="000F3DAD" w:rsidRPr="008C2C25" w:rsidRDefault="000F3DAD" w:rsidP="008736AC">
            <w:pPr>
              <w:spacing w:after="0" w:line="240" w:lineRule="auto"/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</w:pPr>
            <w:r w:rsidRPr="008C2C25"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  <w:t>Zúčtovací období</w:t>
            </w:r>
          </w:p>
        </w:tc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DD7E0" w14:textId="77777777" w:rsidR="000F3DAD" w:rsidRPr="008C2C25" w:rsidRDefault="000F3DAD" w:rsidP="008736AC">
            <w:pPr>
              <w:spacing w:after="0" w:line="240" w:lineRule="auto"/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</w:pPr>
            <w:r w:rsidRPr="008C2C25"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  <w:t>Zúčtovací období za předplacené služby je rok. Fakturace probíhá před započetím čerpání služeb.</w:t>
            </w:r>
          </w:p>
        </w:tc>
      </w:tr>
      <w:tr w:rsidR="008C2C25" w:rsidRPr="008C2C25" w14:paraId="3F6566D1" w14:textId="77777777" w:rsidTr="008736AC">
        <w:trPr>
          <w:trHeight w:val="645"/>
        </w:trPr>
        <w:tc>
          <w:tcPr>
            <w:tcW w:w="1260" w:type="dxa"/>
            <w:vMerge/>
            <w:tcBorders>
              <w:top w:val="nil"/>
              <w:left w:val="nil"/>
              <w:bottom w:val="single" w:sz="4" w:space="0" w:color="F2F2F2"/>
              <w:right w:val="nil"/>
            </w:tcBorders>
            <w:vAlign w:val="center"/>
            <w:hideMark/>
          </w:tcPr>
          <w:p w14:paraId="48BEF9F6" w14:textId="77777777" w:rsidR="000F3DAD" w:rsidRPr="008C2C25" w:rsidRDefault="000F3DAD" w:rsidP="008736AC">
            <w:pPr>
              <w:spacing w:after="0" w:line="240" w:lineRule="auto"/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</w:pPr>
          </w:p>
        </w:tc>
        <w:tc>
          <w:tcPr>
            <w:tcW w:w="7920" w:type="dxa"/>
            <w:gridSpan w:val="3"/>
            <w:tcBorders>
              <w:top w:val="single" w:sz="4" w:space="0" w:color="F2F2F2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8827A2" w14:textId="77777777" w:rsidR="000F3DAD" w:rsidRPr="008C2C25" w:rsidRDefault="000F3DAD" w:rsidP="008736AC">
            <w:pPr>
              <w:spacing w:after="0" w:line="240" w:lineRule="auto"/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</w:pPr>
            <w:r w:rsidRPr="008C2C25"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  <w:t xml:space="preserve">V případě překročení předplaceného objemu hodin jsou další poskytnuté práce Objednateli fakturovány za aktuální ceníkové ceny dle kategorií prací Poskytovatele. </w:t>
            </w:r>
          </w:p>
        </w:tc>
      </w:tr>
      <w:tr w:rsidR="008C2C25" w:rsidRPr="008C2C25" w14:paraId="0F166776" w14:textId="77777777" w:rsidTr="008736AC">
        <w:trPr>
          <w:trHeight w:val="855"/>
        </w:trPr>
        <w:tc>
          <w:tcPr>
            <w:tcW w:w="1260" w:type="dxa"/>
            <w:vMerge/>
            <w:tcBorders>
              <w:top w:val="nil"/>
              <w:left w:val="nil"/>
              <w:bottom w:val="single" w:sz="4" w:space="0" w:color="F2F2F2"/>
              <w:right w:val="nil"/>
            </w:tcBorders>
            <w:vAlign w:val="center"/>
            <w:hideMark/>
          </w:tcPr>
          <w:p w14:paraId="30262828" w14:textId="77777777" w:rsidR="000F3DAD" w:rsidRPr="008C2C25" w:rsidRDefault="000F3DAD" w:rsidP="008736AC">
            <w:pPr>
              <w:spacing w:after="0" w:line="240" w:lineRule="auto"/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</w:pPr>
          </w:p>
        </w:tc>
        <w:tc>
          <w:tcPr>
            <w:tcW w:w="7920" w:type="dxa"/>
            <w:gridSpan w:val="3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auto" w:fill="auto"/>
            <w:vAlign w:val="center"/>
            <w:hideMark/>
          </w:tcPr>
          <w:p w14:paraId="42DF6444" w14:textId="77777777" w:rsidR="000F3DAD" w:rsidRPr="008C2C25" w:rsidRDefault="000F3DAD" w:rsidP="008736AC">
            <w:pPr>
              <w:spacing w:after="0" w:line="240" w:lineRule="auto"/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</w:pPr>
            <w:r w:rsidRPr="008C2C25"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  <w:t>Fakturace za poskytnuté práce nad rámec předplacených hodin probíhá na základě objednávky Objednatele nebo Objednatelem odsouhlasené nabídky nebo Objednatelem potvrzeného protokolu o převzetí provedených prací Poskytovatelem.</w:t>
            </w:r>
          </w:p>
        </w:tc>
      </w:tr>
      <w:tr w:rsidR="008C2C25" w:rsidRPr="008C2C25" w14:paraId="1483F472" w14:textId="77777777" w:rsidTr="008736AC">
        <w:trPr>
          <w:trHeight w:val="1395"/>
        </w:trPr>
        <w:tc>
          <w:tcPr>
            <w:tcW w:w="1260" w:type="dxa"/>
            <w:vMerge w:val="restart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auto" w:fill="auto"/>
            <w:vAlign w:val="center"/>
            <w:hideMark/>
          </w:tcPr>
          <w:p w14:paraId="698BDCC7" w14:textId="77777777" w:rsidR="000F3DAD" w:rsidRPr="008C2C25" w:rsidRDefault="000F3DAD" w:rsidP="008736AC">
            <w:pPr>
              <w:spacing w:after="0" w:line="240" w:lineRule="auto"/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</w:pPr>
            <w:r w:rsidRPr="008C2C25"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  <w:t>Postupy a podmínky poskytování služby</w:t>
            </w:r>
          </w:p>
        </w:tc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A1A000" w14:textId="77777777" w:rsidR="000F3DAD" w:rsidRPr="008C2C25" w:rsidRDefault="000F3DAD" w:rsidP="008736AC">
            <w:pPr>
              <w:spacing w:after="0" w:line="240" w:lineRule="auto"/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</w:pPr>
            <w:r w:rsidRPr="008C2C25"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  <w:t>Reakční dobou se rozumí doba od zadání servisního požadavku Objednatelem do začátku realizace řešení Poskytovatelem. Poskytovatel se zavazuje zkontrolovat úplnost zadání a navrhnout kalkulaci ceny v termínu, který přiměřeně umožní zahájení realizace v rámci reakční doby. Objednatel se zavazuje poskytnout součinnost a schválit kalkulaci ceny v termínu, který přiměřeně umožní zahájení realizace v rámci reakční doby.</w:t>
            </w:r>
          </w:p>
        </w:tc>
      </w:tr>
      <w:tr w:rsidR="008C2C25" w:rsidRPr="008C2C25" w14:paraId="6AAF8633" w14:textId="77777777" w:rsidTr="008736AC">
        <w:trPr>
          <w:trHeight w:val="1650"/>
        </w:trPr>
        <w:tc>
          <w:tcPr>
            <w:tcW w:w="1260" w:type="dxa"/>
            <w:vMerge/>
            <w:tcBorders>
              <w:top w:val="nil"/>
              <w:left w:val="nil"/>
              <w:bottom w:val="single" w:sz="4" w:space="0" w:color="F2F2F2"/>
              <w:right w:val="nil"/>
            </w:tcBorders>
            <w:vAlign w:val="center"/>
            <w:hideMark/>
          </w:tcPr>
          <w:p w14:paraId="25458817" w14:textId="77777777" w:rsidR="000F3DAD" w:rsidRPr="008C2C25" w:rsidRDefault="000F3DAD" w:rsidP="008736AC">
            <w:pPr>
              <w:spacing w:after="0" w:line="240" w:lineRule="auto"/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</w:pPr>
          </w:p>
        </w:tc>
        <w:tc>
          <w:tcPr>
            <w:tcW w:w="7920" w:type="dxa"/>
            <w:gridSpan w:val="3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auto" w:fill="auto"/>
            <w:vAlign w:val="center"/>
            <w:hideMark/>
          </w:tcPr>
          <w:p w14:paraId="7782A98D" w14:textId="77777777" w:rsidR="000F3DAD" w:rsidRPr="008C2C25" w:rsidRDefault="000F3DAD" w:rsidP="008736AC">
            <w:pPr>
              <w:spacing w:after="0" w:line="240" w:lineRule="auto"/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</w:pPr>
            <w:r w:rsidRPr="008C2C25"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  <w:t>Termín ukončení požadavku je dán součtem reakční doby, odsouhlasené doby realizace požadavku a případné doby čekání na reakci Objednatele. Termínem ukončení požadavku může být také oběma stranami odsouhlasený termín ukončení požadavku. V případě překročení maximální délky požadavku pro danou reakční dobu je nutné stanovit reakční dobu a termín ukončení požadavku dohodou s Poskytovatelem. Termín ukončení požadavku bude stvrzen zápisem do Service Desku Poskytovatele, nebo písemnou objednávkou.</w:t>
            </w:r>
          </w:p>
        </w:tc>
      </w:tr>
      <w:tr w:rsidR="008C2C25" w:rsidRPr="008C2C25" w14:paraId="6A92131E" w14:textId="77777777" w:rsidTr="008736AC">
        <w:trPr>
          <w:trHeight w:val="990"/>
        </w:trPr>
        <w:tc>
          <w:tcPr>
            <w:tcW w:w="1260" w:type="dxa"/>
            <w:vMerge w:val="restart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auto" w:fill="auto"/>
            <w:vAlign w:val="center"/>
            <w:hideMark/>
          </w:tcPr>
          <w:p w14:paraId="6ABC35A8" w14:textId="77777777" w:rsidR="000F3DAD" w:rsidRPr="008C2C25" w:rsidRDefault="000F3DAD" w:rsidP="008736AC">
            <w:pPr>
              <w:spacing w:after="0" w:line="240" w:lineRule="auto"/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</w:pPr>
            <w:r w:rsidRPr="008C2C25"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  <w:t>Povinnosti Poskytovatele</w:t>
            </w:r>
          </w:p>
        </w:tc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6353C8" w14:textId="77777777" w:rsidR="000F3DAD" w:rsidRPr="008C2C25" w:rsidRDefault="000F3DAD" w:rsidP="008736AC">
            <w:pPr>
              <w:spacing w:after="0" w:line="240" w:lineRule="auto"/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</w:pPr>
            <w:r w:rsidRPr="008C2C25"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  <w:t xml:space="preserve">Pracovníci Poskytovatele mají povinnost vykazovat veškerou odvedenou práci do Service Desku Poskytovatele. Objednatel má prostřednictvím svého zřízeného účtu v Service Desku možnost nahlížet na stav čerpání hodin u svých jednotlivých požadavků. </w:t>
            </w:r>
          </w:p>
        </w:tc>
      </w:tr>
      <w:tr w:rsidR="008C2C25" w:rsidRPr="008C2C25" w14:paraId="7592786D" w14:textId="77777777" w:rsidTr="008736AC">
        <w:trPr>
          <w:trHeight w:val="330"/>
        </w:trPr>
        <w:tc>
          <w:tcPr>
            <w:tcW w:w="1260" w:type="dxa"/>
            <w:vMerge/>
            <w:tcBorders>
              <w:top w:val="nil"/>
              <w:left w:val="nil"/>
              <w:bottom w:val="single" w:sz="4" w:space="0" w:color="F2F2F2"/>
              <w:right w:val="nil"/>
            </w:tcBorders>
            <w:vAlign w:val="center"/>
            <w:hideMark/>
          </w:tcPr>
          <w:p w14:paraId="00F46295" w14:textId="77777777" w:rsidR="000F3DAD" w:rsidRPr="008C2C25" w:rsidRDefault="000F3DAD" w:rsidP="008736AC">
            <w:pPr>
              <w:spacing w:after="0" w:line="240" w:lineRule="auto"/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</w:pPr>
          </w:p>
        </w:tc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76AB32" w14:textId="77777777" w:rsidR="000F3DAD" w:rsidRPr="008C2C25" w:rsidRDefault="000F3DAD" w:rsidP="008736AC">
            <w:pPr>
              <w:spacing w:after="0" w:line="240" w:lineRule="auto"/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</w:pPr>
            <w:r w:rsidRPr="008C2C25"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  <w:t xml:space="preserve">Poskytovatel poskytuje měsíčně Objednateli podrobné informace o čerpání služeb. </w:t>
            </w:r>
          </w:p>
        </w:tc>
      </w:tr>
      <w:tr w:rsidR="008C2C25" w:rsidRPr="008C2C25" w14:paraId="579A537C" w14:textId="77777777" w:rsidTr="008736AC">
        <w:trPr>
          <w:trHeight w:val="600"/>
        </w:trPr>
        <w:tc>
          <w:tcPr>
            <w:tcW w:w="1260" w:type="dxa"/>
            <w:vMerge/>
            <w:tcBorders>
              <w:top w:val="nil"/>
              <w:left w:val="nil"/>
              <w:bottom w:val="single" w:sz="4" w:space="0" w:color="F2F2F2"/>
              <w:right w:val="nil"/>
            </w:tcBorders>
            <w:vAlign w:val="center"/>
            <w:hideMark/>
          </w:tcPr>
          <w:p w14:paraId="0F22DC0C" w14:textId="77777777" w:rsidR="000F3DAD" w:rsidRPr="008C2C25" w:rsidRDefault="000F3DAD" w:rsidP="008736AC">
            <w:pPr>
              <w:spacing w:after="0" w:line="240" w:lineRule="auto"/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</w:pPr>
          </w:p>
        </w:tc>
        <w:tc>
          <w:tcPr>
            <w:tcW w:w="7920" w:type="dxa"/>
            <w:gridSpan w:val="3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auto" w:fill="auto"/>
            <w:vAlign w:val="center"/>
            <w:hideMark/>
          </w:tcPr>
          <w:p w14:paraId="476061F2" w14:textId="77777777" w:rsidR="000F3DAD" w:rsidRPr="008C2C25" w:rsidRDefault="000F3DAD" w:rsidP="008736AC">
            <w:pPr>
              <w:spacing w:after="0" w:line="240" w:lineRule="auto"/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</w:pPr>
            <w:r w:rsidRPr="008C2C25"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  <w:t>Poskytovatel Objednateli na vyžádání zpracuje a zašle přehled o aktuálním stavu všech jemu poskytnutých licencí ALVAO produktů a modulů.</w:t>
            </w:r>
          </w:p>
        </w:tc>
      </w:tr>
      <w:tr w:rsidR="008C2C25" w:rsidRPr="008C2C25" w14:paraId="3C4065B4" w14:textId="77777777" w:rsidTr="008736AC">
        <w:trPr>
          <w:trHeight w:val="990"/>
        </w:trPr>
        <w:tc>
          <w:tcPr>
            <w:tcW w:w="1260" w:type="dxa"/>
            <w:vMerge w:val="restart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auto" w:fill="auto"/>
            <w:vAlign w:val="center"/>
            <w:hideMark/>
          </w:tcPr>
          <w:p w14:paraId="56819C54" w14:textId="77777777" w:rsidR="000F3DAD" w:rsidRPr="008C2C25" w:rsidRDefault="000F3DAD" w:rsidP="008736AC">
            <w:pPr>
              <w:spacing w:after="0" w:line="240" w:lineRule="auto"/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</w:pPr>
            <w:r w:rsidRPr="008C2C25"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  <w:t>Povinnosti Objednatele</w:t>
            </w:r>
          </w:p>
        </w:tc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572C04" w14:textId="77777777" w:rsidR="000F3DAD" w:rsidRPr="008C2C25" w:rsidRDefault="000F3DAD" w:rsidP="008736AC">
            <w:pPr>
              <w:spacing w:after="0" w:line="240" w:lineRule="auto"/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</w:pPr>
            <w:r w:rsidRPr="008C2C25"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  <w:t>Objednatel se zavazuje zajistit Poskytovateli součinnost nezbytnou k provedení sjednaných služeb v dohodnutých termínech. Objednatel se dále zavazuje připravit související funkční infrastrukturní hardwarové a softwarové prostředí (operační systémy, databáze, apod.).</w:t>
            </w:r>
          </w:p>
        </w:tc>
      </w:tr>
      <w:tr w:rsidR="008C2C25" w:rsidRPr="008C2C25" w14:paraId="730AE61C" w14:textId="77777777" w:rsidTr="008736AC">
        <w:trPr>
          <w:trHeight w:val="660"/>
        </w:trPr>
        <w:tc>
          <w:tcPr>
            <w:tcW w:w="1260" w:type="dxa"/>
            <w:vMerge/>
            <w:tcBorders>
              <w:top w:val="nil"/>
              <w:left w:val="nil"/>
              <w:bottom w:val="single" w:sz="4" w:space="0" w:color="F2F2F2"/>
              <w:right w:val="nil"/>
            </w:tcBorders>
            <w:vAlign w:val="center"/>
            <w:hideMark/>
          </w:tcPr>
          <w:p w14:paraId="0D8A727A" w14:textId="77777777" w:rsidR="000F3DAD" w:rsidRPr="008C2C25" w:rsidRDefault="000F3DAD" w:rsidP="008736AC">
            <w:pPr>
              <w:spacing w:after="0" w:line="240" w:lineRule="auto"/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</w:pPr>
          </w:p>
        </w:tc>
        <w:tc>
          <w:tcPr>
            <w:tcW w:w="7920" w:type="dxa"/>
            <w:gridSpan w:val="3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auto" w:fill="auto"/>
            <w:vAlign w:val="center"/>
            <w:hideMark/>
          </w:tcPr>
          <w:p w14:paraId="13565BC2" w14:textId="77777777" w:rsidR="000F3DAD" w:rsidRPr="008C2C25" w:rsidRDefault="000F3DAD" w:rsidP="008736AC">
            <w:pPr>
              <w:spacing w:after="0" w:line="240" w:lineRule="auto"/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</w:pPr>
            <w:r w:rsidRPr="008C2C25"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  <w:t>Objednatel plně odpovídá za zálohování systémů ALVAO. Objednatel musí mít k dispozici funkční zálohy, ze kterých lze v případě potřeby provést rekonstrukci tzv. obnova po havárii infrastruktury.</w:t>
            </w:r>
          </w:p>
        </w:tc>
      </w:tr>
      <w:tr w:rsidR="008C2C25" w:rsidRPr="008C2C25" w14:paraId="7424A2AB" w14:textId="77777777" w:rsidTr="008736AC">
        <w:trPr>
          <w:trHeight w:val="630"/>
        </w:trPr>
        <w:tc>
          <w:tcPr>
            <w:tcW w:w="1260" w:type="dxa"/>
            <w:vMerge w:val="restart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auto" w:fill="auto"/>
            <w:vAlign w:val="center"/>
            <w:hideMark/>
          </w:tcPr>
          <w:p w14:paraId="042AA8B3" w14:textId="77777777" w:rsidR="000F3DAD" w:rsidRPr="008C2C25" w:rsidRDefault="000F3DAD" w:rsidP="008736AC">
            <w:pPr>
              <w:spacing w:after="0" w:line="240" w:lineRule="auto"/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</w:pPr>
            <w:r w:rsidRPr="008C2C25"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  <w:t>Kategorie chyb produktu</w:t>
            </w:r>
          </w:p>
        </w:tc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969D7C" w14:textId="77777777" w:rsidR="000F3DAD" w:rsidRPr="008C2C25" w:rsidRDefault="000F3DAD" w:rsidP="008736AC">
            <w:pPr>
              <w:spacing w:after="0" w:line="240" w:lineRule="auto"/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</w:pPr>
            <w:r w:rsidRPr="008C2C25"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  <w:t>A1 – Chyba v produktu způsobuje provozní problémy znemožňující používání produktu, tj.:</w:t>
            </w:r>
          </w:p>
        </w:tc>
      </w:tr>
      <w:tr w:rsidR="008C2C25" w:rsidRPr="008C2C25" w14:paraId="446C8277" w14:textId="77777777" w:rsidTr="008736AC">
        <w:trPr>
          <w:trHeight w:val="330"/>
        </w:trPr>
        <w:tc>
          <w:tcPr>
            <w:tcW w:w="1260" w:type="dxa"/>
            <w:vMerge/>
            <w:tcBorders>
              <w:top w:val="nil"/>
              <w:left w:val="nil"/>
              <w:bottom w:val="single" w:sz="4" w:space="0" w:color="F2F2F2"/>
              <w:right w:val="nil"/>
            </w:tcBorders>
            <w:vAlign w:val="center"/>
            <w:hideMark/>
          </w:tcPr>
          <w:p w14:paraId="3C816771" w14:textId="77777777" w:rsidR="000F3DAD" w:rsidRPr="008C2C25" w:rsidRDefault="000F3DAD" w:rsidP="008736AC">
            <w:pPr>
              <w:spacing w:after="0" w:line="240" w:lineRule="auto"/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</w:pPr>
          </w:p>
        </w:tc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6A347D" w14:textId="77777777" w:rsidR="000F3DAD" w:rsidRPr="008C2C25" w:rsidRDefault="000F3DAD" w:rsidP="008736AC">
            <w:pPr>
              <w:spacing w:after="0" w:line="240" w:lineRule="auto"/>
              <w:ind w:firstLineChars="200" w:firstLine="360"/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</w:pPr>
            <w:r w:rsidRPr="008C2C25"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  <w:t>a) "zhroucení" celého produktu nebo jeho části během normálního používání.</w:t>
            </w:r>
          </w:p>
        </w:tc>
      </w:tr>
      <w:tr w:rsidR="008C2C25" w:rsidRPr="008C2C25" w14:paraId="707022CA" w14:textId="77777777" w:rsidTr="008736AC">
        <w:trPr>
          <w:trHeight w:val="660"/>
        </w:trPr>
        <w:tc>
          <w:tcPr>
            <w:tcW w:w="1260" w:type="dxa"/>
            <w:vMerge/>
            <w:tcBorders>
              <w:top w:val="nil"/>
              <w:left w:val="nil"/>
              <w:bottom w:val="single" w:sz="4" w:space="0" w:color="F2F2F2"/>
              <w:right w:val="nil"/>
            </w:tcBorders>
            <w:vAlign w:val="center"/>
            <w:hideMark/>
          </w:tcPr>
          <w:p w14:paraId="11D5EE05" w14:textId="77777777" w:rsidR="000F3DAD" w:rsidRPr="008C2C25" w:rsidRDefault="000F3DAD" w:rsidP="008736AC">
            <w:pPr>
              <w:spacing w:after="0" w:line="240" w:lineRule="auto"/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</w:pPr>
          </w:p>
        </w:tc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18E0AD" w14:textId="77777777" w:rsidR="000F3DAD" w:rsidRPr="008C2C25" w:rsidRDefault="000F3DAD" w:rsidP="008736AC">
            <w:pPr>
              <w:spacing w:after="0" w:line="240" w:lineRule="auto"/>
              <w:ind w:firstLineChars="200" w:firstLine="360"/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</w:pPr>
            <w:r w:rsidRPr="008C2C25"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  <w:t>b) ztrátu nebo porušení dat během normálního používání a současně neexistuje postup pro náhradní řešení problému.</w:t>
            </w:r>
          </w:p>
        </w:tc>
      </w:tr>
      <w:tr w:rsidR="008C2C25" w:rsidRPr="008C2C25" w14:paraId="1E2CF23D" w14:textId="77777777" w:rsidTr="008736AC">
        <w:trPr>
          <w:trHeight w:val="570"/>
        </w:trPr>
        <w:tc>
          <w:tcPr>
            <w:tcW w:w="1260" w:type="dxa"/>
            <w:vMerge/>
            <w:tcBorders>
              <w:top w:val="nil"/>
              <w:left w:val="nil"/>
              <w:bottom w:val="single" w:sz="4" w:space="0" w:color="F2F2F2"/>
              <w:right w:val="nil"/>
            </w:tcBorders>
            <w:vAlign w:val="center"/>
            <w:hideMark/>
          </w:tcPr>
          <w:p w14:paraId="18F38656" w14:textId="77777777" w:rsidR="000F3DAD" w:rsidRPr="008C2C25" w:rsidRDefault="000F3DAD" w:rsidP="008736AC">
            <w:pPr>
              <w:spacing w:after="0" w:line="240" w:lineRule="auto"/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</w:pPr>
          </w:p>
        </w:tc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755AE5" w14:textId="77777777" w:rsidR="000F3DAD" w:rsidRPr="008C2C25" w:rsidRDefault="000F3DAD" w:rsidP="008736AC">
            <w:pPr>
              <w:spacing w:after="0" w:line="240" w:lineRule="auto"/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</w:pPr>
            <w:r w:rsidRPr="008C2C25"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  <w:t>A2 – Chyba způsobuje provozní problémy omezující používání produktu, tj.:</w:t>
            </w:r>
          </w:p>
        </w:tc>
      </w:tr>
      <w:tr w:rsidR="008C2C25" w:rsidRPr="008C2C25" w14:paraId="2CB07624" w14:textId="77777777" w:rsidTr="008736AC">
        <w:trPr>
          <w:trHeight w:val="660"/>
        </w:trPr>
        <w:tc>
          <w:tcPr>
            <w:tcW w:w="1260" w:type="dxa"/>
            <w:vMerge/>
            <w:tcBorders>
              <w:top w:val="nil"/>
              <w:left w:val="nil"/>
              <w:bottom w:val="single" w:sz="4" w:space="0" w:color="F2F2F2"/>
              <w:right w:val="nil"/>
            </w:tcBorders>
            <w:vAlign w:val="center"/>
            <w:hideMark/>
          </w:tcPr>
          <w:p w14:paraId="3D55C8FB" w14:textId="77777777" w:rsidR="000F3DAD" w:rsidRPr="008C2C25" w:rsidRDefault="000F3DAD" w:rsidP="008736AC">
            <w:pPr>
              <w:spacing w:after="0" w:line="240" w:lineRule="auto"/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</w:pPr>
          </w:p>
        </w:tc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0C0F37" w14:textId="77777777" w:rsidR="000F3DAD" w:rsidRPr="008C2C25" w:rsidRDefault="000F3DAD" w:rsidP="008736AC">
            <w:pPr>
              <w:spacing w:after="0" w:line="240" w:lineRule="auto"/>
              <w:ind w:firstLineChars="200" w:firstLine="360"/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</w:pPr>
            <w:r w:rsidRPr="008C2C25"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  <w:t>a) způsobuje významné problémy při používání, které jsou překonatelné postupem pro náhradní řešení problému.</w:t>
            </w:r>
          </w:p>
        </w:tc>
      </w:tr>
      <w:tr w:rsidR="008C2C25" w:rsidRPr="008C2C25" w14:paraId="56E389BD" w14:textId="77777777" w:rsidTr="008736AC">
        <w:trPr>
          <w:trHeight w:val="330"/>
        </w:trPr>
        <w:tc>
          <w:tcPr>
            <w:tcW w:w="1260" w:type="dxa"/>
            <w:vMerge/>
            <w:tcBorders>
              <w:top w:val="nil"/>
              <w:left w:val="nil"/>
              <w:bottom w:val="single" w:sz="4" w:space="0" w:color="F2F2F2"/>
              <w:right w:val="nil"/>
            </w:tcBorders>
            <w:vAlign w:val="center"/>
            <w:hideMark/>
          </w:tcPr>
          <w:p w14:paraId="08B10FA9" w14:textId="77777777" w:rsidR="000F3DAD" w:rsidRPr="008C2C25" w:rsidRDefault="000F3DAD" w:rsidP="008736AC">
            <w:pPr>
              <w:spacing w:after="0" w:line="240" w:lineRule="auto"/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</w:pPr>
          </w:p>
        </w:tc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B26BF0" w14:textId="77777777" w:rsidR="000F3DAD" w:rsidRPr="008C2C25" w:rsidRDefault="000F3DAD" w:rsidP="008736AC">
            <w:pPr>
              <w:spacing w:after="0" w:line="240" w:lineRule="auto"/>
              <w:ind w:firstLineChars="200" w:firstLine="360"/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</w:pPr>
            <w:r w:rsidRPr="008C2C25"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  <w:t>b) část produktu se významně odchyluje od specifikace uvedené v dokumentaci.</w:t>
            </w:r>
          </w:p>
        </w:tc>
      </w:tr>
      <w:tr w:rsidR="000F3DAD" w:rsidRPr="008C2C25" w14:paraId="3E960C46" w14:textId="77777777" w:rsidTr="008736AC">
        <w:trPr>
          <w:trHeight w:val="990"/>
        </w:trPr>
        <w:tc>
          <w:tcPr>
            <w:tcW w:w="1260" w:type="dxa"/>
            <w:vMerge/>
            <w:tcBorders>
              <w:top w:val="nil"/>
              <w:left w:val="nil"/>
              <w:bottom w:val="single" w:sz="4" w:space="0" w:color="F2F2F2"/>
              <w:right w:val="nil"/>
            </w:tcBorders>
            <w:vAlign w:val="center"/>
            <w:hideMark/>
          </w:tcPr>
          <w:p w14:paraId="7227F04C" w14:textId="77777777" w:rsidR="000F3DAD" w:rsidRPr="008C2C25" w:rsidRDefault="000F3DAD" w:rsidP="008736AC">
            <w:pPr>
              <w:spacing w:after="0" w:line="240" w:lineRule="auto"/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</w:pPr>
          </w:p>
        </w:tc>
        <w:tc>
          <w:tcPr>
            <w:tcW w:w="7920" w:type="dxa"/>
            <w:gridSpan w:val="3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auto" w:fill="auto"/>
            <w:vAlign w:val="center"/>
            <w:hideMark/>
          </w:tcPr>
          <w:p w14:paraId="013A8F3F" w14:textId="77777777" w:rsidR="000F3DAD" w:rsidRPr="008C2C25" w:rsidRDefault="000F3DAD" w:rsidP="008736AC">
            <w:pPr>
              <w:spacing w:after="0" w:line="240" w:lineRule="auto"/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</w:pPr>
            <w:r w:rsidRPr="008C2C25"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  <w:t>A3 – Chyba způsobuje provozní problémy, které neomezují provoz, ale komplikují postupy při práci s produktem, tj. projevují se v neshodě ovládání či výstupů s chováním popsaným v dokumentaci, nebo nejsou uvedeny v předcházejících kategoriích.</w:t>
            </w:r>
          </w:p>
        </w:tc>
      </w:tr>
    </w:tbl>
    <w:p w14:paraId="1D61AF9A" w14:textId="77777777" w:rsidR="000F3DAD" w:rsidRPr="008C2C25" w:rsidRDefault="000F3DAD" w:rsidP="000F3DAD"/>
    <w:p w14:paraId="479A618A" w14:textId="77777777" w:rsidR="000F3DAD" w:rsidRPr="008C2C25" w:rsidRDefault="000F3DAD" w:rsidP="000F3DAD"/>
    <w:tbl>
      <w:tblPr>
        <w:tblpPr w:leftFromText="141" w:rightFromText="141" w:vertAnchor="text" w:horzAnchor="margin" w:tblpY="-60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9"/>
        <w:gridCol w:w="2849"/>
        <w:gridCol w:w="2064"/>
      </w:tblGrid>
      <w:tr w:rsidR="008C2C25" w:rsidRPr="008C2C25" w14:paraId="017C934A" w14:textId="77777777" w:rsidTr="008736AC">
        <w:trPr>
          <w:trHeight w:val="42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CC6A0" w14:textId="77777777" w:rsidR="000F3DAD" w:rsidRPr="008C2C25" w:rsidRDefault="000F3DAD" w:rsidP="008736AC">
            <w:pPr>
              <w:spacing w:after="0" w:line="240" w:lineRule="auto"/>
              <w:jc w:val="center"/>
              <w:rPr>
                <w:rFonts w:eastAsia="Times New Roman" w:cs="Segoe UI"/>
                <w:sz w:val="18"/>
                <w:szCs w:val="18"/>
              </w:rPr>
            </w:pPr>
            <w:r w:rsidRPr="008C2C25">
              <w:rPr>
                <w:rFonts w:eastAsia="Times New Roman" w:cs="Segoe UI"/>
                <w:sz w:val="18"/>
                <w:szCs w:val="18"/>
              </w:rPr>
              <w:t>Kontaktní osoby pro přístup do Service Desku Poskytovatele (SD)</w:t>
            </w:r>
          </w:p>
        </w:tc>
      </w:tr>
      <w:tr w:rsidR="008C2C25" w:rsidRPr="008C2C25" w14:paraId="48E980ED" w14:textId="77777777" w:rsidTr="008736AC">
        <w:trPr>
          <w:trHeight w:val="82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2B22F9" w14:textId="77777777" w:rsidR="000F3DAD" w:rsidRPr="008C2C25" w:rsidRDefault="000F3DAD" w:rsidP="008736AC">
            <w:pPr>
              <w:spacing w:after="0" w:line="240" w:lineRule="auto"/>
              <w:rPr>
                <w:rFonts w:eastAsia="Times New Roman" w:cs="Segoe UI"/>
                <w:sz w:val="18"/>
                <w:szCs w:val="18"/>
              </w:rPr>
            </w:pPr>
            <w:r w:rsidRPr="008C2C25">
              <w:rPr>
                <w:rFonts w:eastAsia="Times New Roman" w:cs="Segoe UI"/>
                <w:sz w:val="18"/>
                <w:szCs w:val="18"/>
              </w:rPr>
              <w:t>Hlavní kontakt do SD – manažer žadatelů (přístup do správy žadatelů, přístup do přehledu požadavků všech žadatelů)</w:t>
            </w:r>
          </w:p>
        </w:tc>
      </w:tr>
      <w:tr w:rsidR="008C2C25" w:rsidRPr="008C2C25" w14:paraId="31D35536" w14:textId="77777777" w:rsidTr="008736AC">
        <w:trPr>
          <w:trHeight w:val="82"/>
        </w:trPr>
        <w:tc>
          <w:tcPr>
            <w:tcW w:w="2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3DA9A" w14:textId="77777777" w:rsidR="000F3DAD" w:rsidRPr="008C2C25" w:rsidRDefault="000F3DAD" w:rsidP="008736AC">
            <w:pPr>
              <w:spacing w:after="0" w:line="240" w:lineRule="auto"/>
              <w:jc w:val="center"/>
              <w:rPr>
                <w:rFonts w:eastAsia="Times New Roman" w:cs="Segoe UI"/>
                <w:sz w:val="18"/>
                <w:szCs w:val="18"/>
              </w:rPr>
            </w:pPr>
            <w:r w:rsidRPr="008C2C25">
              <w:rPr>
                <w:rFonts w:eastAsia="Times New Roman" w:cs="Segoe UI"/>
                <w:sz w:val="18"/>
                <w:szCs w:val="18"/>
              </w:rPr>
              <w:t>jméno a příjmení</w:t>
            </w:r>
          </w:p>
        </w:tc>
        <w:tc>
          <w:tcPr>
            <w:tcW w:w="15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E627A7" w14:textId="77777777" w:rsidR="000F3DAD" w:rsidRPr="008C2C25" w:rsidRDefault="000F3DAD" w:rsidP="008736AC">
            <w:pPr>
              <w:spacing w:after="0" w:line="240" w:lineRule="auto"/>
              <w:jc w:val="center"/>
              <w:rPr>
                <w:rFonts w:eastAsia="Times New Roman" w:cs="Segoe UI"/>
                <w:sz w:val="18"/>
                <w:szCs w:val="18"/>
              </w:rPr>
            </w:pPr>
            <w:r w:rsidRPr="008C2C25">
              <w:rPr>
                <w:rFonts w:eastAsia="Times New Roman" w:cs="Segoe UI"/>
                <w:sz w:val="18"/>
                <w:szCs w:val="18"/>
              </w:rPr>
              <w:t>email</w:t>
            </w: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8C061C" w14:textId="77777777" w:rsidR="000F3DAD" w:rsidRPr="008C2C25" w:rsidRDefault="000F3DAD" w:rsidP="008736AC">
            <w:pPr>
              <w:spacing w:after="0" w:line="240" w:lineRule="auto"/>
              <w:jc w:val="center"/>
              <w:rPr>
                <w:rFonts w:eastAsia="Times New Roman" w:cs="Segoe UI"/>
                <w:sz w:val="18"/>
                <w:szCs w:val="18"/>
              </w:rPr>
            </w:pPr>
            <w:r w:rsidRPr="008C2C25">
              <w:rPr>
                <w:rFonts w:eastAsia="Times New Roman" w:cs="Segoe UI"/>
                <w:sz w:val="18"/>
                <w:szCs w:val="18"/>
              </w:rPr>
              <w:t>telefon</w:t>
            </w:r>
          </w:p>
        </w:tc>
      </w:tr>
      <w:tr w:rsidR="008C2C25" w:rsidRPr="008C2C25" w14:paraId="3A0F4318" w14:textId="77777777" w:rsidTr="008736AC">
        <w:trPr>
          <w:trHeight w:val="391"/>
        </w:trPr>
        <w:tc>
          <w:tcPr>
            <w:tcW w:w="2294" w:type="pct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nil"/>
            </w:tcBorders>
            <w:shd w:val="clear" w:color="auto" w:fill="auto"/>
            <w:vAlign w:val="center"/>
          </w:tcPr>
          <w:p w14:paraId="1378C7D2" w14:textId="2DF6BF72" w:rsidR="000F3DAD" w:rsidRPr="00566B01" w:rsidRDefault="00566B01" w:rsidP="00566B01">
            <w:pPr>
              <w:spacing w:after="0" w:line="240" w:lineRule="auto"/>
              <w:jc w:val="center"/>
              <w:rPr>
                <w:rFonts w:eastAsia="Times New Roman" w:cs="Segoe UI"/>
                <w:sz w:val="18"/>
                <w:szCs w:val="18"/>
              </w:rPr>
            </w:pPr>
            <w:r w:rsidRPr="00566B01">
              <w:rPr>
                <w:rFonts w:eastAsia="Times New Roman" w:cs="Segoe UI"/>
                <w:sz w:val="18"/>
                <w:szCs w:val="18"/>
              </w:rPr>
              <w:t>Ing. Narek Oganesjan</w:t>
            </w:r>
          </w:p>
        </w:tc>
        <w:tc>
          <w:tcPr>
            <w:tcW w:w="1570" w:type="pct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nil"/>
            </w:tcBorders>
            <w:vAlign w:val="center"/>
          </w:tcPr>
          <w:p w14:paraId="1B96768B" w14:textId="00E00598" w:rsidR="00566B01" w:rsidRPr="00566B01" w:rsidRDefault="0092078A" w:rsidP="00566B01">
            <w:pPr>
              <w:spacing w:after="0" w:line="240" w:lineRule="auto"/>
              <w:jc w:val="center"/>
              <w:rPr>
                <w:rFonts w:eastAsia="Times New Roman" w:cs="Segoe UI"/>
                <w:sz w:val="18"/>
                <w:szCs w:val="18"/>
              </w:rPr>
            </w:pPr>
            <w:r>
              <w:rPr>
                <w:rFonts w:eastAsia="Times New Roman" w:cs="Segoe UI"/>
                <w:sz w:val="18"/>
                <w:szCs w:val="18"/>
              </w:rPr>
              <w:t>XXXXXX</w:t>
            </w:r>
          </w:p>
        </w:tc>
        <w:tc>
          <w:tcPr>
            <w:tcW w:w="1136" w:type="pct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nil"/>
            </w:tcBorders>
            <w:shd w:val="clear" w:color="auto" w:fill="auto"/>
            <w:noWrap/>
            <w:vAlign w:val="center"/>
          </w:tcPr>
          <w:p w14:paraId="764E6F43" w14:textId="6FCAE139" w:rsidR="000F3DAD" w:rsidRPr="00566B01" w:rsidRDefault="0092078A" w:rsidP="00566B01">
            <w:pPr>
              <w:spacing w:after="0" w:line="240" w:lineRule="auto"/>
              <w:jc w:val="center"/>
              <w:rPr>
                <w:rFonts w:eastAsia="Times New Roman" w:cs="Segoe UI"/>
                <w:sz w:val="18"/>
                <w:szCs w:val="18"/>
              </w:rPr>
            </w:pPr>
            <w:r>
              <w:rPr>
                <w:rFonts w:eastAsia="Times New Roman" w:cs="Segoe UI"/>
                <w:sz w:val="18"/>
                <w:szCs w:val="18"/>
              </w:rPr>
              <w:t>XXXXXX</w:t>
            </w:r>
          </w:p>
        </w:tc>
      </w:tr>
      <w:tr w:rsidR="008C2C25" w:rsidRPr="008C2C25" w14:paraId="36975A59" w14:textId="77777777" w:rsidTr="008736AC">
        <w:trPr>
          <w:trHeight w:val="82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8DBCF8" w14:textId="77777777" w:rsidR="000F3DAD" w:rsidRPr="00566B01" w:rsidRDefault="000F3DAD" w:rsidP="008736AC">
            <w:pPr>
              <w:spacing w:after="0" w:line="240" w:lineRule="auto"/>
              <w:rPr>
                <w:rFonts w:eastAsia="Times New Roman" w:cs="Segoe UI"/>
                <w:sz w:val="18"/>
                <w:szCs w:val="18"/>
              </w:rPr>
            </w:pPr>
            <w:r w:rsidRPr="00566B01">
              <w:rPr>
                <w:rFonts w:eastAsia="Times New Roman" w:cs="Segoe UI"/>
                <w:sz w:val="18"/>
                <w:szCs w:val="18"/>
              </w:rPr>
              <w:t>Další kontakty do SD – běžný žadatel (přístup k vlastním požadavkům)</w:t>
            </w:r>
          </w:p>
        </w:tc>
      </w:tr>
      <w:tr w:rsidR="008C2C25" w:rsidRPr="008C2C25" w14:paraId="10534A85" w14:textId="77777777" w:rsidTr="008736AC">
        <w:trPr>
          <w:trHeight w:val="82"/>
        </w:trPr>
        <w:tc>
          <w:tcPr>
            <w:tcW w:w="2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71E3AB" w14:textId="77777777" w:rsidR="000F3DAD" w:rsidRPr="00566B01" w:rsidRDefault="000F3DAD" w:rsidP="008736AC">
            <w:pPr>
              <w:spacing w:after="0" w:line="240" w:lineRule="auto"/>
              <w:jc w:val="center"/>
              <w:rPr>
                <w:rFonts w:eastAsia="Times New Roman" w:cs="Segoe UI"/>
                <w:sz w:val="18"/>
                <w:szCs w:val="18"/>
              </w:rPr>
            </w:pPr>
            <w:r w:rsidRPr="00566B01">
              <w:rPr>
                <w:rFonts w:eastAsia="Times New Roman" w:cs="Segoe UI"/>
                <w:sz w:val="18"/>
                <w:szCs w:val="18"/>
              </w:rPr>
              <w:t>jméno a příjmení</w:t>
            </w:r>
          </w:p>
        </w:tc>
        <w:tc>
          <w:tcPr>
            <w:tcW w:w="15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380113" w14:textId="77777777" w:rsidR="000F3DAD" w:rsidRPr="00566B01" w:rsidRDefault="000F3DAD" w:rsidP="008736AC">
            <w:pPr>
              <w:spacing w:after="0" w:line="240" w:lineRule="auto"/>
              <w:jc w:val="center"/>
              <w:rPr>
                <w:rFonts w:eastAsia="Times New Roman" w:cs="Segoe UI"/>
                <w:sz w:val="18"/>
                <w:szCs w:val="18"/>
              </w:rPr>
            </w:pPr>
            <w:r w:rsidRPr="00566B01">
              <w:rPr>
                <w:rFonts w:eastAsia="Times New Roman" w:cs="Segoe UI"/>
                <w:sz w:val="18"/>
                <w:szCs w:val="18"/>
              </w:rPr>
              <w:t>email</w:t>
            </w: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8DE33C" w14:textId="77777777" w:rsidR="000F3DAD" w:rsidRPr="00566B01" w:rsidRDefault="000F3DAD" w:rsidP="008736AC">
            <w:pPr>
              <w:spacing w:after="0" w:line="240" w:lineRule="auto"/>
              <w:jc w:val="center"/>
              <w:rPr>
                <w:rFonts w:eastAsia="Times New Roman" w:cs="Segoe UI"/>
                <w:sz w:val="18"/>
                <w:szCs w:val="18"/>
              </w:rPr>
            </w:pPr>
            <w:r w:rsidRPr="00566B01">
              <w:rPr>
                <w:rFonts w:eastAsia="Times New Roman" w:cs="Segoe UI"/>
                <w:sz w:val="18"/>
                <w:szCs w:val="18"/>
              </w:rPr>
              <w:t>telefon</w:t>
            </w:r>
          </w:p>
        </w:tc>
      </w:tr>
      <w:tr w:rsidR="008C2C25" w:rsidRPr="008C2C25" w14:paraId="7A4CD179" w14:textId="77777777" w:rsidTr="008736AC">
        <w:trPr>
          <w:trHeight w:val="391"/>
        </w:trPr>
        <w:tc>
          <w:tcPr>
            <w:tcW w:w="2294" w:type="pct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nil"/>
            </w:tcBorders>
            <w:shd w:val="clear" w:color="auto" w:fill="auto"/>
            <w:vAlign w:val="center"/>
          </w:tcPr>
          <w:p w14:paraId="4029FEED" w14:textId="77777777" w:rsidR="000F3DAD" w:rsidRDefault="00566B01" w:rsidP="00566B01">
            <w:pPr>
              <w:spacing w:after="0" w:line="240" w:lineRule="auto"/>
              <w:jc w:val="center"/>
              <w:rPr>
                <w:rFonts w:eastAsia="Times New Roman" w:cs="Segoe UI"/>
                <w:sz w:val="18"/>
                <w:szCs w:val="18"/>
              </w:rPr>
            </w:pPr>
            <w:r w:rsidRPr="00566B01">
              <w:rPr>
                <w:rFonts w:eastAsia="Times New Roman" w:cs="Segoe UI"/>
                <w:sz w:val="18"/>
                <w:szCs w:val="18"/>
              </w:rPr>
              <w:t>Lukáš Strnad</w:t>
            </w:r>
          </w:p>
          <w:p w14:paraId="665E7BFF" w14:textId="666663CB" w:rsidR="00A717CA" w:rsidRPr="00566B01" w:rsidRDefault="00A717CA" w:rsidP="00566B01">
            <w:pPr>
              <w:spacing w:after="0" w:line="240" w:lineRule="auto"/>
              <w:jc w:val="center"/>
              <w:rPr>
                <w:rFonts w:eastAsia="Times New Roman" w:cs="Segoe UI"/>
                <w:sz w:val="18"/>
                <w:szCs w:val="18"/>
              </w:rPr>
            </w:pPr>
            <w:r>
              <w:rPr>
                <w:rFonts w:eastAsia="Times New Roman" w:cs="Segoe UI"/>
                <w:sz w:val="18"/>
                <w:szCs w:val="18"/>
              </w:rPr>
              <w:t>Libor Stacho</w:t>
            </w:r>
          </w:p>
        </w:tc>
        <w:tc>
          <w:tcPr>
            <w:tcW w:w="1570" w:type="pct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nil"/>
            </w:tcBorders>
            <w:vAlign w:val="center"/>
          </w:tcPr>
          <w:p w14:paraId="51C7E1DE" w14:textId="30EDC979" w:rsidR="00A717CA" w:rsidRPr="00566B01" w:rsidRDefault="0092078A" w:rsidP="0092078A">
            <w:pPr>
              <w:spacing w:after="0" w:line="240" w:lineRule="auto"/>
              <w:jc w:val="center"/>
              <w:rPr>
                <w:rFonts w:eastAsia="Times New Roman" w:cs="Segoe UI"/>
                <w:sz w:val="18"/>
                <w:szCs w:val="18"/>
              </w:rPr>
            </w:pPr>
            <w:r>
              <w:rPr>
                <w:rFonts w:eastAsia="Times New Roman" w:cs="Segoe UI"/>
                <w:sz w:val="18"/>
                <w:szCs w:val="18"/>
              </w:rPr>
              <w:t>XXXXXX</w:t>
            </w:r>
            <w:r>
              <w:t xml:space="preserve"> </w:t>
            </w:r>
          </w:p>
        </w:tc>
        <w:tc>
          <w:tcPr>
            <w:tcW w:w="1136" w:type="pct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nil"/>
            </w:tcBorders>
            <w:shd w:val="clear" w:color="auto" w:fill="auto"/>
            <w:noWrap/>
            <w:vAlign w:val="center"/>
          </w:tcPr>
          <w:p w14:paraId="7C30E1A1" w14:textId="0A6EBFF1" w:rsidR="00A717CA" w:rsidRPr="00566B01" w:rsidRDefault="0092078A" w:rsidP="0092078A">
            <w:pPr>
              <w:spacing w:after="0" w:line="240" w:lineRule="auto"/>
              <w:jc w:val="center"/>
              <w:rPr>
                <w:rFonts w:eastAsia="Times New Roman" w:cs="Segoe UI"/>
                <w:sz w:val="18"/>
                <w:szCs w:val="18"/>
              </w:rPr>
            </w:pPr>
            <w:r>
              <w:rPr>
                <w:rFonts w:eastAsia="Times New Roman" w:cs="Segoe UI"/>
                <w:sz w:val="18"/>
                <w:szCs w:val="18"/>
              </w:rPr>
              <w:t>XXXXXX</w:t>
            </w:r>
            <w:r>
              <w:rPr>
                <w:rFonts w:eastAsia="Times New Roman" w:cs="Segoe UI"/>
                <w:sz w:val="18"/>
                <w:szCs w:val="18"/>
              </w:rPr>
              <w:t xml:space="preserve"> </w:t>
            </w:r>
            <w:bookmarkStart w:id="3" w:name="_GoBack"/>
            <w:bookmarkEnd w:id="3"/>
          </w:p>
        </w:tc>
      </w:tr>
    </w:tbl>
    <w:p w14:paraId="700D160D" w14:textId="77777777" w:rsidR="000F3DAD" w:rsidRPr="008C2C25" w:rsidRDefault="000F3DAD" w:rsidP="000F3DAD">
      <w:pPr>
        <w:spacing w:after="0" w:line="240" w:lineRule="auto"/>
      </w:pPr>
      <w:r w:rsidRPr="008C2C25">
        <w:t xml:space="preserve"> </w:t>
      </w:r>
      <w:r w:rsidRPr="008C2C25">
        <w:br w:type="page"/>
      </w:r>
    </w:p>
    <w:p w14:paraId="4113DDBE" w14:textId="77777777" w:rsidR="000F3DAD" w:rsidRPr="008C2C25" w:rsidRDefault="000F3DAD" w:rsidP="000F3DAD">
      <w:pPr>
        <w:pStyle w:val="Nzev"/>
        <w:jc w:val="center"/>
      </w:pPr>
      <w:bookmarkStart w:id="4" w:name="_Ref27657346"/>
      <w:bookmarkStart w:id="5" w:name="_Ref31296673"/>
      <w:r w:rsidRPr="008C2C25">
        <w:lastRenderedPageBreak/>
        <w:t>Příloha B - Ceny služeb</w:t>
      </w:r>
      <w:bookmarkEnd w:id="4"/>
      <w:bookmarkEnd w:id="5"/>
    </w:p>
    <w:p w14:paraId="322EA6F4" w14:textId="77777777" w:rsidR="000F3DAD" w:rsidRPr="008C2C25" w:rsidRDefault="000F3DAD" w:rsidP="000F3DAD">
      <w:pPr>
        <w:pStyle w:val="Nadpis1"/>
        <w:numPr>
          <w:ilvl w:val="0"/>
          <w:numId w:val="42"/>
        </w:numPr>
        <w:tabs>
          <w:tab w:val="num" w:pos="360"/>
        </w:tabs>
        <w:ind w:left="432" w:hanging="432"/>
        <w:rPr>
          <w:color w:val="auto"/>
        </w:rPr>
      </w:pPr>
      <w:r w:rsidRPr="008C2C25">
        <w:rPr>
          <w:color w:val="auto"/>
        </w:rPr>
        <w:t>Maintenance ALVAO produktů a modulů</w:t>
      </w:r>
    </w:p>
    <w:tbl>
      <w:tblPr>
        <w:tblW w:w="91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"/>
        <w:gridCol w:w="5636"/>
        <w:gridCol w:w="946"/>
        <w:gridCol w:w="1000"/>
        <w:gridCol w:w="996"/>
      </w:tblGrid>
      <w:tr w:rsidR="008C2C25" w:rsidRPr="008C2C25" w14:paraId="309173A5" w14:textId="77777777" w:rsidTr="000F3DAD">
        <w:trPr>
          <w:trHeight w:val="6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7ABD1" w14:textId="77777777" w:rsidR="000F3DAD" w:rsidRPr="008C2C25" w:rsidRDefault="000F3DAD" w:rsidP="008736AC">
            <w:pPr>
              <w:spacing w:after="0" w:line="240" w:lineRule="auto"/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</w:pPr>
            <w:r w:rsidRPr="008C2C25"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  <w:t>id</w:t>
            </w: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74E37" w14:textId="77777777" w:rsidR="000F3DAD" w:rsidRPr="008C2C25" w:rsidRDefault="000F3DAD" w:rsidP="008736AC">
            <w:pPr>
              <w:spacing w:after="0" w:line="240" w:lineRule="auto"/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</w:pPr>
            <w:r w:rsidRPr="008C2C25"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  <w:t>Produkt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204CEC" w14:textId="77777777" w:rsidR="000F3DAD" w:rsidRPr="008C2C25" w:rsidRDefault="000F3DAD" w:rsidP="008736AC">
            <w:pPr>
              <w:spacing w:after="0" w:line="240" w:lineRule="auto"/>
              <w:jc w:val="right"/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33FBBC" w14:textId="77777777" w:rsidR="000F3DAD" w:rsidRPr="008C2C25" w:rsidRDefault="000F3DAD" w:rsidP="008736AC">
            <w:pPr>
              <w:spacing w:after="0" w:line="240" w:lineRule="auto"/>
              <w:jc w:val="right"/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D465E" w14:textId="77777777" w:rsidR="000F3DAD" w:rsidRPr="008C2C25" w:rsidRDefault="000F3DAD" w:rsidP="008736AC">
            <w:pPr>
              <w:spacing w:after="0" w:line="240" w:lineRule="auto"/>
              <w:jc w:val="right"/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</w:pPr>
            <w:r w:rsidRPr="008C2C25"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  <w:t>Cena</w:t>
            </w:r>
          </w:p>
        </w:tc>
      </w:tr>
      <w:tr w:rsidR="008C2C25" w:rsidRPr="008C2C25" w14:paraId="6940B297" w14:textId="77777777" w:rsidTr="000F3DAD">
        <w:trPr>
          <w:trHeight w:val="330"/>
        </w:trPr>
        <w:tc>
          <w:tcPr>
            <w:tcW w:w="616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  <w:shd w:val="clear" w:color="auto" w:fill="auto"/>
            <w:noWrap/>
            <w:vAlign w:val="center"/>
            <w:hideMark/>
          </w:tcPr>
          <w:p w14:paraId="570E3F35" w14:textId="77777777" w:rsidR="000F3DAD" w:rsidRPr="008C2C25" w:rsidRDefault="000F3DAD" w:rsidP="008736AC">
            <w:pPr>
              <w:spacing w:after="0" w:line="240" w:lineRule="auto"/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</w:pPr>
            <w:r w:rsidRPr="008C2C25"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  <w:t>P205</w:t>
            </w:r>
          </w:p>
        </w:tc>
        <w:tc>
          <w:tcPr>
            <w:tcW w:w="5636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  <w:shd w:val="clear" w:color="auto" w:fill="auto"/>
            <w:vAlign w:val="center"/>
            <w:hideMark/>
          </w:tcPr>
          <w:p w14:paraId="589BABEB" w14:textId="77777777" w:rsidR="000F3DAD" w:rsidRPr="008C2C25" w:rsidRDefault="000F3DAD" w:rsidP="008736AC">
            <w:pPr>
              <w:spacing w:after="0" w:line="240" w:lineRule="auto"/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</w:pPr>
            <w:r w:rsidRPr="008C2C25"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  <w:t>Maintenance na 12 měsíců ALVAO Service Desk 11 pro 670 uživatelů</w:t>
            </w:r>
          </w:p>
        </w:tc>
        <w:tc>
          <w:tcPr>
            <w:tcW w:w="946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  <w:shd w:val="clear" w:color="auto" w:fill="auto"/>
            <w:vAlign w:val="center"/>
          </w:tcPr>
          <w:p w14:paraId="671F4424" w14:textId="77777777" w:rsidR="000F3DAD" w:rsidRPr="008C2C25" w:rsidRDefault="000F3DAD" w:rsidP="008736AC">
            <w:pPr>
              <w:spacing w:after="0" w:line="240" w:lineRule="auto"/>
              <w:jc w:val="right"/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  <w:shd w:val="clear" w:color="auto" w:fill="auto"/>
            <w:vAlign w:val="center"/>
          </w:tcPr>
          <w:p w14:paraId="3585F6E4" w14:textId="77777777" w:rsidR="000F3DAD" w:rsidRPr="008C2C25" w:rsidRDefault="000F3DAD" w:rsidP="008736AC">
            <w:pPr>
              <w:spacing w:after="0" w:line="240" w:lineRule="auto"/>
              <w:jc w:val="right"/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  <w:shd w:val="clear" w:color="auto" w:fill="auto"/>
            <w:vAlign w:val="center"/>
            <w:hideMark/>
          </w:tcPr>
          <w:p w14:paraId="6F5D4C30" w14:textId="77777777" w:rsidR="000F3DAD" w:rsidRPr="008C2C25" w:rsidRDefault="000F3DAD" w:rsidP="008736AC">
            <w:pPr>
              <w:spacing w:after="0" w:line="240" w:lineRule="auto"/>
              <w:jc w:val="right"/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</w:pPr>
            <w:r w:rsidRPr="008C2C25"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  <w:t>105 745</w:t>
            </w:r>
          </w:p>
        </w:tc>
      </w:tr>
      <w:tr w:rsidR="008C2C25" w:rsidRPr="008C2C25" w14:paraId="2073CF00" w14:textId="77777777" w:rsidTr="000F3DAD">
        <w:trPr>
          <w:trHeight w:val="330"/>
        </w:trPr>
        <w:tc>
          <w:tcPr>
            <w:tcW w:w="6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72102D15" w14:textId="77777777" w:rsidR="000F3DAD" w:rsidRPr="008C2C25" w:rsidRDefault="000F3DAD" w:rsidP="008736AC">
            <w:pPr>
              <w:spacing w:after="0" w:line="240" w:lineRule="auto"/>
              <w:rPr>
                <w:rFonts w:ascii="Segoe UI Semibold" w:eastAsia="Times New Roman" w:hAnsi="Segoe UI Semibold" w:cs="Segoe UI Semibold"/>
                <w:spacing w:val="0"/>
                <w:sz w:val="18"/>
                <w:szCs w:val="18"/>
              </w:rPr>
            </w:pPr>
            <w:r w:rsidRPr="008C2C25">
              <w:rPr>
                <w:rFonts w:ascii="Segoe UI Semibold" w:eastAsia="Times New Roman" w:hAnsi="Segoe UI Semibold" w:cs="Segoe UI Semibold"/>
                <w:spacing w:val="0"/>
                <w:sz w:val="18"/>
                <w:szCs w:val="18"/>
              </w:rPr>
              <w:t>Celkem cena v CZK bez DPH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bottom"/>
            <w:hideMark/>
          </w:tcPr>
          <w:p w14:paraId="719E83D9" w14:textId="77777777" w:rsidR="000F3DAD" w:rsidRPr="008C2C25" w:rsidRDefault="000F3DAD" w:rsidP="008736A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pacing w:val="0"/>
                <w:sz w:val="18"/>
                <w:szCs w:val="18"/>
              </w:rPr>
            </w:pPr>
            <w:r w:rsidRPr="008C2C25">
              <w:rPr>
                <w:rFonts w:ascii="Segoe UI" w:eastAsia="Times New Roman" w:hAnsi="Segoe UI" w:cs="Segoe UI"/>
                <w:spacing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bottom"/>
            <w:hideMark/>
          </w:tcPr>
          <w:p w14:paraId="69351A89" w14:textId="77777777" w:rsidR="000F3DAD" w:rsidRPr="008C2C25" w:rsidRDefault="000F3DAD" w:rsidP="008736A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pacing w:val="0"/>
                <w:sz w:val="18"/>
                <w:szCs w:val="18"/>
              </w:rPr>
            </w:pPr>
            <w:r w:rsidRPr="008C2C25">
              <w:rPr>
                <w:rFonts w:ascii="Segoe UI" w:eastAsia="Times New Roman" w:hAnsi="Segoe UI" w:cs="Segoe UI"/>
                <w:spacing w:val="0"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3547D99B" w14:textId="77777777" w:rsidR="000F3DAD" w:rsidRPr="008C2C25" w:rsidRDefault="000F3DAD" w:rsidP="008736AC">
            <w:pPr>
              <w:spacing w:after="0" w:line="240" w:lineRule="auto"/>
              <w:jc w:val="right"/>
              <w:rPr>
                <w:rFonts w:ascii="Segoe UI Semibold" w:eastAsia="Times New Roman" w:hAnsi="Segoe UI Semibold" w:cs="Segoe UI Semibold"/>
                <w:spacing w:val="0"/>
                <w:sz w:val="18"/>
                <w:szCs w:val="18"/>
              </w:rPr>
            </w:pPr>
            <w:r w:rsidRPr="008C2C25">
              <w:rPr>
                <w:rFonts w:ascii="Segoe UI Semibold" w:eastAsia="Times New Roman" w:hAnsi="Segoe UI Semibold" w:cs="Segoe UI Semibold"/>
                <w:spacing w:val="0"/>
                <w:sz w:val="18"/>
                <w:szCs w:val="18"/>
              </w:rPr>
              <w:t>105 745</w:t>
            </w:r>
          </w:p>
        </w:tc>
      </w:tr>
    </w:tbl>
    <w:p w14:paraId="15D8F59D" w14:textId="77777777" w:rsidR="000F3DAD" w:rsidRPr="008C2C25" w:rsidRDefault="000F3DAD" w:rsidP="000F3DAD"/>
    <w:p w14:paraId="3F534DDE" w14:textId="77777777" w:rsidR="000F3DAD" w:rsidRPr="008C2C25" w:rsidRDefault="000F3DAD" w:rsidP="000F3DAD">
      <w:pPr>
        <w:pStyle w:val="Nadpis1"/>
        <w:numPr>
          <w:ilvl w:val="0"/>
          <w:numId w:val="37"/>
        </w:numPr>
        <w:ind w:left="432" w:hanging="432"/>
        <w:rPr>
          <w:color w:val="auto"/>
        </w:rPr>
      </w:pPr>
      <w:r w:rsidRPr="008C2C25">
        <w:rPr>
          <w:color w:val="auto"/>
        </w:rPr>
        <w:t>Zajištění podpory provozu ALVAO produktů a modulů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"/>
        <w:gridCol w:w="6640"/>
        <w:gridCol w:w="840"/>
        <w:gridCol w:w="983"/>
      </w:tblGrid>
      <w:tr w:rsidR="008C2C25" w:rsidRPr="008C2C25" w14:paraId="79932B86" w14:textId="77777777" w:rsidTr="008736AC">
        <w:trPr>
          <w:trHeight w:val="383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F2293" w14:textId="77777777" w:rsidR="000F3DAD" w:rsidRPr="008C2C25" w:rsidRDefault="000F3DAD" w:rsidP="008736AC">
            <w:pPr>
              <w:spacing w:after="0" w:line="240" w:lineRule="auto"/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</w:pPr>
            <w:r w:rsidRPr="008C2C25"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  <w:t>id</w:t>
            </w:r>
          </w:p>
        </w:tc>
        <w:tc>
          <w:tcPr>
            <w:tcW w:w="3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E54F2" w14:textId="77777777" w:rsidR="000F3DAD" w:rsidRPr="008C2C25" w:rsidRDefault="000F3DAD" w:rsidP="008736AC">
            <w:pPr>
              <w:spacing w:after="0" w:line="240" w:lineRule="auto"/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</w:pPr>
            <w:r w:rsidRPr="008C2C25"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  <w:t>Služba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D7EFC" w14:textId="77777777" w:rsidR="000F3DAD" w:rsidRPr="008C2C25" w:rsidRDefault="000F3DAD" w:rsidP="008736AC">
            <w:pPr>
              <w:spacing w:after="0" w:line="240" w:lineRule="auto"/>
              <w:jc w:val="right"/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D76CC" w14:textId="77777777" w:rsidR="000F3DAD" w:rsidRPr="008C2C25" w:rsidRDefault="000F3DAD" w:rsidP="008736AC">
            <w:pPr>
              <w:spacing w:after="0" w:line="240" w:lineRule="auto"/>
              <w:jc w:val="right"/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</w:pPr>
            <w:r w:rsidRPr="008C2C25"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  <w:t>Cena</w:t>
            </w:r>
          </w:p>
        </w:tc>
      </w:tr>
      <w:tr w:rsidR="008C2C25" w:rsidRPr="008C2C25" w14:paraId="3901C2F5" w14:textId="77777777" w:rsidTr="008736AC">
        <w:trPr>
          <w:trHeight w:val="383"/>
        </w:trPr>
        <w:tc>
          <w:tcPr>
            <w:tcW w:w="320" w:type="pct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  <w:shd w:val="clear" w:color="auto" w:fill="auto"/>
            <w:noWrap/>
            <w:vAlign w:val="center"/>
            <w:hideMark/>
          </w:tcPr>
          <w:p w14:paraId="1DF9B575" w14:textId="77777777" w:rsidR="000F3DAD" w:rsidRPr="008C2C25" w:rsidRDefault="000F3DAD" w:rsidP="008736AC">
            <w:pPr>
              <w:spacing w:after="0" w:line="240" w:lineRule="auto"/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</w:pPr>
            <w:r w:rsidRPr="008C2C25"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  <w:t>TP003</w:t>
            </w:r>
          </w:p>
        </w:tc>
        <w:tc>
          <w:tcPr>
            <w:tcW w:w="3665" w:type="pct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  <w:shd w:val="clear" w:color="auto" w:fill="auto"/>
            <w:noWrap/>
            <w:vAlign w:val="center"/>
            <w:hideMark/>
          </w:tcPr>
          <w:p w14:paraId="0FB31410" w14:textId="77777777" w:rsidR="000F3DAD" w:rsidRPr="008C2C25" w:rsidRDefault="000F3DAD" w:rsidP="008736AC">
            <w:pPr>
              <w:spacing w:after="0" w:line="240" w:lineRule="auto"/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</w:pPr>
            <w:r w:rsidRPr="008C2C25"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  <w:t>ALVAO Support Standard na 12 měsíců</w:t>
            </w:r>
          </w:p>
        </w:tc>
        <w:tc>
          <w:tcPr>
            <w:tcW w:w="468" w:type="pct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  <w:shd w:val="clear" w:color="auto" w:fill="auto"/>
            <w:noWrap/>
            <w:vAlign w:val="center"/>
            <w:hideMark/>
          </w:tcPr>
          <w:p w14:paraId="64155305" w14:textId="77777777" w:rsidR="000F3DAD" w:rsidRPr="008C2C25" w:rsidRDefault="000F3DAD" w:rsidP="008736AC">
            <w:pPr>
              <w:spacing w:after="0" w:line="240" w:lineRule="auto"/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  <w:shd w:val="clear" w:color="auto" w:fill="auto"/>
            <w:vAlign w:val="center"/>
            <w:hideMark/>
          </w:tcPr>
          <w:p w14:paraId="211EE346" w14:textId="77777777" w:rsidR="000F3DAD" w:rsidRPr="008C2C25" w:rsidRDefault="000F3DAD" w:rsidP="008736AC">
            <w:pPr>
              <w:spacing w:after="0" w:line="240" w:lineRule="auto"/>
              <w:jc w:val="right"/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</w:pPr>
            <w:r w:rsidRPr="008C2C25"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  <w:t>91 668</w:t>
            </w:r>
          </w:p>
        </w:tc>
      </w:tr>
      <w:tr w:rsidR="008C2C25" w:rsidRPr="008C2C25" w14:paraId="7B172002" w14:textId="77777777" w:rsidTr="008736AC">
        <w:trPr>
          <w:trHeight w:val="383"/>
        </w:trPr>
        <w:tc>
          <w:tcPr>
            <w:tcW w:w="320" w:type="pct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  <w:shd w:val="clear" w:color="auto" w:fill="auto"/>
            <w:noWrap/>
            <w:vAlign w:val="center"/>
          </w:tcPr>
          <w:p w14:paraId="13A0F245" w14:textId="77777777" w:rsidR="000F3DAD" w:rsidRPr="008C2C25" w:rsidRDefault="000F3DAD" w:rsidP="008736AC">
            <w:pPr>
              <w:spacing w:after="0" w:line="240" w:lineRule="auto"/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</w:pPr>
            <w:r w:rsidRPr="008C2C25"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  <w:t xml:space="preserve">TP006      </w:t>
            </w:r>
          </w:p>
        </w:tc>
        <w:tc>
          <w:tcPr>
            <w:tcW w:w="3665" w:type="pct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  <w:shd w:val="clear" w:color="auto" w:fill="auto"/>
            <w:noWrap/>
            <w:vAlign w:val="center"/>
          </w:tcPr>
          <w:p w14:paraId="207AFC90" w14:textId="77777777" w:rsidR="000F3DAD" w:rsidRPr="008C2C25" w:rsidRDefault="000F3DAD" w:rsidP="008736AC">
            <w:pPr>
              <w:spacing w:after="0" w:line="240" w:lineRule="auto"/>
              <w:rPr>
                <w:rFonts w:asciiTheme="majorHAnsi" w:eastAsia="Times New Roman" w:hAnsiTheme="majorHAnsi" w:cstheme="majorHAnsi"/>
                <w:spacing w:val="0"/>
                <w:sz w:val="18"/>
                <w:szCs w:val="18"/>
              </w:rPr>
            </w:pPr>
            <w:r w:rsidRPr="008C2C25">
              <w:rPr>
                <w:rFonts w:asciiTheme="majorHAnsi" w:hAnsiTheme="majorHAnsi" w:cstheme="majorHAnsi"/>
                <w:sz w:val="18"/>
                <w:szCs w:val="18"/>
                <w:shd w:val="clear" w:color="auto" w:fill="FAF9F8"/>
              </w:rPr>
              <w:t>Další 3 předplacené hodiny konzultačních prací měsíčně a dopravní náklady</w:t>
            </w:r>
          </w:p>
        </w:tc>
        <w:tc>
          <w:tcPr>
            <w:tcW w:w="468" w:type="pct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  <w:shd w:val="clear" w:color="auto" w:fill="auto"/>
            <w:noWrap/>
            <w:vAlign w:val="center"/>
          </w:tcPr>
          <w:p w14:paraId="2937DC55" w14:textId="77777777" w:rsidR="000F3DAD" w:rsidRPr="008C2C25" w:rsidRDefault="000F3DAD" w:rsidP="008736AC">
            <w:pPr>
              <w:spacing w:after="0" w:line="240" w:lineRule="auto"/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  <w:shd w:val="clear" w:color="auto" w:fill="auto"/>
            <w:vAlign w:val="center"/>
          </w:tcPr>
          <w:p w14:paraId="5F0C6F4F" w14:textId="77777777" w:rsidR="000F3DAD" w:rsidRPr="008C2C25" w:rsidRDefault="00082B8F" w:rsidP="008736AC">
            <w:pPr>
              <w:spacing w:after="0" w:line="240" w:lineRule="auto"/>
              <w:jc w:val="right"/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</w:pPr>
            <w:r w:rsidRPr="008C2C25"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  <w:t>61 135</w:t>
            </w:r>
          </w:p>
        </w:tc>
      </w:tr>
      <w:tr w:rsidR="008C2C25" w:rsidRPr="008C2C25" w14:paraId="3A173C83" w14:textId="77777777" w:rsidTr="008736AC">
        <w:trPr>
          <w:trHeight w:val="383"/>
        </w:trPr>
        <w:tc>
          <w:tcPr>
            <w:tcW w:w="39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4133E5A9" w14:textId="77777777" w:rsidR="000F3DAD" w:rsidRPr="008C2C25" w:rsidRDefault="000F3DAD" w:rsidP="008736AC">
            <w:pPr>
              <w:spacing w:after="0" w:line="240" w:lineRule="auto"/>
              <w:rPr>
                <w:rFonts w:ascii="Segoe UI Semibold" w:eastAsia="Times New Roman" w:hAnsi="Segoe UI Semibold" w:cs="Segoe UI Semibold"/>
                <w:spacing w:val="0"/>
                <w:sz w:val="18"/>
                <w:szCs w:val="18"/>
              </w:rPr>
            </w:pPr>
            <w:r w:rsidRPr="008C2C25">
              <w:rPr>
                <w:rFonts w:ascii="Segoe UI Semibold" w:eastAsia="Times New Roman" w:hAnsi="Segoe UI Semibold" w:cs="Segoe UI Semibold"/>
                <w:spacing w:val="0"/>
                <w:sz w:val="18"/>
                <w:szCs w:val="18"/>
              </w:rPr>
              <w:t>Celkem cena v Kč bez DPH za rok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14:paraId="7EFE64D3" w14:textId="77777777" w:rsidR="000F3DAD" w:rsidRPr="008C2C25" w:rsidRDefault="000F3DAD" w:rsidP="008736A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pacing w:val="0"/>
                <w:sz w:val="18"/>
                <w:szCs w:val="18"/>
              </w:rPr>
            </w:pPr>
            <w:r w:rsidRPr="008C2C25">
              <w:rPr>
                <w:rFonts w:ascii="Segoe UI" w:eastAsia="Times New Roman" w:hAnsi="Segoe UI" w:cs="Segoe UI"/>
                <w:spacing w:val="0"/>
                <w:sz w:val="18"/>
                <w:szCs w:val="18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006EEA18" w14:textId="77777777" w:rsidR="000F3DAD" w:rsidRPr="008C2C25" w:rsidRDefault="00082B8F" w:rsidP="008736AC">
            <w:pPr>
              <w:spacing w:after="0" w:line="240" w:lineRule="auto"/>
              <w:jc w:val="right"/>
              <w:rPr>
                <w:rFonts w:ascii="Segoe UI Semibold" w:eastAsia="Times New Roman" w:hAnsi="Segoe UI Semibold" w:cs="Segoe UI Semibold"/>
                <w:spacing w:val="0"/>
                <w:sz w:val="18"/>
                <w:szCs w:val="18"/>
              </w:rPr>
            </w:pPr>
            <w:r w:rsidRPr="008C2C25">
              <w:rPr>
                <w:rFonts w:ascii="Segoe UI Semibold" w:eastAsia="Times New Roman" w:hAnsi="Segoe UI Semibold" w:cs="Segoe UI Semibold"/>
                <w:spacing w:val="0"/>
                <w:sz w:val="18"/>
                <w:szCs w:val="18"/>
              </w:rPr>
              <w:t>152 803</w:t>
            </w:r>
          </w:p>
        </w:tc>
      </w:tr>
    </w:tbl>
    <w:p w14:paraId="2879445C" w14:textId="77777777" w:rsidR="000F3DAD" w:rsidRPr="008C2C25" w:rsidRDefault="000F3DAD" w:rsidP="000F3DAD">
      <w:pPr>
        <w:pStyle w:val="Nadpis1"/>
        <w:numPr>
          <w:ilvl w:val="0"/>
          <w:numId w:val="37"/>
        </w:numPr>
        <w:ind w:left="432" w:hanging="432"/>
        <w:rPr>
          <w:color w:val="auto"/>
        </w:rPr>
      </w:pPr>
      <w:bookmarkStart w:id="6" w:name="_Ref27659112"/>
      <w:r w:rsidRPr="008C2C25">
        <w:rPr>
          <w:color w:val="auto"/>
        </w:rPr>
        <w:t>Ceník prací</w:t>
      </w:r>
      <w:bookmarkEnd w:id="6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75"/>
        <w:gridCol w:w="1399"/>
        <w:gridCol w:w="1598"/>
      </w:tblGrid>
      <w:tr w:rsidR="008C2C25" w:rsidRPr="008C2C25" w14:paraId="54AE5265" w14:textId="77777777" w:rsidTr="00082B8F">
        <w:trPr>
          <w:trHeight w:val="307"/>
        </w:trPr>
        <w:tc>
          <w:tcPr>
            <w:tcW w:w="3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04966" w14:textId="77777777" w:rsidR="000F3DAD" w:rsidRPr="008C2C25" w:rsidRDefault="000F3DAD" w:rsidP="008736AC">
            <w:pPr>
              <w:spacing w:after="0" w:line="240" w:lineRule="auto"/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</w:pPr>
            <w:r w:rsidRPr="008C2C25"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  <w:t>Práce</w:t>
            </w: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CAEEF" w14:textId="77777777" w:rsidR="000F3DAD" w:rsidRPr="008C2C25" w:rsidRDefault="000F3DAD" w:rsidP="008736AC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</w:pPr>
            <w:r w:rsidRPr="008C2C25"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  <w:t>Jednotka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001B5" w14:textId="77777777" w:rsidR="000F3DAD" w:rsidRPr="008C2C25" w:rsidRDefault="000F3DAD" w:rsidP="008736AC">
            <w:pPr>
              <w:spacing w:after="0" w:line="240" w:lineRule="auto"/>
              <w:jc w:val="right"/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</w:pPr>
            <w:r w:rsidRPr="008C2C25"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  <w:t>Cena v Kč bez DPH</w:t>
            </w:r>
          </w:p>
        </w:tc>
      </w:tr>
      <w:tr w:rsidR="008C2C25" w:rsidRPr="008C2C25" w14:paraId="53510C21" w14:textId="77777777" w:rsidTr="00082B8F">
        <w:trPr>
          <w:trHeight w:val="307"/>
        </w:trPr>
        <w:tc>
          <w:tcPr>
            <w:tcW w:w="3348" w:type="pct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  <w:shd w:val="clear" w:color="auto" w:fill="auto"/>
            <w:noWrap/>
            <w:vAlign w:val="center"/>
            <w:hideMark/>
          </w:tcPr>
          <w:p w14:paraId="3E9BDE22" w14:textId="77777777" w:rsidR="000F3DAD" w:rsidRPr="008C2C25" w:rsidRDefault="000F3DAD" w:rsidP="008736AC">
            <w:pPr>
              <w:spacing w:after="0" w:line="240" w:lineRule="auto"/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</w:pPr>
            <w:r w:rsidRPr="008C2C25"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  <w:t>Konzultant, Školitel, Specialista, Projekt manažer, Tester</w:t>
            </w:r>
          </w:p>
        </w:tc>
        <w:tc>
          <w:tcPr>
            <w:tcW w:w="771" w:type="pct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  <w:shd w:val="clear" w:color="auto" w:fill="auto"/>
            <w:noWrap/>
            <w:vAlign w:val="center"/>
            <w:hideMark/>
          </w:tcPr>
          <w:p w14:paraId="7CA59856" w14:textId="77777777" w:rsidR="000F3DAD" w:rsidRPr="008C2C25" w:rsidRDefault="000F3DAD" w:rsidP="008736AC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</w:pPr>
            <w:r w:rsidRPr="008C2C25"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  <w:t>člověkoden</w:t>
            </w:r>
          </w:p>
        </w:tc>
        <w:tc>
          <w:tcPr>
            <w:tcW w:w="881" w:type="pct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  <w:shd w:val="clear" w:color="auto" w:fill="auto"/>
            <w:vAlign w:val="center"/>
            <w:hideMark/>
          </w:tcPr>
          <w:p w14:paraId="77D22136" w14:textId="77777777" w:rsidR="000F3DAD" w:rsidRPr="008C2C25" w:rsidRDefault="000F3DAD" w:rsidP="008736AC">
            <w:pPr>
              <w:spacing w:after="0" w:line="240" w:lineRule="auto"/>
              <w:jc w:val="right"/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</w:pPr>
            <w:r w:rsidRPr="008C2C25"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  <w:t>13 600</w:t>
            </w:r>
          </w:p>
        </w:tc>
      </w:tr>
      <w:tr w:rsidR="008C2C25" w:rsidRPr="008C2C25" w14:paraId="7A91858A" w14:textId="77777777" w:rsidTr="00082B8F">
        <w:trPr>
          <w:trHeight w:val="307"/>
        </w:trPr>
        <w:tc>
          <w:tcPr>
            <w:tcW w:w="3348" w:type="pct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  <w:shd w:val="clear" w:color="auto" w:fill="auto"/>
            <w:noWrap/>
            <w:vAlign w:val="center"/>
          </w:tcPr>
          <w:p w14:paraId="674B1D09" w14:textId="77777777" w:rsidR="000F3DAD" w:rsidRPr="008C2C25" w:rsidRDefault="000F3DAD" w:rsidP="008736AC">
            <w:pPr>
              <w:spacing w:after="0" w:line="240" w:lineRule="auto"/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</w:pPr>
            <w:r w:rsidRPr="008C2C25"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  <w:t>Analytik, Programátor, ITIL profesionál, SAM profesionál</w:t>
            </w:r>
          </w:p>
        </w:tc>
        <w:tc>
          <w:tcPr>
            <w:tcW w:w="771" w:type="pct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  <w:shd w:val="clear" w:color="auto" w:fill="auto"/>
            <w:noWrap/>
            <w:vAlign w:val="center"/>
          </w:tcPr>
          <w:p w14:paraId="47A5D44F" w14:textId="77777777" w:rsidR="000F3DAD" w:rsidRPr="008C2C25" w:rsidRDefault="000F3DAD" w:rsidP="008736AC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</w:pPr>
            <w:r w:rsidRPr="008C2C25"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  <w:t>člověkoden</w:t>
            </w:r>
          </w:p>
        </w:tc>
        <w:tc>
          <w:tcPr>
            <w:tcW w:w="881" w:type="pct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  <w:shd w:val="clear" w:color="auto" w:fill="auto"/>
            <w:vAlign w:val="center"/>
          </w:tcPr>
          <w:p w14:paraId="3FCEC612" w14:textId="77777777" w:rsidR="000F3DAD" w:rsidRPr="008C2C25" w:rsidRDefault="000F3DAD" w:rsidP="008736AC">
            <w:pPr>
              <w:spacing w:after="0" w:line="240" w:lineRule="auto"/>
              <w:jc w:val="right"/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</w:pPr>
            <w:r w:rsidRPr="008C2C25"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  <w:t>17 000</w:t>
            </w:r>
          </w:p>
        </w:tc>
      </w:tr>
    </w:tbl>
    <w:p w14:paraId="3BBCF9A4" w14:textId="77777777" w:rsidR="000F3DAD" w:rsidRPr="008C2C25" w:rsidRDefault="000F3DAD" w:rsidP="000F3DAD"/>
    <w:p w14:paraId="5BC1E1D1" w14:textId="77777777" w:rsidR="000F3DAD" w:rsidRPr="008C2C25" w:rsidRDefault="000F3DAD" w:rsidP="000B4320"/>
    <w:sectPr w:rsidR="000F3DAD" w:rsidRPr="008C2C25" w:rsidSect="00DB4B6E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8193B7" w14:textId="77777777" w:rsidR="00AE63BE" w:rsidRDefault="00AE63BE" w:rsidP="00C032E0">
      <w:pPr>
        <w:spacing w:after="0" w:line="240" w:lineRule="auto"/>
      </w:pPr>
      <w:r>
        <w:separator/>
      </w:r>
    </w:p>
  </w:endnote>
  <w:endnote w:type="continuationSeparator" w:id="0">
    <w:p w14:paraId="5DBBBE7E" w14:textId="77777777" w:rsidR="00AE63BE" w:rsidRDefault="00AE63BE" w:rsidP="00C032E0">
      <w:pPr>
        <w:spacing w:after="0" w:line="240" w:lineRule="auto"/>
      </w:pPr>
      <w:r>
        <w:continuationSeparator/>
      </w:r>
    </w:p>
  </w:endnote>
  <w:endnote w:type="continuationNotice" w:id="1">
    <w:p w14:paraId="2088DC4E" w14:textId="77777777" w:rsidR="00AE63BE" w:rsidRDefault="00AE63B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1"/>
      <w:tblW w:w="94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64"/>
      <w:gridCol w:w="1133"/>
    </w:tblGrid>
    <w:tr w:rsidR="005A5669" w:rsidRPr="00F75943" w14:paraId="23DD024C" w14:textId="77777777" w:rsidTr="006458B5">
      <w:trPr>
        <w:trHeight w:val="173"/>
      </w:trPr>
      <w:tc>
        <w:tcPr>
          <w:tcW w:w="8364" w:type="dxa"/>
        </w:tcPr>
        <w:p w14:paraId="6A0C9E67" w14:textId="77777777" w:rsidR="005A5669" w:rsidRPr="00F75943" w:rsidRDefault="00996DF5" w:rsidP="00447051">
          <w:pPr>
            <w:pStyle w:val="Zpat"/>
          </w:pPr>
          <w:r w:rsidRPr="00F75943">
            <w:t xml:space="preserve">Dodatek </w:t>
          </w:r>
          <w:r w:rsidR="00BB2C02">
            <w:t xml:space="preserve">ke </w:t>
          </w:r>
          <w:r w:rsidRPr="00F75943">
            <w:t>smlouv</w:t>
          </w:r>
          <w:r w:rsidR="00BB2C02">
            <w:t>ě</w:t>
          </w:r>
        </w:p>
      </w:tc>
      <w:tc>
        <w:tcPr>
          <w:tcW w:w="1133" w:type="dxa"/>
        </w:tcPr>
        <w:p w14:paraId="0125D806" w14:textId="12010778" w:rsidR="005A5669" w:rsidRPr="00F75943" w:rsidRDefault="005A5669" w:rsidP="00447051">
          <w:pPr>
            <w:pStyle w:val="Zpat"/>
            <w:jc w:val="right"/>
          </w:pPr>
          <w:r w:rsidRPr="00F75943">
            <w:fldChar w:fldCharType="begin"/>
          </w:r>
          <w:r w:rsidRPr="00F75943">
            <w:instrText xml:space="preserve"> PAGE   \* MERGEFORMAT </w:instrText>
          </w:r>
          <w:r w:rsidRPr="00F75943">
            <w:fldChar w:fldCharType="separate"/>
          </w:r>
          <w:r w:rsidR="0092078A">
            <w:rPr>
              <w:noProof/>
            </w:rPr>
            <w:t>7</w:t>
          </w:r>
          <w:r w:rsidRPr="00F75943">
            <w:rPr>
              <w:noProof/>
            </w:rPr>
            <w:fldChar w:fldCharType="end"/>
          </w:r>
          <w:r w:rsidRPr="00F75943">
            <w:rPr>
              <w:noProof/>
            </w:rPr>
            <w:t>/</w:t>
          </w:r>
          <w:r w:rsidRPr="00F75943">
            <w:rPr>
              <w:noProof/>
            </w:rPr>
            <w:fldChar w:fldCharType="begin"/>
          </w:r>
          <w:r w:rsidRPr="00F75943">
            <w:rPr>
              <w:noProof/>
            </w:rPr>
            <w:instrText xml:space="preserve"> NUMPAGES   \* MERGEFORMAT </w:instrText>
          </w:r>
          <w:r w:rsidRPr="00F75943">
            <w:rPr>
              <w:noProof/>
            </w:rPr>
            <w:fldChar w:fldCharType="separate"/>
          </w:r>
          <w:r w:rsidR="0092078A">
            <w:rPr>
              <w:noProof/>
            </w:rPr>
            <w:t>7</w:t>
          </w:r>
          <w:r w:rsidRPr="00F75943">
            <w:rPr>
              <w:noProof/>
            </w:rPr>
            <w:fldChar w:fldCharType="end"/>
          </w:r>
        </w:p>
      </w:tc>
    </w:tr>
  </w:tbl>
  <w:p w14:paraId="70ADE637" w14:textId="77777777" w:rsidR="005A5669" w:rsidRDefault="005A566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4714B0" w14:textId="77777777" w:rsidR="00AE63BE" w:rsidRDefault="00AE63BE" w:rsidP="00C032E0">
      <w:pPr>
        <w:spacing w:after="0" w:line="240" w:lineRule="auto"/>
      </w:pPr>
      <w:r>
        <w:separator/>
      </w:r>
    </w:p>
  </w:footnote>
  <w:footnote w:type="continuationSeparator" w:id="0">
    <w:p w14:paraId="3A459191" w14:textId="77777777" w:rsidR="00AE63BE" w:rsidRDefault="00AE63BE" w:rsidP="00C032E0">
      <w:pPr>
        <w:spacing w:after="0" w:line="240" w:lineRule="auto"/>
      </w:pPr>
      <w:r>
        <w:continuationSeparator/>
      </w:r>
    </w:p>
  </w:footnote>
  <w:footnote w:type="continuationNotice" w:id="1">
    <w:p w14:paraId="60D07F1A" w14:textId="77777777" w:rsidR="00AE63BE" w:rsidRDefault="00AE63B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31FEA7" w14:textId="77777777" w:rsidR="005A5669" w:rsidRPr="00A60705" w:rsidRDefault="005A5669" w:rsidP="00447051">
    <w:pPr>
      <w:pStyle w:val="Zhlav"/>
    </w:pPr>
    <w:r w:rsidRPr="00D04955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283AD4F" wp14:editId="109C68A6">
          <wp:simplePos x="0" y="0"/>
          <wp:positionH relativeFrom="margin">
            <wp:align>left</wp:align>
          </wp:positionH>
          <wp:positionV relativeFrom="paragraph">
            <wp:posOffset>-43180</wp:posOffset>
          </wp:positionV>
          <wp:extent cx="802686" cy="184575"/>
          <wp:effectExtent l="0" t="0" r="0" b="6350"/>
          <wp:wrapNone/>
          <wp:docPr id="8" name="Grafický 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686" cy="184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ED681" w14:textId="77777777" w:rsidR="00274852" w:rsidRPr="00A60705" w:rsidRDefault="00274852" w:rsidP="0044705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62821B4"/>
    <w:lvl w:ilvl="0">
      <w:start w:val="1"/>
      <w:numFmt w:val="decimal"/>
      <w:pStyle w:val="Nadpis9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462A8A"/>
    <w:multiLevelType w:val="hybridMultilevel"/>
    <w:tmpl w:val="6E32EC4A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5B22981"/>
    <w:multiLevelType w:val="hybridMultilevel"/>
    <w:tmpl w:val="085E6562"/>
    <w:lvl w:ilvl="0" w:tplc="7076EEE6">
      <w:start w:val="1"/>
      <w:numFmt w:val="decimal"/>
      <w:lvlText w:val="Příloha č. 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E7EF9"/>
    <w:multiLevelType w:val="hybridMultilevel"/>
    <w:tmpl w:val="B7DC0DA0"/>
    <w:lvl w:ilvl="0" w:tplc="091CE7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20AE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3B639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30A3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B2C5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F414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207C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FE44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46B8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C93D1B"/>
    <w:multiLevelType w:val="multilevel"/>
    <w:tmpl w:val="9762EE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odstavec"/>
      <w:isLgl/>
      <w:lvlText w:val="%1.%2"/>
      <w:lvlJc w:val="left"/>
      <w:pPr>
        <w:ind w:left="454" w:hanging="454"/>
      </w:pPr>
      <w:rPr>
        <w:rFonts w:ascii="Calibri" w:hAnsi="Calibri"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094F3B9A"/>
    <w:multiLevelType w:val="multilevel"/>
    <w:tmpl w:val="B82618FC"/>
    <w:lvl w:ilvl="0">
      <w:start w:val="1"/>
      <w:numFmt w:val="decimal"/>
      <w:lvlText w:val="%1"/>
      <w:lvlJc w:val="left"/>
      <w:pPr>
        <w:ind w:left="680" w:hanging="680"/>
      </w:pPr>
      <w:rPr>
        <w:rFonts w:cs="Segoe UI"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cs="Segoe UI" w:hint="default"/>
      </w:rPr>
    </w:lvl>
    <w:lvl w:ilvl="2">
      <w:start w:val="1"/>
      <w:numFmt w:val="decimal"/>
      <w:lvlText w:val="%1.%2.%3"/>
      <w:lvlJc w:val="left"/>
      <w:pPr>
        <w:ind w:left="1304" w:hanging="624"/>
      </w:pPr>
      <w:rPr>
        <w:rFonts w:cs="Segoe U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egoe U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Segoe U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Segoe U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Segoe U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Segoe U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Segoe UI" w:hint="default"/>
      </w:rPr>
    </w:lvl>
  </w:abstractNum>
  <w:abstractNum w:abstractNumId="6" w15:restartNumberingAfterBreak="0">
    <w:nsid w:val="118E29C4"/>
    <w:multiLevelType w:val="hybridMultilevel"/>
    <w:tmpl w:val="55F06D74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81757B8"/>
    <w:multiLevelType w:val="multilevel"/>
    <w:tmpl w:val="2F285B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181A50D2"/>
    <w:multiLevelType w:val="hybridMultilevel"/>
    <w:tmpl w:val="425E9D6A"/>
    <w:lvl w:ilvl="0" w:tplc="604C98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93E0DC2"/>
    <w:multiLevelType w:val="hybridMultilevel"/>
    <w:tmpl w:val="55F06D74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ACA7D5F"/>
    <w:multiLevelType w:val="multilevel"/>
    <w:tmpl w:val="90A806A0"/>
    <w:lvl w:ilvl="0">
      <w:start w:val="1"/>
      <w:numFmt w:val="decimal"/>
      <w:lvlText w:val="%1"/>
      <w:lvlJc w:val="left"/>
      <w:pPr>
        <w:ind w:left="680" w:hanging="680"/>
      </w:pPr>
      <w:rPr>
        <w:rFonts w:cs="Segoe UI"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cs="Segoe UI" w:hint="default"/>
      </w:rPr>
    </w:lvl>
    <w:lvl w:ilvl="2">
      <w:start w:val="1"/>
      <w:numFmt w:val="decimal"/>
      <w:lvlText w:val="%1.%2.%3"/>
      <w:lvlJc w:val="left"/>
      <w:pPr>
        <w:ind w:left="1304" w:hanging="624"/>
      </w:pPr>
      <w:rPr>
        <w:rFonts w:cs="Segoe U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egoe U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Segoe U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Segoe U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Segoe U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Segoe U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Segoe UI" w:hint="default"/>
      </w:rPr>
    </w:lvl>
  </w:abstractNum>
  <w:abstractNum w:abstractNumId="11" w15:restartNumberingAfterBreak="0">
    <w:nsid w:val="1B0F542E"/>
    <w:multiLevelType w:val="hybridMultilevel"/>
    <w:tmpl w:val="131EDC24"/>
    <w:lvl w:ilvl="0" w:tplc="2A904BD2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994DB9"/>
    <w:multiLevelType w:val="hybridMultilevel"/>
    <w:tmpl w:val="EBC8F6D2"/>
    <w:lvl w:ilvl="0" w:tplc="E996AB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E8E057D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09CB0B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B3C10E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70E875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298CDD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2DA838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8DE780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8AC925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92B0341"/>
    <w:multiLevelType w:val="hybridMultilevel"/>
    <w:tmpl w:val="55F06D74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85D7DB4"/>
    <w:multiLevelType w:val="hybridMultilevel"/>
    <w:tmpl w:val="66BA56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DE63BE"/>
    <w:multiLevelType w:val="hybridMultilevel"/>
    <w:tmpl w:val="8AC66ED2"/>
    <w:lvl w:ilvl="0" w:tplc="0405000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AAE644D"/>
    <w:multiLevelType w:val="hybridMultilevel"/>
    <w:tmpl w:val="E59E5DA6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EFB566E"/>
    <w:multiLevelType w:val="hybridMultilevel"/>
    <w:tmpl w:val="E59E5DA6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5A8747D"/>
    <w:multiLevelType w:val="hybridMultilevel"/>
    <w:tmpl w:val="8AC66ED2"/>
    <w:lvl w:ilvl="0" w:tplc="0405000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88B42C3"/>
    <w:multiLevelType w:val="hybridMultilevel"/>
    <w:tmpl w:val="ECAAB732"/>
    <w:lvl w:ilvl="0" w:tplc="040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B1F188B"/>
    <w:multiLevelType w:val="multilevel"/>
    <w:tmpl w:val="67521A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52BF415F"/>
    <w:multiLevelType w:val="hybridMultilevel"/>
    <w:tmpl w:val="2A824706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33D1E1F"/>
    <w:multiLevelType w:val="hybridMultilevel"/>
    <w:tmpl w:val="B3625468"/>
    <w:lvl w:ilvl="0" w:tplc="E996AB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B">
      <w:start w:val="1"/>
      <w:numFmt w:val="lowerRoman"/>
      <w:lvlText w:val="%2."/>
      <w:lvlJc w:val="right"/>
      <w:pPr>
        <w:tabs>
          <w:tab w:val="num" w:pos="1080"/>
        </w:tabs>
        <w:ind w:left="1080" w:hanging="360"/>
      </w:pPr>
    </w:lvl>
    <w:lvl w:ilvl="2" w:tplc="709CB0B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B3C10E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70E875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298CDD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2DA838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8DE780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8AC925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B255FC1"/>
    <w:multiLevelType w:val="hybridMultilevel"/>
    <w:tmpl w:val="6C0C9C24"/>
    <w:lvl w:ilvl="0" w:tplc="040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D183365"/>
    <w:multiLevelType w:val="multilevel"/>
    <w:tmpl w:val="82FA2626"/>
    <w:lvl w:ilvl="0">
      <w:start w:val="1"/>
      <w:numFmt w:val="non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 w15:restartNumberingAfterBreak="0">
    <w:nsid w:val="5E9D7B05"/>
    <w:multiLevelType w:val="multilevel"/>
    <w:tmpl w:val="67521A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60A02054"/>
    <w:multiLevelType w:val="hybridMultilevel"/>
    <w:tmpl w:val="FD1A52B2"/>
    <w:lvl w:ilvl="0" w:tplc="74566BE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E73ECB0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86A843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E5411A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904A54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A300E7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C4C1A7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28471C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E7C9B5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54D7B18"/>
    <w:multiLevelType w:val="hybridMultilevel"/>
    <w:tmpl w:val="5630D86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55B1702"/>
    <w:multiLevelType w:val="hybridMultilevel"/>
    <w:tmpl w:val="C26649EE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Roman"/>
      <w:lvlText w:val="%2."/>
      <w:lvlJc w:val="righ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5BC3B31"/>
    <w:multiLevelType w:val="multilevel"/>
    <w:tmpl w:val="D8B8911E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0" w15:restartNumberingAfterBreak="0">
    <w:nsid w:val="6668659C"/>
    <w:multiLevelType w:val="hybridMultilevel"/>
    <w:tmpl w:val="D310A65E"/>
    <w:lvl w:ilvl="0" w:tplc="0405000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8C806BA"/>
    <w:multiLevelType w:val="hybridMultilevel"/>
    <w:tmpl w:val="55F06D74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D1B6653"/>
    <w:multiLevelType w:val="hybridMultilevel"/>
    <w:tmpl w:val="412802F8"/>
    <w:lvl w:ilvl="0" w:tplc="04050001">
      <w:numFmt w:val="bullet"/>
      <w:lvlText w:val="-"/>
      <w:lvlJc w:val="left"/>
      <w:pPr>
        <w:ind w:left="51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3" w15:restartNumberingAfterBreak="0">
    <w:nsid w:val="7B070564"/>
    <w:multiLevelType w:val="multilevel"/>
    <w:tmpl w:val="1E26D7C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Calibri" w:hAnsi="Calibri"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ascii="Times New Roman" w:hAnsi="Times New Roman" w:cs="Times New Roman" w:hint="default"/>
      </w:rPr>
    </w:lvl>
  </w:abstractNum>
  <w:abstractNum w:abstractNumId="34" w15:restartNumberingAfterBreak="0">
    <w:nsid w:val="7F0F3401"/>
    <w:multiLevelType w:val="hybridMultilevel"/>
    <w:tmpl w:val="D310A65E"/>
    <w:lvl w:ilvl="0" w:tplc="0405000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7"/>
  </w:num>
  <w:num w:numId="3">
    <w:abstractNumId w:val="28"/>
  </w:num>
  <w:num w:numId="4">
    <w:abstractNumId w:val="21"/>
  </w:num>
  <w:num w:numId="5">
    <w:abstractNumId w:val="12"/>
  </w:num>
  <w:num w:numId="6">
    <w:abstractNumId w:val="15"/>
  </w:num>
  <w:num w:numId="7">
    <w:abstractNumId w:val="26"/>
  </w:num>
  <w:num w:numId="8">
    <w:abstractNumId w:val="30"/>
  </w:num>
  <w:num w:numId="9">
    <w:abstractNumId w:val="17"/>
  </w:num>
  <w:num w:numId="10">
    <w:abstractNumId w:val="9"/>
  </w:num>
  <w:num w:numId="11">
    <w:abstractNumId w:val="6"/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</w:num>
  <w:num w:numId="14">
    <w:abstractNumId w:val="33"/>
  </w:num>
  <w:num w:numId="15">
    <w:abstractNumId w:val="3"/>
  </w:num>
  <w:num w:numId="16">
    <w:abstractNumId w:val="22"/>
  </w:num>
  <w:num w:numId="17">
    <w:abstractNumId w:val="18"/>
  </w:num>
  <w:num w:numId="18">
    <w:abstractNumId w:val="34"/>
  </w:num>
  <w:num w:numId="19">
    <w:abstractNumId w:val="16"/>
  </w:num>
  <w:num w:numId="20">
    <w:abstractNumId w:val="31"/>
  </w:num>
  <w:num w:numId="21">
    <w:abstractNumId w:val="13"/>
  </w:num>
  <w:num w:numId="22">
    <w:abstractNumId w:val="0"/>
  </w:num>
  <w:num w:numId="23">
    <w:abstractNumId w:val="8"/>
  </w:num>
  <w:num w:numId="24">
    <w:abstractNumId w:val="4"/>
  </w:num>
  <w:num w:numId="25">
    <w:abstractNumId w:val="20"/>
  </w:num>
  <w:num w:numId="26">
    <w:abstractNumId w:val="23"/>
  </w:num>
  <w:num w:numId="27">
    <w:abstractNumId w:val="19"/>
  </w:num>
  <w:num w:numId="28">
    <w:abstractNumId w:val="25"/>
  </w:num>
  <w:num w:numId="29">
    <w:abstractNumId w:val="11"/>
  </w:num>
  <w:num w:numId="30">
    <w:abstractNumId w:val="29"/>
  </w:num>
  <w:num w:numId="31">
    <w:abstractNumId w:val="29"/>
  </w:num>
  <w:num w:numId="32">
    <w:abstractNumId w:val="29"/>
  </w:num>
  <w:num w:numId="33">
    <w:abstractNumId w:val="29"/>
  </w:num>
  <w:num w:numId="34">
    <w:abstractNumId w:val="29"/>
  </w:num>
  <w:num w:numId="35">
    <w:abstractNumId w:val="5"/>
  </w:num>
  <w:num w:numId="36">
    <w:abstractNumId w:val="7"/>
    <w:lvlOverride w:ilvl="0">
      <w:lvl w:ilvl="0">
        <w:start w:val="1"/>
        <w:numFmt w:val="decimal"/>
        <w:lvlText w:val="%1"/>
        <w:lvlJc w:val="left"/>
        <w:pPr>
          <w:ind w:left="680" w:hanging="680"/>
        </w:pPr>
        <w:rPr>
          <w:rFonts w:cs="Segoe UI"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680" w:hanging="680"/>
        </w:pPr>
        <w:rPr>
          <w:rFonts w:cs="Segoe UI"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304" w:hanging="624"/>
        </w:pPr>
        <w:rPr>
          <w:rFonts w:cs="Segoe UI"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720" w:hanging="720"/>
        </w:pPr>
        <w:rPr>
          <w:rFonts w:cs="Segoe UI"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80" w:hanging="1080"/>
        </w:pPr>
        <w:rPr>
          <w:rFonts w:cs="Segoe UI"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080" w:hanging="1080"/>
        </w:pPr>
        <w:rPr>
          <w:rFonts w:cs="Segoe UI"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440" w:hanging="1440"/>
        </w:pPr>
        <w:rPr>
          <w:rFonts w:cs="Segoe UI"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cs="Segoe UI"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440" w:hanging="1440"/>
        </w:pPr>
        <w:rPr>
          <w:rFonts w:cs="Segoe UI" w:hint="default"/>
        </w:rPr>
      </w:lvl>
    </w:lvlOverride>
  </w:num>
  <w:num w:numId="37">
    <w:abstractNumId w:val="10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</w:num>
  <w:num w:numId="4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B93"/>
    <w:rsid w:val="000113AC"/>
    <w:rsid w:val="00011BED"/>
    <w:rsid w:val="000324C5"/>
    <w:rsid w:val="00072485"/>
    <w:rsid w:val="00072A9A"/>
    <w:rsid w:val="00081248"/>
    <w:rsid w:val="00082B8F"/>
    <w:rsid w:val="000902DF"/>
    <w:rsid w:val="000A3B3C"/>
    <w:rsid w:val="000B37CE"/>
    <w:rsid w:val="000B4320"/>
    <w:rsid w:val="000B69A1"/>
    <w:rsid w:val="000C3B7C"/>
    <w:rsid w:val="000C5C0D"/>
    <w:rsid w:val="000F04FA"/>
    <w:rsid w:val="000F3DAD"/>
    <w:rsid w:val="0011426A"/>
    <w:rsid w:val="00123A26"/>
    <w:rsid w:val="00124DA9"/>
    <w:rsid w:val="0013408C"/>
    <w:rsid w:val="00140164"/>
    <w:rsid w:val="00141D13"/>
    <w:rsid w:val="0017512E"/>
    <w:rsid w:val="00190D70"/>
    <w:rsid w:val="001A3258"/>
    <w:rsid w:val="001B6401"/>
    <w:rsid w:val="001C5D87"/>
    <w:rsid w:val="001C6C47"/>
    <w:rsid w:val="00211B87"/>
    <w:rsid w:val="0025619B"/>
    <w:rsid w:val="00257ABD"/>
    <w:rsid w:val="00274852"/>
    <w:rsid w:val="0027655A"/>
    <w:rsid w:val="00295801"/>
    <w:rsid w:val="002F4569"/>
    <w:rsid w:val="00330477"/>
    <w:rsid w:val="003642A2"/>
    <w:rsid w:val="00365E1C"/>
    <w:rsid w:val="003662E8"/>
    <w:rsid w:val="00374D58"/>
    <w:rsid w:val="00391A78"/>
    <w:rsid w:val="003B015A"/>
    <w:rsid w:val="003B17CF"/>
    <w:rsid w:val="003B45F2"/>
    <w:rsid w:val="003C040D"/>
    <w:rsid w:val="003C4A6F"/>
    <w:rsid w:val="003C4A9F"/>
    <w:rsid w:val="0040027F"/>
    <w:rsid w:val="004274C1"/>
    <w:rsid w:val="00436291"/>
    <w:rsid w:val="00456205"/>
    <w:rsid w:val="00461DD3"/>
    <w:rsid w:val="0047183D"/>
    <w:rsid w:val="0047329F"/>
    <w:rsid w:val="00486860"/>
    <w:rsid w:val="004A5246"/>
    <w:rsid w:val="004A6689"/>
    <w:rsid w:val="004B4A2C"/>
    <w:rsid w:val="004F2836"/>
    <w:rsid w:val="00500B69"/>
    <w:rsid w:val="00511A2E"/>
    <w:rsid w:val="0053590F"/>
    <w:rsid w:val="00537E97"/>
    <w:rsid w:val="00566B01"/>
    <w:rsid w:val="0057353A"/>
    <w:rsid w:val="005A4609"/>
    <w:rsid w:val="005A5669"/>
    <w:rsid w:val="005D05F4"/>
    <w:rsid w:val="005D15D8"/>
    <w:rsid w:val="005D4B93"/>
    <w:rsid w:val="005D7005"/>
    <w:rsid w:val="0061420F"/>
    <w:rsid w:val="00622AEE"/>
    <w:rsid w:val="00630CA5"/>
    <w:rsid w:val="006316FA"/>
    <w:rsid w:val="006360CD"/>
    <w:rsid w:val="006434D0"/>
    <w:rsid w:val="006436EF"/>
    <w:rsid w:val="00682C18"/>
    <w:rsid w:val="0069082D"/>
    <w:rsid w:val="00694C79"/>
    <w:rsid w:val="006C5B72"/>
    <w:rsid w:val="006F28EE"/>
    <w:rsid w:val="0072509F"/>
    <w:rsid w:val="00726993"/>
    <w:rsid w:val="00744C32"/>
    <w:rsid w:val="00757ADD"/>
    <w:rsid w:val="00770263"/>
    <w:rsid w:val="007765E6"/>
    <w:rsid w:val="0079155C"/>
    <w:rsid w:val="00794A8F"/>
    <w:rsid w:val="007A0FE5"/>
    <w:rsid w:val="007A48FC"/>
    <w:rsid w:val="007B6C6C"/>
    <w:rsid w:val="007C5AD0"/>
    <w:rsid w:val="007F25E0"/>
    <w:rsid w:val="0080086A"/>
    <w:rsid w:val="0082128C"/>
    <w:rsid w:val="008216AD"/>
    <w:rsid w:val="0082524C"/>
    <w:rsid w:val="0082733F"/>
    <w:rsid w:val="0085315E"/>
    <w:rsid w:val="00853236"/>
    <w:rsid w:val="008627E6"/>
    <w:rsid w:val="008A54AB"/>
    <w:rsid w:val="008C2C25"/>
    <w:rsid w:val="008C503C"/>
    <w:rsid w:val="008D0B3E"/>
    <w:rsid w:val="00914C63"/>
    <w:rsid w:val="00915279"/>
    <w:rsid w:val="0092078A"/>
    <w:rsid w:val="00921A16"/>
    <w:rsid w:val="00937090"/>
    <w:rsid w:val="0095050C"/>
    <w:rsid w:val="0095534C"/>
    <w:rsid w:val="00970D4F"/>
    <w:rsid w:val="0098565C"/>
    <w:rsid w:val="00986C1F"/>
    <w:rsid w:val="00996DF5"/>
    <w:rsid w:val="009B02BF"/>
    <w:rsid w:val="009F6487"/>
    <w:rsid w:val="00A01763"/>
    <w:rsid w:val="00A0278C"/>
    <w:rsid w:val="00A27B20"/>
    <w:rsid w:val="00A3065E"/>
    <w:rsid w:val="00A36AB5"/>
    <w:rsid w:val="00A506B0"/>
    <w:rsid w:val="00A64347"/>
    <w:rsid w:val="00A71759"/>
    <w:rsid w:val="00A717CA"/>
    <w:rsid w:val="00A75BBA"/>
    <w:rsid w:val="00AA7C7E"/>
    <w:rsid w:val="00AC1968"/>
    <w:rsid w:val="00AE0996"/>
    <w:rsid w:val="00AE63BE"/>
    <w:rsid w:val="00B118E2"/>
    <w:rsid w:val="00B141DC"/>
    <w:rsid w:val="00B36758"/>
    <w:rsid w:val="00B461B8"/>
    <w:rsid w:val="00B47D43"/>
    <w:rsid w:val="00B549AF"/>
    <w:rsid w:val="00B610C9"/>
    <w:rsid w:val="00B77463"/>
    <w:rsid w:val="00B92BEB"/>
    <w:rsid w:val="00BA17DB"/>
    <w:rsid w:val="00BB2C02"/>
    <w:rsid w:val="00BE500F"/>
    <w:rsid w:val="00C032E0"/>
    <w:rsid w:val="00C20F10"/>
    <w:rsid w:val="00C21A09"/>
    <w:rsid w:val="00C2486A"/>
    <w:rsid w:val="00C460A2"/>
    <w:rsid w:val="00C571CD"/>
    <w:rsid w:val="00C92D04"/>
    <w:rsid w:val="00CB72FD"/>
    <w:rsid w:val="00CF00A1"/>
    <w:rsid w:val="00D23460"/>
    <w:rsid w:val="00D300E8"/>
    <w:rsid w:val="00D45903"/>
    <w:rsid w:val="00D45EE5"/>
    <w:rsid w:val="00D508DC"/>
    <w:rsid w:val="00D53105"/>
    <w:rsid w:val="00D625E6"/>
    <w:rsid w:val="00D770E8"/>
    <w:rsid w:val="00D820FE"/>
    <w:rsid w:val="00D82718"/>
    <w:rsid w:val="00D82A89"/>
    <w:rsid w:val="00DB4B6E"/>
    <w:rsid w:val="00DB5F4E"/>
    <w:rsid w:val="00E1056A"/>
    <w:rsid w:val="00E5303C"/>
    <w:rsid w:val="00E64AB1"/>
    <w:rsid w:val="00E65A06"/>
    <w:rsid w:val="00E843C8"/>
    <w:rsid w:val="00EB36EF"/>
    <w:rsid w:val="00EE79C4"/>
    <w:rsid w:val="00F1732F"/>
    <w:rsid w:val="00F45EB5"/>
    <w:rsid w:val="00F50B0B"/>
    <w:rsid w:val="00F678B8"/>
    <w:rsid w:val="00F75943"/>
    <w:rsid w:val="00F76907"/>
    <w:rsid w:val="00F772BC"/>
    <w:rsid w:val="00F966DD"/>
    <w:rsid w:val="00F96A53"/>
    <w:rsid w:val="00FC3D76"/>
    <w:rsid w:val="00FD05D1"/>
    <w:rsid w:val="00FE2537"/>
    <w:rsid w:val="00FF2C1B"/>
    <w:rsid w:val="3B1E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DED3B"/>
  <w15:docId w15:val="{5F0E0643-FD3B-4759-A9C9-D930CA827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82718"/>
    <w:rPr>
      <w:spacing w:val="6"/>
    </w:rPr>
  </w:style>
  <w:style w:type="paragraph" w:styleId="Nadpis1">
    <w:name w:val="heading 1"/>
    <w:basedOn w:val="Normln"/>
    <w:next w:val="Normln"/>
    <w:link w:val="Nadpis1Char"/>
    <w:uiPriority w:val="9"/>
    <w:qFormat/>
    <w:rsid w:val="00D82718"/>
    <w:pPr>
      <w:keepNext/>
      <w:keepLines/>
      <w:numPr>
        <w:numId w:val="34"/>
      </w:numP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44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82718"/>
    <w:pPr>
      <w:keepNext/>
      <w:keepLines/>
      <w:numPr>
        <w:ilvl w:val="1"/>
        <w:numId w:val="34"/>
      </w:numPr>
      <w:spacing w:before="240" w:after="12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82718"/>
    <w:pPr>
      <w:keepNext/>
      <w:keepLines/>
      <w:numPr>
        <w:ilvl w:val="2"/>
        <w:numId w:val="34"/>
      </w:numPr>
      <w:spacing w:before="240" w:after="60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82718"/>
    <w:pPr>
      <w:keepNext/>
      <w:keepLines/>
      <w:numPr>
        <w:ilvl w:val="3"/>
        <w:numId w:val="34"/>
      </w:numPr>
      <w:spacing w:before="240" w:after="60"/>
      <w:outlineLvl w:val="3"/>
    </w:pPr>
    <w:rPr>
      <w:rFonts w:asciiTheme="majorHAnsi" w:eastAsiaTheme="majorEastAsia" w:hAnsiTheme="majorHAnsi" w:cstheme="majorBidi"/>
      <w:iCs/>
      <w:color w:val="2F5496" w:themeColor="accent1" w:themeShade="BF"/>
      <w:sz w:val="24"/>
    </w:rPr>
  </w:style>
  <w:style w:type="paragraph" w:styleId="Nadpis5">
    <w:name w:val="heading 5"/>
    <w:basedOn w:val="Normln"/>
    <w:next w:val="Normln"/>
    <w:link w:val="Nadpis5Char"/>
    <w:unhideWhenUsed/>
    <w:rsid w:val="00A0278C"/>
    <w:pPr>
      <w:keepNext/>
      <w:keepLines/>
      <w:numPr>
        <w:ilvl w:val="4"/>
        <w:numId w:val="34"/>
      </w:numPr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6">
    <w:name w:val="heading 6"/>
    <w:basedOn w:val="Normln"/>
    <w:next w:val="Normln"/>
    <w:link w:val="Nadpis6Char"/>
    <w:unhideWhenUsed/>
    <w:rsid w:val="00123A26"/>
    <w:pPr>
      <w:keepNext/>
      <w:keepLines/>
      <w:spacing w:before="200" w:after="0"/>
      <w:ind w:left="1152" w:hanging="1152"/>
      <w:outlineLvl w:val="5"/>
    </w:pPr>
    <w:rPr>
      <w:rFonts w:eastAsiaTheme="majorEastAsia" w:cstheme="majorBidi"/>
      <w:b/>
      <w:iCs/>
    </w:rPr>
  </w:style>
  <w:style w:type="paragraph" w:styleId="Nadpis7">
    <w:name w:val="heading 7"/>
    <w:basedOn w:val="Normln"/>
    <w:next w:val="Normln"/>
    <w:link w:val="Nadpis7Char"/>
    <w:semiHidden/>
    <w:unhideWhenUsed/>
    <w:rsid w:val="00123A26"/>
    <w:pPr>
      <w:keepNext/>
      <w:keepLines/>
      <w:spacing w:before="200" w:after="0"/>
      <w:ind w:left="1296" w:hanging="1296"/>
      <w:outlineLvl w:val="6"/>
    </w:pPr>
    <w:rPr>
      <w:rFonts w:eastAsiaTheme="majorEastAsia" w:cstheme="majorBidi"/>
      <w:b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semiHidden/>
    <w:unhideWhenUsed/>
    <w:rsid w:val="000F3DAD"/>
    <w:pPr>
      <w:keepNext/>
      <w:keepLines/>
      <w:spacing w:before="40" w:after="0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82718"/>
    <w:pPr>
      <w:keepNext/>
      <w:keepLines/>
      <w:numPr>
        <w:ilvl w:val="8"/>
        <w:numId w:val="22"/>
      </w:numPr>
      <w:tabs>
        <w:tab w:val="clear" w:pos="360"/>
      </w:tabs>
      <w:spacing w:before="4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82718"/>
    <w:rPr>
      <w:rFonts w:asciiTheme="majorHAnsi" w:eastAsiaTheme="majorEastAsia" w:hAnsiTheme="majorHAnsi" w:cstheme="majorBidi"/>
      <w:color w:val="2F5496" w:themeColor="accent1" w:themeShade="BF"/>
      <w:spacing w:val="6"/>
      <w:sz w:val="4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D82718"/>
    <w:rPr>
      <w:rFonts w:asciiTheme="majorHAnsi" w:eastAsiaTheme="majorEastAsia" w:hAnsiTheme="majorHAnsi" w:cstheme="majorBidi"/>
      <w:color w:val="2F5496" w:themeColor="accent1" w:themeShade="BF"/>
      <w:spacing w:val="6"/>
      <w:sz w:val="36"/>
      <w:szCs w:val="26"/>
    </w:rPr>
  </w:style>
  <w:style w:type="paragraph" w:styleId="Bezmezer">
    <w:name w:val="No Spacing"/>
    <w:basedOn w:val="Normln"/>
    <w:link w:val="BezmezerChar"/>
    <w:uiPriority w:val="1"/>
    <w:qFormat/>
    <w:rsid w:val="00D82718"/>
    <w:pPr>
      <w:spacing w:after="0"/>
    </w:pPr>
  </w:style>
  <w:style w:type="character" w:customStyle="1" w:styleId="BezmezerChar">
    <w:name w:val="Bez mezer Char"/>
    <w:basedOn w:val="Standardnpsmoodstavce"/>
    <w:link w:val="Bezmezer"/>
    <w:uiPriority w:val="1"/>
    <w:rsid w:val="000324C5"/>
    <w:rPr>
      <w:spacing w:val="6"/>
    </w:rPr>
  </w:style>
  <w:style w:type="paragraph" w:styleId="Odstavecseseznamem">
    <w:name w:val="List Paragraph"/>
    <w:basedOn w:val="Normln"/>
    <w:link w:val="OdstavecseseznamemChar"/>
    <w:uiPriority w:val="34"/>
    <w:qFormat/>
    <w:rsid w:val="00D82718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5D4B93"/>
    <w:rPr>
      <w:spacing w:val="6"/>
    </w:rPr>
  </w:style>
  <w:style w:type="paragraph" w:styleId="Nzev">
    <w:name w:val="Title"/>
    <w:basedOn w:val="Normln"/>
    <w:next w:val="Normln"/>
    <w:link w:val="NzevChar"/>
    <w:uiPriority w:val="10"/>
    <w:qFormat/>
    <w:rsid w:val="00D82718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82718"/>
    <w:rPr>
      <w:rFonts w:asciiTheme="majorHAnsi" w:eastAsiaTheme="majorEastAsia" w:hAnsiTheme="majorHAnsi" w:cstheme="majorBidi"/>
      <w:kern w:val="28"/>
      <w:sz w:val="56"/>
      <w:szCs w:val="56"/>
    </w:rPr>
  </w:style>
  <w:style w:type="character" w:styleId="Hypertextovodkaz">
    <w:name w:val="Hyperlink"/>
    <w:basedOn w:val="Standardnpsmoodstavce"/>
    <w:uiPriority w:val="99"/>
    <w:unhideWhenUsed/>
    <w:rsid w:val="00AC1968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77026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70263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70263"/>
    <w:rPr>
      <w:rFonts w:ascii="Segoe UI" w:hAnsi="Segoe U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7026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70263"/>
    <w:rPr>
      <w:rFonts w:ascii="Segoe UI" w:hAnsi="Segoe U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0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0263"/>
    <w:rPr>
      <w:rFonts w:ascii="Tahoma" w:hAnsi="Tahoma" w:cs="Tahoma"/>
      <w:sz w:val="16"/>
      <w:szCs w:val="16"/>
    </w:rPr>
  </w:style>
  <w:style w:type="table" w:styleId="Svtlseznamzvraznn2">
    <w:name w:val="Light List Accent 2"/>
    <w:basedOn w:val="Normlntabulka"/>
    <w:uiPriority w:val="61"/>
    <w:rsid w:val="00456205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paragraph" w:styleId="Zhlav">
    <w:name w:val="header"/>
    <w:basedOn w:val="Normln"/>
    <w:link w:val="ZhlavChar"/>
    <w:uiPriority w:val="99"/>
    <w:unhideWhenUsed/>
    <w:rsid w:val="00C03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32E0"/>
    <w:rPr>
      <w:rFonts w:ascii="Segoe UI" w:hAnsi="Segoe UI"/>
      <w:sz w:val="20"/>
    </w:rPr>
  </w:style>
  <w:style w:type="paragraph" w:styleId="Zpat">
    <w:name w:val="footer"/>
    <w:basedOn w:val="Normln"/>
    <w:link w:val="ZpatChar"/>
    <w:uiPriority w:val="99"/>
    <w:unhideWhenUsed/>
    <w:rsid w:val="00C03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32E0"/>
    <w:rPr>
      <w:rFonts w:ascii="Segoe UI" w:hAnsi="Segoe UI"/>
      <w:sz w:val="20"/>
    </w:rPr>
  </w:style>
  <w:style w:type="table" w:styleId="Mkatabulky">
    <w:name w:val="Table Grid"/>
    <w:basedOn w:val="Normlntabulka"/>
    <w:uiPriority w:val="59"/>
    <w:rsid w:val="00C032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2odstavec">
    <w:name w:val="2odstavec"/>
    <w:basedOn w:val="Odstavecseseznamem"/>
    <w:link w:val="2odstavecChar"/>
    <w:uiPriority w:val="99"/>
    <w:rsid w:val="00A3065E"/>
    <w:pPr>
      <w:numPr>
        <w:ilvl w:val="1"/>
        <w:numId w:val="24"/>
      </w:numPr>
      <w:spacing w:after="240"/>
      <w:contextualSpacing w:val="0"/>
    </w:pPr>
  </w:style>
  <w:style w:type="character" w:customStyle="1" w:styleId="2odstavecChar">
    <w:name w:val="2odstavec Char"/>
    <w:basedOn w:val="OdstavecseseznamemChar"/>
    <w:link w:val="2odstavec"/>
    <w:rsid w:val="00A3065E"/>
    <w:rPr>
      <w:rFonts w:ascii="Segoe UI" w:hAnsi="Segoe UI"/>
      <w:spacing w:val="6"/>
      <w:sz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0278C"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character" w:styleId="Zdraznn">
    <w:name w:val="Emphasis"/>
    <w:basedOn w:val="Standardnpsmoodstavce"/>
    <w:uiPriority w:val="20"/>
    <w:qFormat/>
    <w:rsid w:val="00D82718"/>
    <w:rPr>
      <w:i/>
      <w:iCs/>
    </w:rPr>
  </w:style>
  <w:style w:type="character" w:customStyle="1" w:styleId="LNEK">
    <w:name w:val="ČLÁNEK"/>
    <w:basedOn w:val="Standardnpsmoodstavce"/>
    <w:locked/>
    <w:rsid w:val="00A0278C"/>
    <w:rPr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190D70"/>
    <w:rPr>
      <w:color w:val="954F72" w:themeColor="followed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D82718"/>
    <w:rPr>
      <w:rFonts w:asciiTheme="majorHAnsi" w:eastAsiaTheme="majorEastAsia" w:hAnsiTheme="majorHAnsi" w:cstheme="majorBidi"/>
      <w:color w:val="2F5496" w:themeColor="accent1" w:themeShade="BF"/>
      <w:spacing w:val="6"/>
      <w:sz w:val="28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82718"/>
    <w:rPr>
      <w:rFonts w:asciiTheme="majorHAnsi" w:eastAsiaTheme="majorEastAsia" w:hAnsiTheme="majorHAnsi" w:cstheme="majorBidi"/>
      <w:iCs/>
      <w:color w:val="2F5496" w:themeColor="accent1" w:themeShade="BF"/>
      <w:spacing w:val="6"/>
      <w:sz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82718"/>
    <w:rPr>
      <w:rFonts w:asciiTheme="majorHAnsi" w:eastAsiaTheme="majorEastAsia" w:hAnsiTheme="majorHAnsi" w:cstheme="majorBidi"/>
      <w:i/>
      <w:iCs/>
      <w:color w:val="272727" w:themeColor="text1" w:themeTint="D8"/>
      <w:spacing w:val="6"/>
      <w:sz w:val="21"/>
      <w:szCs w:val="21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D82718"/>
    <w:pPr>
      <w:spacing w:before="80" w:after="200" w:line="240" w:lineRule="auto"/>
    </w:pPr>
    <w:rPr>
      <w:iCs/>
      <w:color w:val="44546A" w:themeColor="text2"/>
      <w:sz w:val="18"/>
      <w:szCs w:val="18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D82718"/>
    <w:pPr>
      <w:numPr>
        <w:ilvl w:val="1"/>
      </w:numPr>
      <w:spacing w:after="120"/>
    </w:pPr>
    <w:rPr>
      <w:rFonts w:eastAsiaTheme="minorEastAsia"/>
      <w:color w:val="4472C4" w:themeColor="accent1"/>
    </w:rPr>
  </w:style>
  <w:style w:type="character" w:customStyle="1" w:styleId="PodnadpisChar">
    <w:name w:val="Podnadpis Char"/>
    <w:basedOn w:val="Standardnpsmoodstavce"/>
    <w:link w:val="Podnadpis"/>
    <w:uiPriority w:val="11"/>
    <w:rsid w:val="00D82718"/>
    <w:rPr>
      <w:rFonts w:eastAsiaTheme="minorEastAsia"/>
      <w:color w:val="4472C4" w:themeColor="accent1"/>
      <w:spacing w:val="6"/>
    </w:rPr>
  </w:style>
  <w:style w:type="character" w:styleId="Siln">
    <w:name w:val="Strong"/>
    <w:basedOn w:val="Standardnpsmoodstavce"/>
    <w:uiPriority w:val="22"/>
    <w:qFormat/>
    <w:rsid w:val="00D82718"/>
    <w:rPr>
      <w:rFonts w:ascii="Segoe UI Semibold" w:hAnsi="Segoe UI Semibold"/>
      <w:b w:val="0"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D82718"/>
    <w:pPr>
      <w:spacing w:before="240" w:after="240"/>
      <w:ind w:left="320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D82718"/>
    <w:rPr>
      <w:i/>
      <w:iCs/>
      <w:color w:val="404040" w:themeColor="text1" w:themeTint="BF"/>
      <w:spacing w:val="6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D82718"/>
    <w:pPr>
      <w:pBdr>
        <w:top w:val="single" w:sz="4" w:space="14" w:color="4472C4" w:themeColor="accent1"/>
        <w:left w:val="single" w:sz="4" w:space="16" w:color="4472C4" w:themeColor="accent1"/>
        <w:bottom w:val="single" w:sz="4" w:space="16" w:color="4472C4" w:themeColor="accent1"/>
        <w:right w:val="single" w:sz="4" w:space="16" w:color="4472C4" w:themeColor="accent1"/>
      </w:pBdr>
      <w:spacing w:before="240" w:after="240"/>
      <w:ind w:left="320" w:right="320"/>
    </w:pPr>
    <w:rPr>
      <w:i/>
      <w:iCs/>
      <w:color w:val="4472C4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D82718"/>
    <w:rPr>
      <w:i/>
      <w:iCs/>
      <w:color w:val="4472C4" w:themeColor="accent1"/>
      <w:spacing w:val="6"/>
    </w:rPr>
  </w:style>
  <w:style w:type="character" w:styleId="Zdraznnjemn">
    <w:name w:val="Subtle Emphasis"/>
    <w:basedOn w:val="Standardnpsmoodstavce"/>
    <w:uiPriority w:val="19"/>
    <w:qFormat/>
    <w:rsid w:val="00D82718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D82718"/>
    <w:rPr>
      <w:i/>
      <w:iCs/>
      <w:color w:val="4472C4" w:themeColor="accent1"/>
    </w:rPr>
  </w:style>
  <w:style w:type="character" w:styleId="Odkazjemn">
    <w:name w:val="Subtle Reference"/>
    <w:basedOn w:val="Standardnpsmoodstavce"/>
    <w:uiPriority w:val="31"/>
    <w:qFormat/>
    <w:rsid w:val="00D82718"/>
    <w:rPr>
      <w:i/>
      <w:caps w:val="0"/>
      <w:smallCaps w:val="0"/>
      <w:color w:val="5A5A5A" w:themeColor="text1" w:themeTint="A5"/>
    </w:rPr>
  </w:style>
  <w:style w:type="character" w:styleId="Odkazintenzivn">
    <w:name w:val="Intense Reference"/>
    <w:basedOn w:val="Standardnpsmoodstavce"/>
    <w:uiPriority w:val="32"/>
    <w:qFormat/>
    <w:rsid w:val="00D82718"/>
    <w:rPr>
      <w:rFonts w:ascii="Segoe UI Semibold" w:hAnsi="Segoe UI Semibold"/>
      <w:b w:val="0"/>
      <w:bCs/>
      <w:caps w:val="0"/>
      <w:smallCaps w:val="0"/>
      <w:color w:val="4472C4" w:themeColor="accent1"/>
      <w:spacing w:val="5"/>
    </w:rPr>
  </w:style>
  <w:style w:type="character" w:styleId="Nzevknihy">
    <w:name w:val="Book Title"/>
    <w:basedOn w:val="Standardnpsmoodstavce"/>
    <w:uiPriority w:val="33"/>
    <w:qFormat/>
    <w:rsid w:val="00D82718"/>
    <w:rPr>
      <w:rFonts w:ascii="Segoe UI Semibold" w:hAnsi="Segoe UI Semibold"/>
      <w:b w:val="0"/>
      <w:bCs/>
      <w:i/>
      <w:iC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82718"/>
    <w:pPr>
      <w:numPr>
        <w:numId w:val="0"/>
      </w:numPr>
      <w:spacing w:before="240" w:after="0" w:line="259" w:lineRule="auto"/>
      <w:outlineLvl w:val="9"/>
    </w:pPr>
    <w:rPr>
      <w:spacing w:val="0"/>
      <w:lang w:eastAsia="cs-CZ"/>
    </w:rPr>
  </w:style>
  <w:style w:type="paragraph" w:customStyle="1" w:styleId="AKFZFnormln">
    <w:name w:val="AKFZF_normální"/>
    <w:link w:val="AKFZFnormlnChar"/>
    <w:rsid w:val="009B02BF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9B02BF"/>
    <w:rPr>
      <w:rFonts w:ascii="Arial" w:eastAsia="Calibri" w:hAnsi="Arial" w:cs="Calibri"/>
    </w:rPr>
  </w:style>
  <w:style w:type="table" w:customStyle="1" w:styleId="Mkatabulky1">
    <w:name w:val="Mřížka tabulky1"/>
    <w:basedOn w:val="Normlntabulka"/>
    <w:next w:val="Mkatabulky"/>
    <w:uiPriority w:val="59"/>
    <w:rsid w:val="005A5669"/>
    <w:rPr>
      <w:sz w:val="20"/>
      <w:szCs w:val="20"/>
      <w:lang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KFZFpodpis">
    <w:name w:val="AKFZF_podpis"/>
    <w:basedOn w:val="AKFZFnormln"/>
    <w:link w:val="AKFZFpodpisChar"/>
    <w:rsid w:val="000B4320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0B4320"/>
    <w:rPr>
      <w:rFonts w:ascii="Arial" w:eastAsia="Calibri" w:hAnsi="Arial" w:cs="Calibri"/>
    </w:rPr>
  </w:style>
  <w:style w:type="character" w:customStyle="1" w:styleId="Nadpis6Char">
    <w:name w:val="Nadpis 6 Char"/>
    <w:basedOn w:val="Standardnpsmoodstavce"/>
    <w:link w:val="Nadpis6"/>
    <w:uiPriority w:val="9"/>
    <w:rsid w:val="00123A26"/>
    <w:rPr>
      <w:rFonts w:eastAsiaTheme="majorEastAsia" w:cstheme="majorBidi"/>
      <w:b/>
      <w:iCs/>
      <w:spacing w:val="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23A26"/>
    <w:rPr>
      <w:rFonts w:eastAsiaTheme="majorEastAsia" w:cstheme="majorBidi"/>
      <w:b/>
      <w:iCs/>
      <w:color w:val="404040" w:themeColor="text1" w:themeTint="BF"/>
      <w:spacing w:val="6"/>
    </w:rPr>
  </w:style>
  <w:style w:type="paragraph" w:customStyle="1" w:styleId="Bodsmlouvy">
    <w:name w:val="Bod smlouvy"/>
    <w:basedOn w:val="Odstavecseseznamem"/>
    <w:link w:val="BodsmlouvyChar"/>
    <w:rsid w:val="00123A26"/>
    <w:pPr>
      <w:spacing w:before="240"/>
      <w:ind w:left="0"/>
    </w:pPr>
  </w:style>
  <w:style w:type="character" w:customStyle="1" w:styleId="BodsmlouvyChar">
    <w:name w:val="Bod smlouvy Char"/>
    <w:basedOn w:val="OdstavecseseznamemChar"/>
    <w:link w:val="Bodsmlouvy"/>
    <w:rsid w:val="00123A26"/>
    <w:rPr>
      <w:spacing w:val="6"/>
    </w:rPr>
  </w:style>
  <w:style w:type="character" w:customStyle="1" w:styleId="Nadpis8Char">
    <w:name w:val="Nadpis 8 Char"/>
    <w:basedOn w:val="Standardnpsmoodstavce"/>
    <w:link w:val="Nadpis8"/>
    <w:semiHidden/>
    <w:rsid w:val="000F3DAD"/>
    <w:rPr>
      <w:rFonts w:asciiTheme="majorHAnsi" w:eastAsiaTheme="majorEastAsia" w:hAnsiTheme="majorHAnsi" w:cstheme="majorBidi"/>
      <w:color w:val="272727" w:themeColor="text1" w:themeTint="D8"/>
      <w:spacing w:val="6"/>
      <w:sz w:val="21"/>
      <w:szCs w:val="21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66B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lvao.com/download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ALVAO 2019-07-31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LVAO">
      <a:majorFont>
        <a:latin typeface="Segoe UI Light"/>
        <a:ea typeface=""/>
        <a:cs typeface=""/>
      </a:majorFont>
      <a:minorFont>
        <a:latin typeface="Segoe UI Semi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A76ED7CAF6B6B4AB37C78FF11202C85" ma:contentTypeVersion="26" ma:contentTypeDescription="Vytvoří nový dokument" ma:contentTypeScope="" ma:versionID="c8ccc790e0f0259f5a0f8a57be6648c3">
  <xsd:schema xmlns:xsd="http://www.w3.org/2001/XMLSchema" xmlns:xs="http://www.w3.org/2001/XMLSchema" xmlns:p="http://schemas.microsoft.com/office/2006/metadata/properties" xmlns:ns2="56d1c04f-7ad4-42a4-8d41-19818833bfa6" xmlns:ns3="http://schemas.microsoft.com/sharepoint/v4" xmlns:ns4="0d980d62-3c7e-448b-8564-395b5fea5dab" targetNamespace="http://schemas.microsoft.com/office/2006/metadata/properties" ma:root="true" ma:fieldsID="89c16ba66eee9f5b8cc528b330c4ec82" ns2:_="" ns3:_="" ns4:_="">
    <xsd:import namespace="56d1c04f-7ad4-42a4-8d41-19818833bfa6"/>
    <xsd:import namespace="http://schemas.microsoft.com/sharepoint/v4"/>
    <xsd:import namespace="0d980d62-3c7e-448b-8564-395b5fea5d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IconOverlay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Spr_x00e1_vce"/>
                <xsd:element ref="ns4:MediaLengthInSeconds" minOccurs="0"/>
                <xsd:element ref="ns4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d1c04f-7ad4-42a4-8d41-19818833bf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Čas posledního sdílení" ma:description="" ma:internalName="LastSharedByTime" ma:readOnly="true">
      <xsd:simpleType>
        <xsd:restriction base="dms:DateTime"/>
      </xsd:simpleType>
    </xsd:element>
    <xsd:element name="TaxCatchAll" ma:index="28" nillable="true" ma:displayName="Taxonomy Catch All Column" ma:hidden="true" ma:list="{e682c7c6-1660-4a29-be47-bc5efd9df60d}" ma:internalName="TaxCatchAll" ma:showField="CatchAllData" ma:web="56d1c04f-7ad4-42a4-8d41-19818833bf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980d62-3c7e-448b-8564-395b5fea5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pr_x00e1_vce" ma:index="24" ma:displayName="Správce" ma:indexed="true" ma:list="UserInfo" ma:SharePointGroup="0" ma:internalName="Spr_x00e1_vce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Značky obrázků" ma:readOnly="false" ma:fieldId="{5cf76f15-5ced-4ddc-b409-7134ff3c332f}" ma:taxonomyMulti="true" ma:sspId="2a63c88c-b954-4c6f-be02-70762d347c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Spr_x00e1_vce xmlns="0d980d62-3c7e-448b-8564-395b5fea5dab">
      <UserInfo>
        <DisplayName>Radek Grodl | ALVAO</DisplayName>
        <AccountId>34</AccountId>
        <AccountType/>
      </UserInfo>
    </Spr_x00e1_vce>
    <lcf76f155ced4ddcb4097134ff3c332f xmlns="0d980d62-3c7e-448b-8564-395b5fea5dab">
      <Terms xmlns="http://schemas.microsoft.com/office/infopath/2007/PartnerControls"/>
    </lcf76f155ced4ddcb4097134ff3c332f>
    <TaxCatchAll xmlns="56d1c04f-7ad4-42a4-8d41-19818833bfa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07E2C-21B6-4E62-8499-9ED757174C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d1c04f-7ad4-42a4-8d41-19818833bfa6"/>
    <ds:schemaRef ds:uri="http://schemas.microsoft.com/sharepoint/v4"/>
    <ds:schemaRef ds:uri="0d980d62-3c7e-448b-8564-395b5fea5d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5C4F0B-36A9-43CB-8614-8DE23B6FC1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853C42-5E64-4EBE-A31F-EEB22953CD1A}">
  <ds:schemaRefs>
    <ds:schemaRef ds:uri="http://schemas.microsoft.com/office/2006/documentManagement/types"/>
    <ds:schemaRef ds:uri="http://schemas.microsoft.com/sharepoint/v4"/>
    <ds:schemaRef ds:uri="http://purl.org/dc/elements/1.1/"/>
    <ds:schemaRef ds:uri="http://purl.org/dc/terms/"/>
    <ds:schemaRef ds:uri="56d1c04f-7ad4-42a4-8d41-19818833bfa6"/>
    <ds:schemaRef ds:uri="http://schemas.microsoft.com/office/infopath/2007/PartnerControls"/>
    <ds:schemaRef ds:uri="http://schemas.openxmlformats.org/package/2006/metadata/core-properties"/>
    <ds:schemaRef ds:uri="0d980d62-3c7e-448b-8564-395b5fea5dab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43E21DB-A569-4B07-AFA8-78EF5949C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2020</Words>
  <Characters>11919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radek.grodl@alvao.cz</dc:creator>
  <cp:lastModifiedBy>Mašínová Gabriela</cp:lastModifiedBy>
  <cp:revision>3</cp:revision>
  <cp:lastPrinted>2022-10-24T12:13:00Z</cp:lastPrinted>
  <dcterms:created xsi:type="dcterms:W3CDTF">2022-10-24T12:31:00Z</dcterms:created>
  <dcterms:modified xsi:type="dcterms:W3CDTF">2022-10-24T12:34:00Z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0x010100FA76ED7CAF6B6B4AB37C78FF11202C85</vt:lpwstr>
  </property>
</Properties>
</file>