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72"/>
        <w:ind w:left="3962" w:right="3957" w:firstLine="0"/>
        <w:jc w:val="center"/>
        <w:rPr>
          <w:b/>
          <w:sz w:val="27"/>
        </w:rPr>
      </w:pPr>
      <w:r>
        <w:rPr>
          <w:b/>
          <w:sz w:val="27"/>
        </w:rPr>
        <w:t>Návrh zadání</w:t>
      </w:r>
    </w:p>
    <w:p>
      <w:pPr>
        <w:pStyle w:val="Heading1"/>
        <w:spacing w:before="1"/>
        <w:ind w:left="2400"/>
      </w:pPr>
      <w:r>
        <w:rPr/>
        <w:t>územních studií pro město Český Krumlov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spacing w:before="0"/>
        <w:ind w:left="137" w:right="133" w:firstLine="0"/>
        <w:jc w:val="left"/>
        <w:rPr>
          <w:sz w:val="27"/>
        </w:rPr>
      </w:pPr>
      <w:r>
        <w:rPr>
          <w:b/>
          <w:sz w:val="27"/>
        </w:rPr>
        <w:t>Část 1: </w:t>
      </w:r>
      <w:r>
        <w:rPr>
          <w:sz w:val="27"/>
        </w:rPr>
        <w:t>Územní studie veřejných prostranství městské části Vyšný</w:t>
      </w:r>
    </w:p>
    <w:p>
      <w:pPr>
        <w:spacing w:before="119"/>
        <w:ind w:left="137" w:right="133" w:firstLine="0"/>
        <w:jc w:val="left"/>
        <w:rPr>
          <w:sz w:val="27"/>
        </w:rPr>
      </w:pPr>
      <w:r>
        <w:rPr>
          <w:b/>
          <w:sz w:val="27"/>
        </w:rPr>
        <w:t>Část 2: </w:t>
      </w:r>
      <w:r>
        <w:rPr>
          <w:sz w:val="27"/>
        </w:rPr>
        <w:t>Územní studie veřejných prostranství oblasti kasárna Vyšný</w:t>
      </w:r>
    </w:p>
    <w:p>
      <w:pPr>
        <w:spacing w:line="242" w:lineRule="auto" w:before="119"/>
        <w:ind w:left="967" w:right="133" w:hanging="831"/>
        <w:jc w:val="left"/>
        <w:rPr>
          <w:sz w:val="27"/>
        </w:rPr>
      </w:pPr>
      <w:r>
        <w:rPr>
          <w:b/>
          <w:sz w:val="27"/>
        </w:rPr>
        <w:t>Část 3: </w:t>
      </w:r>
      <w:r>
        <w:rPr>
          <w:sz w:val="27"/>
        </w:rPr>
        <w:t>Územní studie veřejných prostranství městské části Domoradice a veřejné dopravní infrastruktury, propojení Domoradic s centrem</w:t>
      </w:r>
    </w:p>
    <w:p>
      <w:pPr>
        <w:spacing w:before="116"/>
        <w:ind w:left="137" w:right="133" w:firstLine="0"/>
        <w:jc w:val="left"/>
        <w:rPr>
          <w:sz w:val="27"/>
        </w:rPr>
      </w:pPr>
      <w:r>
        <w:rPr>
          <w:b/>
          <w:sz w:val="27"/>
        </w:rPr>
        <w:t>Část 4: </w:t>
      </w:r>
      <w:r>
        <w:rPr>
          <w:sz w:val="27"/>
        </w:rPr>
        <w:t>Územní studie veřejných prostranství Jelení zahrady a sportovní zóny</w:t>
      </w:r>
    </w:p>
    <w:p>
      <w:pPr>
        <w:spacing w:before="121"/>
        <w:ind w:left="137" w:right="133" w:firstLine="0"/>
        <w:jc w:val="left"/>
        <w:rPr>
          <w:sz w:val="27"/>
        </w:rPr>
      </w:pPr>
      <w:r>
        <w:rPr>
          <w:b/>
          <w:sz w:val="27"/>
        </w:rPr>
        <w:t>Část 5: </w:t>
      </w:r>
      <w:r>
        <w:rPr>
          <w:sz w:val="27"/>
        </w:rPr>
        <w:t>Územní studie veřejných prostranství městské části Nové</w:t>
      </w:r>
      <w:r>
        <w:rPr>
          <w:spacing w:val="51"/>
          <w:sz w:val="27"/>
        </w:rPr>
        <w:t> </w:t>
      </w:r>
      <w:r>
        <w:rPr>
          <w:sz w:val="27"/>
        </w:rPr>
        <w:t>Spolí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3"/>
        <w:ind w:left="137" w:right="133"/>
      </w:pPr>
      <w:r>
        <w:rPr>
          <w:u w:val="single"/>
        </w:rPr>
        <w:t>Obsah: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240" w:lineRule="auto" w:before="63" w:after="0"/>
        <w:ind w:left="524" w:right="0" w:hanging="387"/>
        <w:jc w:val="left"/>
        <w:rPr>
          <w:sz w:val="21"/>
        </w:rPr>
      </w:pPr>
      <w:r>
        <w:rPr>
          <w:sz w:val="21"/>
        </w:rPr>
        <w:t>Cíl a účel pořízení územních</w:t>
      </w:r>
      <w:r>
        <w:rPr>
          <w:spacing w:val="37"/>
          <w:sz w:val="21"/>
        </w:rPr>
        <w:t> </w:t>
      </w:r>
      <w:r>
        <w:rPr>
          <w:sz w:val="21"/>
        </w:rPr>
        <w:t>studií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240" w:lineRule="auto" w:before="65" w:after="0"/>
        <w:ind w:left="524" w:right="0" w:hanging="387"/>
        <w:jc w:val="left"/>
        <w:rPr>
          <w:sz w:val="21"/>
        </w:rPr>
      </w:pPr>
      <w:r>
        <w:rPr>
          <w:sz w:val="21"/>
        </w:rPr>
        <w:t>Vymezení území řešeného územními </w:t>
      </w:r>
      <w:r>
        <w:rPr>
          <w:spacing w:val="7"/>
          <w:sz w:val="21"/>
        </w:rPr>
        <w:t> </w:t>
      </w:r>
      <w:r>
        <w:rPr>
          <w:sz w:val="21"/>
        </w:rPr>
        <w:t>studiemi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240" w:lineRule="auto" w:before="63" w:after="0"/>
        <w:ind w:left="524" w:right="0" w:hanging="387"/>
        <w:jc w:val="left"/>
        <w:rPr>
          <w:sz w:val="21"/>
        </w:rPr>
      </w:pPr>
      <w:r>
        <w:rPr>
          <w:sz w:val="21"/>
        </w:rPr>
        <w:t>Požadavky na obsah řešení územních </w:t>
      </w:r>
      <w:r>
        <w:rPr>
          <w:spacing w:val="5"/>
          <w:sz w:val="21"/>
        </w:rPr>
        <w:t> </w:t>
      </w:r>
      <w:r>
        <w:rPr>
          <w:sz w:val="21"/>
        </w:rPr>
        <w:t>studií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240" w:lineRule="auto" w:before="63" w:after="0"/>
        <w:ind w:left="524" w:right="0" w:hanging="387"/>
        <w:jc w:val="left"/>
        <w:rPr>
          <w:rFonts w:ascii="Times New Roman" w:hAnsi="Times New Roman"/>
          <w:sz w:val="21"/>
        </w:rPr>
      </w:pPr>
      <w:r>
        <w:rPr>
          <w:sz w:val="21"/>
        </w:rPr>
        <w:t>Požadavky na formu obsahu a uspořádání textových a grafických části územních  </w:t>
      </w:r>
      <w:r>
        <w:rPr>
          <w:spacing w:val="11"/>
          <w:sz w:val="21"/>
        </w:rPr>
        <w:t> </w:t>
      </w:r>
      <w:r>
        <w:rPr>
          <w:sz w:val="21"/>
        </w:rPr>
        <w:t>studií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524" w:val="left" w:leader="none"/>
        </w:tabs>
        <w:spacing w:line="240" w:lineRule="auto" w:before="0" w:after="0"/>
        <w:ind w:left="555" w:right="0" w:hanging="418"/>
        <w:jc w:val="left"/>
      </w:pPr>
      <w:r>
        <w:rPr>
          <w:u w:val="single"/>
        </w:rPr>
        <w:t>Cíl a účel pořízení územních</w:t>
      </w:r>
      <w:r>
        <w:rPr>
          <w:spacing w:val="20"/>
          <w:u w:val="single"/>
        </w:rPr>
        <w:t> </w:t>
      </w:r>
      <w:r>
        <w:rPr>
          <w:u w:val="single"/>
        </w:rPr>
        <w:t>studií</w:t>
      </w:r>
    </w:p>
    <w:p>
      <w:pPr>
        <w:pStyle w:val="BodyText"/>
        <w:spacing w:line="264" w:lineRule="auto" w:before="6"/>
        <w:ind w:left="555" w:right="130"/>
        <w:jc w:val="both"/>
      </w:pPr>
      <w:r>
        <w:rPr/>
        <w:t>Cílem pořízení územních studií veřejných prostrantví (dále jen ÚSVP) je získání takových dokumentů, které městu budou sloužit jako základní materiál pro posuzování vlastních i soukromých investičních záměrů a dále pro urbanistickou rozvahu o městě jako celku. ÚSVP je podmínkou pro rozhodování o změnách v území a jde o podrobné prověření možných řešení veřejného prostranství a jeho dalších variant. Dále zhodnocení nově zpracovávaného ÚP ve vztahu k  ÚSVP.</w:t>
      </w:r>
    </w:p>
    <w:p>
      <w:pPr>
        <w:pStyle w:val="BodyText"/>
        <w:spacing w:line="264" w:lineRule="auto" w:before="155"/>
        <w:ind w:left="555" w:right="127"/>
        <w:jc w:val="both"/>
      </w:pPr>
      <w:r>
        <w:rPr/>
        <w:t>Hlavním účelem územních studií je zlepšit kvalitu veřejných prostranství a zvýšit jejich atraktivitu pro obyvatele města.</w:t>
      </w:r>
    </w:p>
    <w:p>
      <w:pPr>
        <w:pStyle w:val="BodyText"/>
        <w:spacing w:line="264" w:lineRule="auto" w:before="157"/>
        <w:ind w:left="555" w:right="129"/>
        <w:jc w:val="both"/>
      </w:pPr>
      <w:r>
        <w:rPr/>
        <w:t>Územní studie vytvoří urbanistickou koncepci vymezené lokality s prostorovým uspořádáním jednotlivých funkčních zastavitelných i nezastavitelných ploch a řešením veřejné   infrastruktury.</w:t>
      </w:r>
    </w:p>
    <w:p>
      <w:pPr>
        <w:pStyle w:val="BodyText"/>
        <w:spacing w:line="264" w:lineRule="auto" w:before="1"/>
        <w:ind w:left="555" w:right="130"/>
        <w:jc w:val="both"/>
      </w:pPr>
      <w:r>
        <w:rPr/>
        <w:t>Účelem územní studie je získání kvalifikovaného podkladu pro rozhodování v území a pro navazující revitalizační zásahy. Cílem je nalézt vyvážené řešení, které bude přijímáno obyvateli území, a které a bude sloužit jako podklad pro další projektové fáze, směřující k postupné realizaci návrhu dle finančních možností investora.</w:t>
      </w:r>
    </w:p>
    <w:p>
      <w:pPr>
        <w:spacing w:after="0" w:line="264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445" w:footer="1589" w:top="1700" w:bottom="1780" w:left="1240" w:right="12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4" w:lineRule="auto" w:before="62"/>
        <w:ind w:left="555" w:right="133"/>
      </w:pPr>
      <w:r>
        <w:rPr/>
        <w:t>Územní studie bude zpracována dle Metodického pokynu MMR ČR pro pořízení a zpracování  územních studií veřejných prostranství (ÚSVP) ver. 3.11.2015 viz </w:t>
      </w:r>
      <w:hyperlink r:id="rId7">
        <w:r>
          <w:rPr>
            <w:color w:val="0562C1"/>
            <w:u w:val="single" w:color="0562C1"/>
          </w:rPr>
          <w:t>http://www.uur.cz/images/8stanoviska-a-metodiky/32-uzemni-studie-verejneho-prostranstvi-</w:t>
        </w:r>
      </w:hyperlink>
      <w:r>
        <w:rPr>
          <w:color w:val="0562C1"/>
          <w:u w:val="single" w:color="0562C1"/>
        </w:rPr>
        <w:t> 03112015.pdf</w:t>
      </w:r>
    </w:p>
    <w:p>
      <w:pPr>
        <w:pStyle w:val="BodyText"/>
        <w:spacing w:line="264" w:lineRule="auto" w:before="119"/>
        <w:ind w:left="555" w:right="129"/>
        <w:jc w:val="both"/>
      </w:pPr>
      <w:r>
        <w:rPr/>
        <w:t>Územní studie bude sloužit jako územně plánovací podklad dle § 25 a § 30 zákona č. 183/2006 Sb., o územním plánování a stavebním řádu ve znění pozdějších předpisů (stavební   zákon).</w:t>
      </w:r>
    </w:p>
    <w:p>
      <w:pPr>
        <w:pStyle w:val="BodyText"/>
        <w:spacing w:line="264" w:lineRule="auto" w:before="116"/>
        <w:ind w:left="555" w:right="129"/>
        <w:jc w:val="both"/>
      </w:pPr>
      <w:r>
        <w:rPr/>
        <w:t>Je podstatné zohednění spolupůsobících širších vztahů, vnějšího kontextu, kterým jsou vizuální a provozně funkční návaznosti, např. průhledy do vzdálenějšího okolí nebo vzdálenější provozně  funkční</w:t>
      </w:r>
      <w:r>
        <w:rPr>
          <w:spacing w:val="16"/>
        </w:rPr>
        <w:t> </w:t>
      </w:r>
      <w:r>
        <w:rPr/>
        <w:t>vazby.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555"/>
        <w:jc w:val="both"/>
      </w:pPr>
      <w:r>
        <w:rPr>
          <w:u w:val="single"/>
        </w:rPr>
        <w:t>ÚSVP městské části Vyšný</w:t>
      </w:r>
    </w:p>
    <w:p>
      <w:pPr>
        <w:pStyle w:val="BodyText"/>
        <w:spacing w:line="244" w:lineRule="auto" w:before="123"/>
        <w:ind w:left="555" w:right="127"/>
        <w:jc w:val="both"/>
      </w:pPr>
      <w:r>
        <w:rPr/>
        <w:t>Definice oblasti, jejích hranic, urbánní struktury, přirozeného centra, ploch rozvoje – zastavitelných a nezastavitelných ploch, skladby funkcí, regulativů  území.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555"/>
        <w:jc w:val="both"/>
      </w:pPr>
      <w:r>
        <w:rPr>
          <w:u w:val="single"/>
        </w:rPr>
        <w:t>ÚSVP oblasti kasárna Vyšný</w:t>
      </w:r>
    </w:p>
    <w:p>
      <w:pPr>
        <w:pStyle w:val="BodyText"/>
        <w:spacing w:line="242" w:lineRule="auto" w:before="123"/>
        <w:ind w:left="555" w:right="127"/>
        <w:jc w:val="both"/>
      </w:pPr>
      <w:r>
        <w:rPr/>
        <w:t>Definice oblasti, jejích hranic, urbánní struktury, přirozeného centra, ploch rozvoje – zastavitelných a nezastavitelných ploch, skladby funkcí, regulativů  území.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555"/>
        <w:jc w:val="both"/>
      </w:pPr>
      <w:r>
        <w:rPr>
          <w:u w:val="single"/>
        </w:rPr>
        <w:t>ÚSVP městské části Domoradice a veřejné dopravní infrastruktury, propojení Domoradic s   centrem</w:t>
      </w:r>
    </w:p>
    <w:p>
      <w:pPr>
        <w:pStyle w:val="BodyText"/>
        <w:spacing w:line="247" w:lineRule="auto" w:before="120"/>
        <w:ind w:left="555" w:right="127"/>
        <w:jc w:val="both"/>
      </w:pPr>
      <w:r>
        <w:rPr/>
        <w:t>Definice oblasti, jejích hranic, urbánní </w:t>
      </w:r>
      <w:r>
        <w:rPr>
          <w:spacing w:val="-3"/>
        </w:rPr>
        <w:t>struktury, </w:t>
      </w:r>
      <w:r>
        <w:rPr/>
        <w:t>přirozeného centra, ploch </w:t>
      </w:r>
      <w:r>
        <w:rPr>
          <w:spacing w:val="-3"/>
        </w:rPr>
        <w:t>rozvoje </w:t>
      </w:r>
      <w:r>
        <w:rPr/>
        <w:t>– </w:t>
      </w:r>
      <w:r>
        <w:rPr>
          <w:spacing w:val="-3"/>
        </w:rPr>
        <w:t>zastavitelných </w:t>
      </w:r>
      <w:r>
        <w:rPr/>
        <w:t>a </w:t>
      </w:r>
      <w:r>
        <w:rPr>
          <w:spacing w:val="-3"/>
        </w:rPr>
        <w:t>nezastavitelných </w:t>
      </w:r>
      <w:r>
        <w:rPr/>
        <w:t>ploch, skladby funkcí, regulativů území, pohybu pěších a </w:t>
      </w:r>
      <w:r>
        <w:rPr>
          <w:spacing w:val="-4"/>
        </w:rPr>
        <w:t>dopravy, </w:t>
      </w:r>
      <w:r>
        <w:rPr/>
        <w:t>způsobu napojení  na centrum</w:t>
      </w:r>
      <w:r>
        <w:rPr>
          <w:spacing w:val="33"/>
        </w:rPr>
        <w:t> </w:t>
      </w:r>
      <w:r>
        <w:rPr>
          <w:spacing w:val="-3"/>
        </w:rPr>
        <w:t>města.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555"/>
        <w:jc w:val="both"/>
      </w:pPr>
      <w:r>
        <w:rPr>
          <w:u w:val="single"/>
        </w:rPr>
        <w:t>ÚSVP Jelení zahrady a sportovní  zóny</w:t>
      </w:r>
    </w:p>
    <w:p>
      <w:pPr>
        <w:pStyle w:val="BodyText"/>
        <w:spacing w:line="244" w:lineRule="auto" w:before="120"/>
        <w:ind w:left="555" w:right="127"/>
        <w:jc w:val="both"/>
      </w:pPr>
      <w:r>
        <w:rPr/>
        <w:t>Definice oblasti, jejích hranic, urbánní struktury, přirozeného centra, ploch rozvoje – zastavitelných a nezastavitelných ploch, skladby funkcí, regulativů území, pohybu pěších  a  dopravy,  vytvoření sportovně rekreačního centra  města.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555"/>
        <w:jc w:val="both"/>
      </w:pPr>
      <w:r>
        <w:rPr>
          <w:u w:val="single"/>
        </w:rPr>
        <w:t>ÚSVP městské části Nové Spolí</w:t>
      </w:r>
    </w:p>
    <w:p>
      <w:pPr>
        <w:pStyle w:val="BodyText"/>
        <w:spacing w:line="244" w:lineRule="auto" w:before="120"/>
        <w:ind w:left="555" w:right="127"/>
        <w:jc w:val="both"/>
      </w:pPr>
      <w:r>
        <w:rPr/>
        <w:t>Definice oblasti, jejích hranic, urbánní struktury, přirozeného centra, ploch rozvoje – zastavitelných a nezastavitelných ploch, skladby funkcí, regulativů  území.</w:t>
      </w:r>
    </w:p>
    <w:p>
      <w:pPr>
        <w:spacing w:after="0" w:line="244" w:lineRule="auto"/>
        <w:jc w:val="both"/>
        <w:sectPr>
          <w:pgSz w:w="11910" w:h="16840"/>
          <w:pgMar w:header="1445" w:footer="1589" w:top="1700" w:bottom="17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524" w:val="left" w:leader="none"/>
        </w:tabs>
        <w:spacing w:line="240" w:lineRule="auto" w:before="48" w:after="0"/>
        <w:ind w:left="524" w:right="0" w:hanging="387"/>
        <w:jc w:val="left"/>
      </w:pPr>
      <w:r>
        <w:rPr>
          <w:u w:val="single"/>
        </w:rPr>
        <w:t>Vymezení území řešeného územními</w:t>
      </w:r>
      <w:r>
        <w:rPr>
          <w:spacing w:val="29"/>
          <w:u w:val="single"/>
        </w:rPr>
        <w:t> </w:t>
      </w:r>
      <w:r>
        <w:rPr>
          <w:u w:val="single"/>
        </w:rPr>
        <w:t>studiemi</w:t>
      </w:r>
    </w:p>
    <w:p>
      <w:pPr>
        <w:pStyle w:val="BodyText"/>
        <w:spacing w:before="123"/>
        <w:ind w:left="555"/>
        <w:jc w:val="both"/>
      </w:pPr>
      <w:r>
        <w:rPr/>
        <w:t>Správní území města Český Krumlov,</w:t>
      </w:r>
    </w:p>
    <w:p>
      <w:pPr>
        <w:pStyle w:val="BodyText"/>
        <w:spacing w:before="3"/>
        <w:ind w:left="555"/>
        <w:jc w:val="both"/>
      </w:pPr>
      <w:r>
        <w:rPr/>
        <w:t>k.ú.Vyšný, k.ú. Český Krumlov, k.ú. Přísečná-Domoradice, k.ú. Spolí – Nové Spolí, k.ú.   Slupenec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2"/>
        <w:spacing w:before="1"/>
        <w:jc w:val="both"/>
      </w:pPr>
      <w:r>
        <w:rPr>
          <w:u w:val="single"/>
        </w:rPr>
        <w:t>ÚSVP městské části Vyšný</w:t>
      </w:r>
    </w:p>
    <w:p>
      <w:pPr>
        <w:pStyle w:val="BodyText"/>
        <w:spacing w:line="244" w:lineRule="auto" w:before="5"/>
        <w:ind w:left="555" w:right="129"/>
        <w:jc w:val="both"/>
      </w:pPr>
      <w:r>
        <w:rPr/>
        <w:t>Řešené území je ze severu vymezeno hranicí katastrálního území Vyšný nad zástavbou v lokalitě Podhájí, ze západu lesem podél  ulice Pod Hájí a vnějším okolím bývalého lomu, jižními zahradami         v lokalitě  Staré  Vyšný  a  panelovou  komunikací  nad  areálem  bývalých  kasáren,  z  východu  </w:t>
      </w:r>
      <w:r>
        <w:rPr>
          <w:spacing w:val="-3"/>
        </w:rPr>
        <w:t>ulicí     </w:t>
      </w:r>
      <w:r>
        <w:rPr/>
        <w:t>U kasáren a východními zahradami kolem zástavby v lokalitě Nový   Dvůr: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1149096</wp:posOffset>
            </wp:positionH>
            <wp:positionV relativeFrom="paragraph">
              <wp:posOffset>106133</wp:posOffset>
            </wp:positionV>
            <wp:extent cx="5428154" cy="4929187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8154" cy="4929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10" w:h="16840"/>
          <w:pgMar w:header="1445" w:footer="1589" w:top="1700" w:bottom="17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jc w:val="both"/>
      </w:pPr>
      <w:r>
        <w:rPr>
          <w:u w:val="single"/>
        </w:rPr>
        <w:t>ÚSVP oblasti kasárna Vyšný</w:t>
      </w:r>
    </w:p>
    <w:p>
      <w:pPr>
        <w:pStyle w:val="BodyText"/>
        <w:spacing w:line="244" w:lineRule="auto" w:before="5"/>
        <w:ind w:left="555" w:right="130"/>
        <w:jc w:val="both"/>
      </w:pPr>
      <w:r>
        <w:rPr/>
        <w:t>Řešené území obsahuje celý areál bývalých kasáren a jeho bezprostřední okolí. Z jihu je vymezeno železniční tratí, ze západu zelenými plochami podél ulice Vyšenské, z východu zelenými plochami podél ulice U Kasáren, ze severu zelení nad panelovou </w:t>
      </w:r>
      <w:r>
        <w:rPr>
          <w:spacing w:val="35"/>
        </w:rPr>
        <w:t> </w:t>
      </w:r>
      <w:r>
        <w:rPr/>
        <w:t>komunikací: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1123188</wp:posOffset>
            </wp:positionH>
            <wp:positionV relativeFrom="paragraph">
              <wp:posOffset>115276</wp:posOffset>
            </wp:positionV>
            <wp:extent cx="5483374" cy="5848731"/>
            <wp:effectExtent l="0" t="0" r="0" b="0"/>
            <wp:wrapTopAndBottom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374" cy="58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header="1445" w:footer="1589" w:top="1700" w:bottom="17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spacing w:line="244" w:lineRule="auto"/>
        <w:ind w:right="351"/>
      </w:pPr>
      <w:r>
        <w:rPr>
          <w:u w:val="single"/>
        </w:rPr>
        <w:t>ÚSVP   městské   části   Domoradice   a   veřejné   dopravní   infrastruktury,   propojení   Domoradic    s</w:t>
      </w:r>
      <w:r>
        <w:rPr>
          <w:spacing w:val="15"/>
          <w:u w:val="single"/>
        </w:rPr>
        <w:t> </w:t>
      </w:r>
      <w:r>
        <w:rPr>
          <w:u w:val="single"/>
        </w:rPr>
        <w:t>centrem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244" w:lineRule="auto" w:before="61"/>
        <w:ind w:left="555" w:right="248"/>
        <w:jc w:val="both"/>
      </w:pPr>
      <w:r>
        <w:rPr/>
        <w:t>Řešené území zahrnuje oblast mezi kruhovou křižovatkou ulic Tovární a Budějovická (u pekařství Nodes)  a kruhovou křižovatkou U  Trojice a pokračuje  až  ke světelné křižovatce u Porákova mostu.    V úseku mezi oběma kruhovými křižovatkami je ze západu vymezeno zelenými svahy nad areálem bývalé Jitony ze severu železniční tratí, zástavbou z východní strany podél Tovární a Domoradické ulice, Domoradickou ulicí jižně pod areálem OC Tesco, zástavbou z jižní strany podél  ulice  Budějovické, skálou mezi Budějovickou ulicí a ulicí U Trojice. Mezi kruhovou křižovatkou U Trojice a světelnou křižovatkou u Porákova mostu tvoří řešené území prostor mezi řekou a Šeříkovou skálou v ulici Pod</w:t>
      </w:r>
      <w:r>
        <w:rPr>
          <w:spacing w:val="24"/>
        </w:rPr>
        <w:t> </w:t>
      </w:r>
      <w:r>
        <w:rPr/>
        <w:t>Kamenem.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1232916</wp:posOffset>
            </wp:positionH>
            <wp:positionV relativeFrom="paragraph">
              <wp:posOffset>121792</wp:posOffset>
            </wp:positionV>
            <wp:extent cx="5533856" cy="4940617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856" cy="4940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header="1445" w:footer="1589" w:top="1700" w:bottom="1780" w:left="12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ind w:right="133"/>
      </w:pPr>
      <w:r>
        <w:rPr>
          <w:u w:val="single"/>
        </w:rPr>
        <w:t>ÚSVP Jelení zahrady a sportovní zóny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244" w:lineRule="auto" w:before="61"/>
        <w:ind w:left="555" w:right="128"/>
        <w:jc w:val="both"/>
      </w:pPr>
      <w:r>
        <w:rPr/>
        <w:t>Řešené  území  zahrnuje  oblast mezi  mostem  u  Budějovické  brány  a  křižovatkou  ulice  Chvalšinské s ulicí Fialkovou. V části  Jelení zahrady je vymezeno ulicí Na dlouhé zdi, areálem zámku, zahradami    za domy v ulici Latrán a Chvalšinskou silnicí. V části sportovní zóny je vemezeno svahy nad Filakovou ulicí a vnější zelení podél potoka </w:t>
      </w:r>
      <w:r>
        <w:rPr>
          <w:spacing w:val="1"/>
        </w:rPr>
        <w:t> </w:t>
      </w:r>
      <w:r>
        <w:rPr/>
        <w:t>Polečnice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1159763</wp:posOffset>
            </wp:positionH>
            <wp:positionV relativeFrom="paragraph">
              <wp:posOffset>148805</wp:posOffset>
            </wp:positionV>
            <wp:extent cx="5434943" cy="4922901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943" cy="4922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10" w:h="16840"/>
          <w:pgMar w:header="1445" w:footer="1589" w:top="1700" w:bottom="17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ind w:right="133"/>
      </w:pPr>
      <w:r>
        <w:rPr>
          <w:u w:val="single"/>
        </w:rPr>
        <w:t>ÚSVP městské části Nové Spolí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244" w:lineRule="auto" w:before="61"/>
        <w:ind w:left="555" w:right="131"/>
        <w:jc w:val="both"/>
      </w:pPr>
      <w:r>
        <w:rPr/>
        <w:t>Řešené území je vymezeno silnicí II.třídy (směr Větřní), jeho hranice dále prochází nezastavěným územím jižně od ulice Ke Školce (tj. obsahuje zastavitelné území  vymezené  platným  územním  plánem v lokalitě „Třešňovka“ pro funkci </w:t>
      </w:r>
      <w:r>
        <w:rPr>
          <w:spacing w:val="-3"/>
        </w:rPr>
        <w:t>BI </w:t>
      </w:r>
      <w:r>
        <w:rPr/>
        <w:t>– bydlení individuální)  a jižně pod zástavbou v Potoční  ulici a pokračuje územím jižně a východně za agrárními terasami mezi městskými částmi Nové Spolí      a Slupenec, křižuje ulici Pod Sv.Duchem a řeku Vltavu a na silnici směr Větřní navazuje za areálem firmy H.M.Sport (ul. 5.května</w:t>
      </w:r>
      <w:r>
        <w:rPr>
          <w:spacing w:val="41"/>
        </w:rPr>
        <w:t> </w:t>
      </w:r>
      <w:r>
        <w:rPr/>
        <w:t>338).</w:t>
      </w:r>
    </w:p>
    <w:p>
      <w:pPr>
        <w:pStyle w:val="BodyText"/>
        <w:spacing w:before="1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1158239</wp:posOffset>
            </wp:positionH>
            <wp:positionV relativeFrom="paragraph">
              <wp:posOffset>256590</wp:posOffset>
            </wp:positionV>
            <wp:extent cx="5522773" cy="5428678"/>
            <wp:effectExtent l="0" t="0" r="0" b="0"/>
            <wp:wrapTopAndBottom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773" cy="5428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1910" w:h="16840"/>
          <w:pgMar w:header="1445" w:footer="1589" w:top="1700" w:bottom="17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524" w:val="left" w:leader="none"/>
        </w:tabs>
        <w:spacing w:line="240" w:lineRule="auto" w:before="48" w:after="0"/>
        <w:ind w:left="524" w:right="0" w:hanging="387"/>
        <w:jc w:val="left"/>
      </w:pPr>
      <w:r>
        <w:rPr>
          <w:u w:val="single"/>
        </w:rPr>
        <w:t>Požadavky na obsah </w:t>
      </w:r>
      <w:r>
        <w:rPr/>
        <w:t>řešení územních</w:t>
      </w:r>
      <w:r>
        <w:rPr>
          <w:spacing w:val="28"/>
        </w:rPr>
        <w:t> </w:t>
      </w:r>
      <w:r>
        <w:rPr/>
        <w:t>studií</w:t>
      </w:r>
    </w:p>
    <w:p>
      <w:pPr>
        <w:pStyle w:val="BodyText"/>
        <w:spacing w:before="4"/>
        <w:rPr>
          <w:sz w:val="26"/>
        </w:rPr>
      </w:pPr>
    </w:p>
    <w:p>
      <w:pPr>
        <w:pStyle w:val="Heading2"/>
        <w:spacing w:before="61"/>
        <w:jc w:val="both"/>
      </w:pPr>
      <w:r>
        <w:rPr/>
        <w:t>Předpokládaný rozsah spolupráce se zpracovateli  ÚSVP</w:t>
      </w:r>
    </w:p>
    <w:p>
      <w:pPr>
        <w:pStyle w:val="BodyText"/>
        <w:spacing w:line="244" w:lineRule="auto" w:before="123"/>
        <w:ind w:left="555" w:right="130"/>
        <w:jc w:val="both"/>
      </w:pPr>
      <w:r>
        <w:rPr/>
        <w:t>Objednavatel předpokládá úzkou spolupráci s vybranými  zpracovateli  ÚSVP  již  při  formulaci vlastního upřesňujícího zadání, které bude mmj. založeno na participaci se všemi, kteří mají na budoucí podobě veřejných prostranství </w:t>
      </w:r>
      <w:r>
        <w:rPr>
          <w:spacing w:val="5"/>
        </w:rPr>
        <w:t> </w:t>
      </w:r>
      <w:r>
        <w:rPr/>
        <w:t>zájem.</w:t>
      </w:r>
    </w:p>
    <w:p>
      <w:pPr>
        <w:pStyle w:val="BodyText"/>
        <w:spacing w:line="244" w:lineRule="auto" w:before="115"/>
        <w:ind w:left="555" w:right="129"/>
        <w:jc w:val="both"/>
      </w:pPr>
      <w:r>
        <w:rPr/>
        <w:t>Vlastní návrhové části bude  předcházet  zpracování  potřebných  projektových  podkladů  a doplňujících průzkumů a rozborů, které doplní údaje obsažené v územně analytických podkladech v rozsahu potřebném pro zpracování návrhu ÚSVP. Na jejich základě zpracovatel aktualizuje  problémový výkres a to v rozsahu řešeného území a upřesní problémy k řešení. Po jejich předání mohou být pořizovatelem ve spolupráci s objednavatelem (do 30 dnů od převzetí) upřesněny požadavky na řešení</w:t>
      </w:r>
      <w:r>
        <w:rPr>
          <w:spacing w:val="33"/>
        </w:rPr>
        <w:t> </w:t>
      </w:r>
      <w:r>
        <w:rPr/>
        <w:t>ÚSVP.</w:t>
      </w:r>
    </w:p>
    <w:p>
      <w:pPr>
        <w:pStyle w:val="BodyText"/>
        <w:spacing w:before="3"/>
        <w:rPr>
          <w:sz w:val="29"/>
        </w:rPr>
      </w:pPr>
    </w:p>
    <w:p>
      <w:pPr>
        <w:pStyle w:val="Heading2"/>
        <w:spacing w:before="0"/>
        <w:jc w:val="both"/>
      </w:pPr>
      <w:r>
        <w:rPr/>
        <w:t>Stanovení podrobnosti s ohledem na účel  ÚSVP</w:t>
      </w:r>
    </w:p>
    <w:p>
      <w:pPr>
        <w:pStyle w:val="BodyText"/>
        <w:spacing w:line="244" w:lineRule="auto" w:before="123"/>
        <w:ind w:left="555" w:right="129"/>
        <w:jc w:val="both"/>
      </w:pPr>
      <w:r>
        <w:rPr/>
        <w:t>Územní   studie   budou   zpracovány   jako   podrobný   materiál,   stanovující   prostorové   uspořádání a funkční využití veřejných prostranství, včetně doporučení hlavních zásad utváření pro jejich bezprostřední okolí. Z pohledu míry zpracovaného detailu budou řešit uspořádání ploch (včetně materiálu  povrchu),  detailní  koncepci  zeleně,  rozmístění  prvků  drobné  architektury,  mobiliáře      a potřebného technického vybavení, popřípadě úpravu nebo odstranění informačních a reklamních zařízení. Všechny územní studie a zejména ÚSVP městské části Domoradice, budou obsahovat podrobný návrh řešení dopravní a technické </w:t>
      </w:r>
      <w:r>
        <w:rPr>
          <w:spacing w:val="27"/>
        </w:rPr>
        <w:t> </w:t>
      </w:r>
      <w:r>
        <w:rPr/>
        <w:t>infrastruktury.</w:t>
      </w:r>
    </w:p>
    <w:p>
      <w:pPr>
        <w:pStyle w:val="BodyText"/>
        <w:spacing w:line="244" w:lineRule="auto" w:before="117"/>
        <w:ind w:left="555" w:right="130"/>
        <w:jc w:val="both"/>
      </w:pPr>
      <w:r>
        <w:rPr/>
        <w:t>Součástí dokumentů bude také podrobný textový popis, tabulka ploch s výměrami a materiály povrchů, seznam skladeb konstrukcí a tabulkový výpis volného i zabudovaného vybavení exteriéru (mobiliáře) s popisem a fotografiemi/vizualizacemi prvků. V textovém popisu bude popis architektonického   řešení,   konstrukčního   řešení,   zpřesněný   odhad   nákladů,   popis   technického a technologického vybavení, popis úprav okolních ploch dle rozsahu řešeného území, podrobné zhodnocení staveniště, seznam potřebných průzkumů a rozborů a podmiňujících či souvisejících investic a stavebních akcí, návrh členění stavby na stavební objekty umožňující etapizaci   realizace.</w:t>
      </w:r>
    </w:p>
    <w:p>
      <w:pPr>
        <w:pStyle w:val="BodyText"/>
        <w:spacing w:line="244" w:lineRule="auto" w:before="115"/>
        <w:ind w:left="555" w:right="130"/>
        <w:jc w:val="both"/>
      </w:pPr>
      <w:r>
        <w:rPr/>
        <w:t>Územní studie se budou zabývat kromě podrobného řešení parteru také objekty a prvky, které prostranství vymezují, spoluvytvářejí, a také prostorovým a funkčním  kontextem  -širšími  návaznostmi. Územní studie mohou doporučit úpravy parterů vymezující  </w:t>
      </w:r>
      <w:r>
        <w:rPr>
          <w:spacing w:val="8"/>
        </w:rPr>
        <w:t> </w:t>
      </w:r>
      <w:r>
        <w:rPr/>
        <w:t>zástavby.</w:t>
      </w:r>
    </w:p>
    <w:p>
      <w:pPr>
        <w:pStyle w:val="BodyText"/>
        <w:spacing w:line="244" w:lineRule="auto" w:before="115"/>
        <w:ind w:left="555" w:right="131"/>
        <w:jc w:val="both"/>
      </w:pPr>
      <w:r>
        <w:rPr/>
        <w:t>Územní studie budou zpracovány v souladu s platným Územním plánem obce  Český  Krumlov.  Územní studie budou zpracovány v podrobnosti, která umožní pokračovat na jejím podkladě ve zpracování dalších stupňů projektové </w:t>
      </w:r>
      <w:r>
        <w:rPr>
          <w:spacing w:val="13"/>
        </w:rPr>
        <w:t> </w:t>
      </w:r>
      <w:r>
        <w:rPr/>
        <w:t>dokumentace.</w:t>
      </w:r>
    </w:p>
    <w:p>
      <w:pPr>
        <w:spacing w:after="0" w:line="244" w:lineRule="auto"/>
        <w:jc w:val="both"/>
        <w:sectPr>
          <w:pgSz w:w="11910" w:h="16840"/>
          <w:pgMar w:header="1445" w:footer="1589" w:top="1700" w:bottom="17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524" w:val="left" w:leader="none"/>
        </w:tabs>
        <w:spacing w:line="244" w:lineRule="auto" w:before="48" w:after="0"/>
        <w:ind w:left="555" w:right="128" w:hanging="418"/>
        <w:jc w:val="left"/>
      </w:pPr>
      <w:r>
        <w:rPr/>
        <w:t>Požadavky na formu obsahu a uspořádání textových a  grafických  částí územních</w:t>
      </w:r>
      <w:r>
        <w:rPr>
          <w:spacing w:val="10"/>
        </w:rPr>
        <w:t> </w:t>
      </w:r>
      <w:r>
        <w:rPr/>
        <w:t>studií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37" w:right="133"/>
      </w:pPr>
      <w:r>
        <w:rPr/>
        <w:t>Územní studie budou obsahovat textovou a grafickou  část.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0"/>
        <w:ind w:left="137" w:right="133"/>
        <w:rPr>
          <w:b w:val="0"/>
        </w:rPr>
      </w:pPr>
      <w:r>
        <w:rPr>
          <w:u w:val="single"/>
        </w:rPr>
        <w:t>Textová část bude obsahovat  zejména</w:t>
      </w:r>
      <w:r>
        <w:rPr>
          <w:b w:val="0"/>
          <w:u w:val="single"/>
        </w:rPr>
        <w:t>: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120" w:after="0"/>
        <w:ind w:left="413" w:right="0" w:hanging="276"/>
        <w:jc w:val="left"/>
        <w:rPr>
          <w:sz w:val="21"/>
        </w:rPr>
      </w:pPr>
      <w:r>
        <w:rPr>
          <w:sz w:val="21"/>
        </w:rPr>
        <w:t>základní údaje o</w:t>
      </w:r>
      <w:r>
        <w:rPr>
          <w:spacing w:val="29"/>
          <w:sz w:val="21"/>
        </w:rPr>
        <w:t> </w:t>
      </w:r>
      <w:r>
        <w:rPr>
          <w:sz w:val="21"/>
        </w:rPr>
        <w:t>ÚSVP,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5" w:after="0"/>
        <w:ind w:left="413" w:right="0" w:hanging="276"/>
        <w:jc w:val="left"/>
        <w:rPr>
          <w:sz w:val="21"/>
        </w:rPr>
      </w:pPr>
      <w:r>
        <w:rPr>
          <w:sz w:val="21"/>
        </w:rPr>
        <w:t>vymezení řešeného</w:t>
      </w:r>
      <w:r>
        <w:rPr>
          <w:spacing w:val="34"/>
          <w:sz w:val="21"/>
        </w:rPr>
        <w:t> </w:t>
      </w:r>
      <w:r>
        <w:rPr>
          <w:sz w:val="21"/>
        </w:rPr>
        <w:t>území,</w:t>
      </w:r>
    </w:p>
    <w:p>
      <w:pPr>
        <w:pStyle w:val="Heading2"/>
        <w:numPr>
          <w:ilvl w:val="0"/>
          <w:numId w:val="3"/>
        </w:numPr>
        <w:tabs>
          <w:tab w:pos="414" w:val="left" w:leader="none"/>
        </w:tabs>
        <w:spacing w:line="240" w:lineRule="auto" w:before="5" w:after="0"/>
        <w:ind w:left="413" w:right="0" w:hanging="276"/>
        <w:jc w:val="left"/>
      </w:pPr>
      <w:r>
        <w:rPr/>
        <w:t>koncepci uspořádání veřejného </w:t>
      </w:r>
      <w:r>
        <w:rPr>
          <w:spacing w:val="7"/>
        </w:rPr>
        <w:t> </w:t>
      </w:r>
      <w:r>
        <w:rPr/>
        <w:t>prostranství</w:t>
      </w:r>
    </w:p>
    <w:p>
      <w:pPr>
        <w:pStyle w:val="BodyText"/>
        <w:spacing w:line="242" w:lineRule="auto" w:before="5"/>
        <w:ind w:left="826" w:right="133" w:hanging="272"/>
      </w:pPr>
      <w:r>
        <w:rPr>
          <w:rFonts w:ascii="Times New Roman" w:hAnsi="Times New Roman"/>
        </w:rPr>
        <w:t>▫ </w:t>
      </w:r>
      <w:r>
        <w:rPr/>
        <w:t>analytická část (včetně vyhodnocení podkladů, případných doplňujících průzkumů a rozborů, současného stavu, majetkoprávních  vztahů)</w:t>
      </w:r>
    </w:p>
    <w:p>
      <w:pPr>
        <w:pStyle w:val="BodyText"/>
        <w:spacing w:line="244" w:lineRule="auto" w:before="2"/>
        <w:ind w:left="826" w:right="188" w:hanging="272"/>
      </w:pPr>
      <w:r>
        <w:rPr>
          <w:rFonts w:ascii="Times New Roman" w:hAnsi="Times New Roman"/>
        </w:rPr>
        <w:t>▫ </w:t>
      </w:r>
      <w:r>
        <w:rPr/>
        <w:t>širší vztahy (systém veřejných prostranství, zelená infrastruktura v sídle kompoziční  vztahy,  průhledy, pohledy,</w:t>
      </w:r>
      <w:r>
        <w:rPr>
          <w:spacing w:val="26"/>
        </w:rPr>
        <w:t> </w:t>
      </w:r>
      <w:r>
        <w:rPr/>
        <w:t>…)</w:t>
      </w:r>
    </w:p>
    <w:p>
      <w:pPr>
        <w:pStyle w:val="BodyText"/>
        <w:spacing w:line="244" w:lineRule="auto"/>
        <w:ind w:left="826" w:right="133" w:hanging="272"/>
      </w:pPr>
      <w:r>
        <w:rPr>
          <w:rFonts w:ascii="Times New Roman" w:hAnsi="Times New Roman"/>
        </w:rPr>
        <w:t>▫ </w:t>
      </w:r>
      <w:r>
        <w:rPr/>
        <w:t>podrobné architektonicko-urbanistické řešení (popis návrhu, včetně řešení zeleně, způsobu odvodnění ploch a vsakování srážek, bezbariérového řešení,  …),</w:t>
      </w:r>
    </w:p>
    <w:p>
      <w:pPr>
        <w:pStyle w:val="Heading2"/>
        <w:numPr>
          <w:ilvl w:val="0"/>
          <w:numId w:val="3"/>
        </w:numPr>
        <w:tabs>
          <w:tab w:pos="414" w:val="left" w:leader="none"/>
        </w:tabs>
        <w:spacing w:line="240" w:lineRule="auto" w:before="2" w:after="0"/>
        <w:ind w:left="413" w:right="0" w:hanging="276"/>
        <w:jc w:val="left"/>
      </w:pPr>
      <w:r>
        <w:rPr/>
        <w:t>architektonicko-stavební řešení  veřejného</w:t>
      </w:r>
      <w:r>
        <w:rPr>
          <w:spacing w:val="22"/>
        </w:rPr>
        <w:t> </w:t>
      </w:r>
      <w:r>
        <w:rPr/>
        <w:t>prostranství</w:t>
      </w:r>
    </w:p>
    <w:p>
      <w:pPr>
        <w:pStyle w:val="BodyText"/>
        <w:spacing w:before="5"/>
        <w:ind w:left="555" w:right="133"/>
      </w:pPr>
      <w:r>
        <w:rPr>
          <w:rFonts w:ascii="Times New Roman" w:hAnsi="Times New Roman"/>
        </w:rPr>
        <w:t>▫    </w:t>
      </w:r>
      <w:r>
        <w:rPr/>
        <w:t>architektonicko-stavební řešení parteru (zejména materiálové  řešení)</w:t>
      </w:r>
    </w:p>
    <w:p>
      <w:pPr>
        <w:pStyle w:val="BodyText"/>
        <w:spacing w:before="5"/>
        <w:ind w:left="555" w:right="133"/>
      </w:pPr>
      <w:r>
        <w:rPr>
          <w:rFonts w:ascii="Times New Roman" w:hAnsi="Times New Roman"/>
        </w:rPr>
        <w:t>▫    </w:t>
      </w:r>
      <w:r>
        <w:rPr/>
        <w:t>vybavení veřejného prostranství, drobná architektura,  mobiliář</w:t>
      </w:r>
    </w:p>
    <w:p>
      <w:pPr>
        <w:pStyle w:val="Heading2"/>
        <w:numPr>
          <w:ilvl w:val="0"/>
          <w:numId w:val="3"/>
        </w:numPr>
        <w:tabs>
          <w:tab w:pos="414" w:val="left" w:leader="none"/>
        </w:tabs>
        <w:spacing w:line="244" w:lineRule="auto" w:before="5" w:after="0"/>
        <w:ind w:left="413" w:right="129" w:hanging="276"/>
        <w:jc w:val="left"/>
      </w:pPr>
      <w:r>
        <w:rPr/>
        <w:t>koncepce objektů vymezujících veřejné prostranství nebo se nacházející uvnitř  veřejného  prostranství</w:t>
      </w:r>
    </w:p>
    <w:p>
      <w:pPr>
        <w:pStyle w:val="BodyText"/>
        <w:spacing w:line="254" w:lineRule="exact"/>
        <w:ind w:left="555" w:right="133"/>
      </w:pPr>
      <w:r>
        <w:rPr>
          <w:rFonts w:ascii="Times New Roman" w:hAnsi="Times New Roman"/>
        </w:rPr>
        <w:t>▫    </w:t>
      </w:r>
      <w:r>
        <w:rPr/>
        <w:t>analytická část</w:t>
      </w:r>
    </w:p>
    <w:p>
      <w:pPr>
        <w:pStyle w:val="BodyText"/>
        <w:spacing w:before="5"/>
        <w:ind w:left="555" w:right="133"/>
      </w:pPr>
      <w:r>
        <w:rPr>
          <w:rFonts w:ascii="Times New Roman" w:hAnsi="Times New Roman"/>
        </w:rPr>
        <w:t>▫    </w:t>
      </w:r>
      <w:r>
        <w:rPr/>
        <w:t>základní koncepce objektů</w:t>
      </w:r>
    </w:p>
    <w:p>
      <w:pPr>
        <w:pStyle w:val="BodyText"/>
        <w:spacing w:before="5"/>
        <w:ind w:left="555" w:right="133"/>
      </w:pPr>
      <w:r>
        <w:rPr>
          <w:rFonts w:ascii="Times New Roman" w:hAnsi="Times New Roman"/>
        </w:rPr>
        <w:t>▫    </w:t>
      </w:r>
      <w:r>
        <w:rPr/>
        <w:t>regulace objektů (funkční využití, prostorové uspořádání, přístupnost a využití přízemí,  …)</w:t>
      </w:r>
    </w:p>
    <w:p>
      <w:pPr>
        <w:pStyle w:val="Heading2"/>
        <w:numPr>
          <w:ilvl w:val="0"/>
          <w:numId w:val="3"/>
        </w:numPr>
        <w:tabs>
          <w:tab w:pos="414" w:val="left" w:leader="none"/>
        </w:tabs>
        <w:spacing w:line="240" w:lineRule="auto" w:before="5" w:after="0"/>
        <w:ind w:left="413" w:right="0" w:hanging="276"/>
        <w:jc w:val="left"/>
      </w:pPr>
      <w:r>
        <w:rPr/>
        <w:t>řešení dopravní</w:t>
      </w:r>
      <w:r>
        <w:rPr>
          <w:spacing w:val="39"/>
        </w:rPr>
        <w:t> </w:t>
      </w:r>
      <w:r>
        <w:rPr/>
        <w:t>infrastruktury</w:t>
      </w:r>
    </w:p>
    <w:p>
      <w:pPr>
        <w:pStyle w:val="BodyText"/>
        <w:spacing w:before="5"/>
        <w:ind w:left="555" w:right="133"/>
      </w:pPr>
      <w:r>
        <w:rPr>
          <w:rFonts w:ascii="Times New Roman" w:hAnsi="Times New Roman"/>
        </w:rPr>
        <w:t>▫    </w:t>
      </w:r>
      <w:r>
        <w:rPr/>
        <w:t>podrobné řešení dopravní infrastruktury ve vazbě na architektonicko-urbanistické  řešení</w:t>
      </w:r>
    </w:p>
    <w:p>
      <w:pPr>
        <w:pStyle w:val="Heading2"/>
        <w:numPr>
          <w:ilvl w:val="0"/>
          <w:numId w:val="3"/>
        </w:numPr>
        <w:tabs>
          <w:tab w:pos="414" w:val="left" w:leader="none"/>
        </w:tabs>
        <w:spacing w:line="240" w:lineRule="auto" w:before="5" w:after="0"/>
        <w:ind w:left="413" w:right="0" w:hanging="276"/>
        <w:jc w:val="left"/>
      </w:pPr>
      <w:r>
        <w:rPr/>
        <w:t>řešení technické</w:t>
      </w:r>
      <w:r>
        <w:rPr>
          <w:spacing w:val="38"/>
        </w:rPr>
        <w:t> </w:t>
      </w:r>
      <w:r>
        <w:rPr/>
        <w:t>infrastruktury</w:t>
      </w:r>
    </w:p>
    <w:p>
      <w:pPr>
        <w:pStyle w:val="BodyText"/>
        <w:spacing w:before="5"/>
        <w:ind w:left="555" w:right="133"/>
      </w:pPr>
      <w:r>
        <w:rPr>
          <w:rFonts w:ascii="Times New Roman" w:hAnsi="Times New Roman"/>
        </w:rPr>
        <w:t>▫    </w:t>
      </w:r>
      <w:r>
        <w:rPr/>
        <w:t>podrobné řešení technické infrastruktury ve vazbě na architektonicko-urbanistické   řešení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5" w:after="0"/>
        <w:ind w:left="413" w:right="0" w:hanging="276"/>
        <w:jc w:val="left"/>
        <w:rPr>
          <w:sz w:val="21"/>
        </w:rPr>
      </w:pPr>
      <w:r>
        <w:rPr>
          <w:sz w:val="21"/>
        </w:rPr>
        <w:t>vyhodnocení souladu ÚSVP s platným </w:t>
      </w:r>
      <w:r>
        <w:rPr>
          <w:spacing w:val="7"/>
          <w:sz w:val="21"/>
        </w:rPr>
        <w:t> </w:t>
      </w:r>
      <w:r>
        <w:rPr>
          <w:sz w:val="21"/>
        </w:rPr>
        <w:t>ÚPO,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5" w:after="0"/>
        <w:ind w:left="413" w:right="0" w:hanging="276"/>
        <w:jc w:val="left"/>
        <w:rPr>
          <w:sz w:val="21"/>
        </w:rPr>
      </w:pPr>
      <w:r>
        <w:rPr>
          <w:sz w:val="21"/>
        </w:rPr>
        <w:t>vyhodnocení souladu navrženého řešení s obecnými požadavky na užívání  </w:t>
      </w:r>
      <w:r>
        <w:rPr>
          <w:spacing w:val="8"/>
          <w:sz w:val="21"/>
        </w:rPr>
        <w:t> </w:t>
      </w:r>
      <w:r>
        <w:rPr>
          <w:sz w:val="21"/>
        </w:rPr>
        <w:t>území,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5" w:after="0"/>
        <w:ind w:left="413" w:right="0" w:hanging="276"/>
        <w:jc w:val="left"/>
        <w:rPr>
          <w:sz w:val="21"/>
        </w:rPr>
      </w:pPr>
      <w:r>
        <w:rPr>
          <w:sz w:val="21"/>
        </w:rPr>
        <w:t>údaje o počtu listů a počtu výkresů</w:t>
      </w:r>
      <w:r>
        <w:rPr>
          <w:spacing w:val="46"/>
          <w:sz w:val="21"/>
        </w:rPr>
        <w:t> </w:t>
      </w:r>
      <w:r>
        <w:rPr>
          <w:sz w:val="21"/>
        </w:rPr>
        <w:t>ÚSVP.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4" w:lineRule="auto" w:before="3" w:after="0"/>
        <w:ind w:left="413" w:right="132" w:hanging="276"/>
        <w:jc w:val="left"/>
        <w:rPr>
          <w:sz w:val="21"/>
        </w:rPr>
      </w:pPr>
      <w:r>
        <w:rPr>
          <w:b/>
          <w:sz w:val="21"/>
        </w:rPr>
        <w:t>podklad pro prezentaci </w:t>
      </w:r>
      <w:r>
        <w:rPr>
          <w:sz w:val="21"/>
        </w:rPr>
        <w:t>(plakát, leták, webová prezentace apod., který bude využitelný pro prezentaci politické reprezentaci, veřejnosti,</w:t>
      </w:r>
      <w:r>
        <w:rPr>
          <w:spacing w:val="46"/>
          <w:sz w:val="21"/>
        </w:rPr>
        <w:t> </w:t>
      </w:r>
      <w:r>
        <w:rPr>
          <w:sz w:val="21"/>
        </w:rPr>
        <w:t>…)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37" w:right="133"/>
      </w:pPr>
      <w:r>
        <w:rPr/>
        <w:t>V textové části bude podrobně popsáno navrhované řešení včetně jeho   odůvodnění.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4" w:lineRule="auto"/>
        <w:ind w:left="137" w:right="188"/>
      </w:pPr>
      <w:r>
        <w:rPr/>
        <w:t>Textová část může být dle potřeby doplněna tabulkami a kartogramy, kartodiagramy či dalšími  tematickými mapami s údaji doplňujícími a charakterizujícími navržené  </w:t>
      </w:r>
      <w:r>
        <w:rPr>
          <w:spacing w:val="2"/>
        </w:rPr>
        <w:t> </w:t>
      </w:r>
      <w:r>
        <w:rPr/>
        <w:t>řešení.</w:t>
      </w:r>
    </w:p>
    <w:p>
      <w:pPr>
        <w:spacing w:after="0" w:line="244" w:lineRule="auto"/>
        <w:sectPr>
          <w:pgSz w:w="11910" w:h="16840"/>
          <w:pgMar w:header="1445" w:footer="1589" w:top="1700" w:bottom="1780" w:left="124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ind w:left="137" w:right="133"/>
      </w:pPr>
      <w:r>
        <w:rPr>
          <w:u w:val="single"/>
        </w:rPr>
        <w:t>Grafická část bude obsahovat zejména: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23" w:val="left" w:leader="none"/>
          <w:tab w:pos="524" w:val="left" w:leader="none"/>
        </w:tabs>
        <w:spacing w:line="240" w:lineRule="auto" w:before="62" w:after="0"/>
        <w:ind w:left="555" w:right="0" w:hanging="418"/>
        <w:jc w:val="left"/>
        <w:rPr>
          <w:sz w:val="21"/>
        </w:rPr>
      </w:pPr>
      <w:r>
        <w:rPr>
          <w:sz w:val="21"/>
        </w:rPr>
        <w:t>Širší </w:t>
      </w:r>
      <w:r>
        <w:rPr>
          <w:spacing w:val="-2"/>
          <w:sz w:val="21"/>
        </w:rPr>
        <w:t>vztahy </w:t>
      </w:r>
      <w:r>
        <w:rPr>
          <w:sz w:val="21"/>
        </w:rPr>
        <w:t>(s vymezením řešeného území) </w:t>
      </w:r>
      <w:r>
        <w:rPr>
          <w:spacing w:val="1"/>
          <w:sz w:val="21"/>
        </w:rPr>
        <w:t> </w:t>
      </w:r>
      <w:r>
        <w:rPr>
          <w:sz w:val="21"/>
        </w:rPr>
        <w:t>–1:2000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  <w:tab w:pos="524" w:val="left" w:leader="none"/>
        </w:tabs>
        <w:spacing w:line="240" w:lineRule="auto" w:before="63" w:after="0"/>
        <w:ind w:left="524" w:right="0" w:hanging="387"/>
        <w:jc w:val="left"/>
        <w:rPr>
          <w:sz w:val="21"/>
        </w:rPr>
      </w:pPr>
      <w:r>
        <w:rPr>
          <w:spacing w:val="-3"/>
          <w:sz w:val="21"/>
        </w:rPr>
        <w:t>Ortofotomapa </w:t>
      </w:r>
      <w:r>
        <w:rPr>
          <w:sz w:val="21"/>
        </w:rPr>
        <w:t>(s vymezením řešeného území) </w:t>
      </w:r>
      <w:r>
        <w:rPr>
          <w:spacing w:val="22"/>
          <w:sz w:val="21"/>
        </w:rPr>
        <w:t> </w:t>
      </w:r>
      <w:r>
        <w:rPr>
          <w:sz w:val="21"/>
        </w:rPr>
        <w:t>–1:200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  <w:tab w:pos="524" w:val="left" w:leader="none"/>
        </w:tabs>
        <w:spacing w:line="240" w:lineRule="auto" w:before="63" w:after="0"/>
        <w:ind w:left="524" w:right="0" w:hanging="387"/>
        <w:jc w:val="left"/>
        <w:rPr>
          <w:sz w:val="21"/>
        </w:rPr>
      </w:pPr>
      <w:r>
        <w:rPr>
          <w:sz w:val="21"/>
        </w:rPr>
        <w:t>Výkres problémů (na základě aktuálního </w:t>
      </w:r>
      <w:r>
        <w:rPr>
          <w:spacing w:val="-3"/>
          <w:sz w:val="21"/>
        </w:rPr>
        <w:t>stavu) </w:t>
      </w:r>
      <w:r>
        <w:rPr>
          <w:spacing w:val="12"/>
          <w:sz w:val="21"/>
        </w:rPr>
        <w:t> </w:t>
      </w:r>
      <w:r>
        <w:rPr>
          <w:sz w:val="21"/>
        </w:rPr>
        <w:t>–1:200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  <w:tab w:pos="524" w:val="left" w:leader="none"/>
        </w:tabs>
        <w:spacing w:line="240" w:lineRule="auto" w:before="65" w:after="0"/>
        <w:ind w:left="524" w:right="0" w:hanging="387"/>
        <w:jc w:val="left"/>
        <w:rPr>
          <w:sz w:val="21"/>
        </w:rPr>
      </w:pPr>
      <w:r>
        <w:rPr>
          <w:sz w:val="21"/>
        </w:rPr>
        <w:t>Hlavní výkres (návrh)</w:t>
      </w:r>
      <w:r>
        <w:rPr>
          <w:spacing w:val="23"/>
          <w:sz w:val="21"/>
        </w:rPr>
        <w:t> </w:t>
      </w:r>
      <w:r>
        <w:rPr>
          <w:sz w:val="21"/>
        </w:rPr>
        <w:t>–1:200</w:t>
      </w:r>
    </w:p>
    <w:p>
      <w:pPr>
        <w:pStyle w:val="BodyText"/>
        <w:spacing w:line="244" w:lineRule="auto" w:before="5"/>
        <w:ind w:left="555" w:right="130"/>
        <w:jc w:val="both"/>
      </w:pPr>
      <w:r>
        <w:rPr/>
        <w:t>Tj. syntetický návrhový výkres. Míra podrobnosti a znázornění prvků závisí na složitosti řešeného území, resp. navrhovaného řešení. Ve složitějších případech může být rozložen do více výkresů. Základem výkresu je návrh architektonicko-urbanistického řešení - funkčního a prostorového návrhu, řešení problematiky zeleně a koncepce dopravy, není-li některé řešení součástí vlastního výkresu. Hlavní výkres bude zohledňovat zejména plochy znázorňující koncepci funkčního a prostorového řešení, resp. provozního režimu a vymezení ploch dle použitých  materiálů.</w:t>
      </w: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240" w:lineRule="auto" w:before="57" w:after="0"/>
        <w:ind w:left="524" w:right="0" w:hanging="320"/>
        <w:jc w:val="left"/>
        <w:rPr>
          <w:sz w:val="21"/>
        </w:rPr>
      </w:pPr>
      <w:r>
        <w:rPr>
          <w:sz w:val="21"/>
        </w:rPr>
        <w:t>Výkres zeleně</w:t>
      </w:r>
      <w:r>
        <w:rPr>
          <w:spacing w:val="29"/>
          <w:sz w:val="21"/>
        </w:rPr>
        <w:t> </w:t>
      </w:r>
      <w:r>
        <w:rPr>
          <w:sz w:val="21"/>
        </w:rPr>
        <w:t>–1:200</w:t>
      </w: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244" w:lineRule="auto" w:before="65" w:after="0"/>
        <w:ind w:left="555" w:right="1215" w:hanging="351"/>
        <w:jc w:val="left"/>
        <w:rPr>
          <w:sz w:val="21"/>
        </w:rPr>
      </w:pPr>
      <w:r>
        <w:rPr>
          <w:sz w:val="21"/>
        </w:rPr>
        <w:t>Výkres architektonicko-stavebního řešení, vč. dopravní a technické infrastruktury –1:200 (výkresy řešení dopravní a technické infrastruktury mohou být  </w:t>
      </w:r>
      <w:r>
        <w:rPr>
          <w:spacing w:val="2"/>
          <w:sz w:val="21"/>
        </w:rPr>
        <w:t> </w:t>
      </w:r>
      <w:r>
        <w:rPr>
          <w:sz w:val="21"/>
        </w:rPr>
        <w:t>samostatné)</w:t>
      </w: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240" w:lineRule="auto" w:before="57" w:after="0"/>
        <w:ind w:left="524" w:right="0" w:hanging="320"/>
        <w:jc w:val="left"/>
        <w:rPr>
          <w:sz w:val="21"/>
        </w:rPr>
      </w:pPr>
      <w:r>
        <w:rPr>
          <w:sz w:val="21"/>
        </w:rPr>
        <w:t>Řezy, případně řezopohledy –1 :</w:t>
      </w:r>
      <w:r>
        <w:rPr>
          <w:spacing w:val="45"/>
          <w:sz w:val="21"/>
        </w:rPr>
        <w:t> </w:t>
      </w:r>
      <w:r>
        <w:rPr>
          <w:sz w:val="21"/>
        </w:rPr>
        <w:t>200</w:t>
      </w: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240" w:lineRule="auto" w:before="63" w:after="0"/>
        <w:ind w:left="524" w:right="0" w:hanging="320"/>
        <w:jc w:val="left"/>
        <w:rPr>
          <w:sz w:val="21"/>
        </w:rPr>
      </w:pPr>
      <w:r>
        <w:rPr>
          <w:sz w:val="21"/>
        </w:rPr>
        <w:t>Detaily řešení parteru, drobných objektů a mobiliáře </w:t>
      </w:r>
      <w:r>
        <w:rPr>
          <w:spacing w:val="27"/>
          <w:sz w:val="21"/>
        </w:rPr>
        <w:t> </w:t>
      </w:r>
      <w:r>
        <w:rPr>
          <w:sz w:val="21"/>
        </w:rPr>
        <w:t>–1:20</w:t>
      </w: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240" w:lineRule="auto" w:before="65" w:after="0"/>
        <w:ind w:left="524" w:right="0" w:hanging="320"/>
        <w:jc w:val="left"/>
        <w:rPr>
          <w:sz w:val="21"/>
        </w:rPr>
      </w:pPr>
      <w:r>
        <w:rPr>
          <w:sz w:val="21"/>
        </w:rPr>
        <w:t>Vizualizace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2" w:lineRule="auto"/>
        <w:ind w:left="137" w:right="133"/>
      </w:pPr>
      <w:r>
        <w:rPr/>
        <w:t>S ohledem na přehlednost navrhovaného řešení je možné jednotlivá měřítka v rámci  vlastního upřesňujícího zadání územních studií  upravit.</w:t>
      </w:r>
    </w:p>
    <w:p>
      <w:pPr>
        <w:pStyle w:val="BodyText"/>
        <w:spacing w:before="7"/>
      </w:pPr>
    </w:p>
    <w:p>
      <w:pPr>
        <w:pStyle w:val="BodyText"/>
        <w:spacing w:before="1"/>
        <w:ind w:left="137" w:right="133"/>
      </w:pPr>
      <w:r>
        <w:rPr/>
        <w:t>Grafická část může obsahovat další výkresy či schémata dle  potřeby.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37" w:right="133"/>
      </w:pPr>
      <w:r>
        <w:rPr/>
        <w:t>Předpokládá se odevzdání souhrnného dokumentu, který bude vhodně kombinovat grafickou a textovou část do srozumitelného celku. Dokument může být členěn podle jednotlivých fází postupu  zpracování.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37" w:right="188"/>
      </w:pPr>
      <w:r>
        <w:rPr/>
        <w:t>V grafické části budou jednoznačně odlišeny vstupní informace  mapového  podkladu,  které  tvoří  nezbytné pozadí, od návrhu a jednoznačnou symbolikou bude odlišen současný stav a návrh  </w:t>
      </w:r>
      <w:r>
        <w:rPr>
          <w:spacing w:val="28"/>
        </w:rPr>
        <w:t> </w:t>
      </w:r>
      <w:r>
        <w:rPr/>
        <w:t>řešení.</w:t>
      </w:r>
    </w:p>
    <w:p>
      <w:pPr>
        <w:pStyle w:val="BodyText"/>
        <w:spacing w:before="156"/>
        <w:ind w:left="137" w:right="133"/>
      </w:pPr>
      <w:r>
        <w:rPr/>
        <w:t>Všechny ÚSVP budou zpracovány nad mapovým podkladem katastrální   mapy.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44" w:lineRule="auto"/>
        <w:ind w:left="137" w:right="133"/>
      </w:pPr>
      <w:r>
        <w:rPr/>
        <w:t>Všechny ÚSVP budou odevzdány v 8 vyhotoveních v tištěné podobě a ve 4 vyhotoveních v elektronické podobě na datovém nosiči: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57" w:after="0"/>
        <w:ind w:left="413" w:right="0" w:hanging="276"/>
        <w:jc w:val="left"/>
        <w:rPr>
          <w:sz w:val="21"/>
        </w:rPr>
      </w:pPr>
      <w:r>
        <w:rPr>
          <w:sz w:val="21"/>
        </w:rPr>
        <w:t>Textová část ve formátu DOC, PDF, </w:t>
      </w:r>
      <w:r>
        <w:rPr>
          <w:spacing w:val="5"/>
          <w:sz w:val="21"/>
        </w:rPr>
        <w:t> </w:t>
      </w:r>
      <w:r>
        <w:rPr>
          <w:sz w:val="21"/>
        </w:rPr>
        <w:t>XLS</w:t>
      </w:r>
    </w:p>
    <w:p>
      <w:pPr>
        <w:pStyle w:val="ListParagraph"/>
        <w:numPr>
          <w:ilvl w:val="0"/>
          <w:numId w:val="3"/>
        </w:numPr>
        <w:tabs>
          <w:tab w:pos="414" w:val="left" w:leader="none"/>
        </w:tabs>
        <w:spacing w:line="240" w:lineRule="auto" w:before="63" w:after="0"/>
        <w:ind w:left="413" w:right="0" w:hanging="276"/>
        <w:jc w:val="left"/>
        <w:rPr>
          <w:sz w:val="21"/>
        </w:rPr>
      </w:pPr>
      <w:r>
        <w:rPr>
          <w:sz w:val="21"/>
        </w:rPr>
        <w:t>Grafická</w:t>
      </w:r>
      <w:r>
        <w:rPr>
          <w:spacing w:val="16"/>
          <w:sz w:val="21"/>
        </w:rPr>
        <w:t> </w:t>
      </w:r>
      <w:r>
        <w:rPr>
          <w:sz w:val="21"/>
        </w:rPr>
        <w:t>část: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46" w:after="0"/>
        <w:ind w:left="838" w:right="0" w:hanging="350"/>
        <w:jc w:val="both"/>
        <w:rPr>
          <w:sz w:val="21"/>
        </w:rPr>
      </w:pPr>
      <w:r>
        <w:rPr>
          <w:sz w:val="21"/>
        </w:rPr>
        <w:t>nativní geografická data budou odevzdána buď ve formátu SHP nebo ve formátu DWG či  </w:t>
      </w:r>
      <w:r>
        <w:rPr>
          <w:spacing w:val="26"/>
          <w:sz w:val="21"/>
        </w:rPr>
        <w:t> </w:t>
      </w:r>
      <w:r>
        <w:rPr>
          <w:sz w:val="21"/>
        </w:rPr>
        <w:t>DGN</w:t>
      </w:r>
    </w:p>
    <w:p>
      <w:pPr>
        <w:pStyle w:val="ListParagraph"/>
        <w:numPr>
          <w:ilvl w:val="1"/>
          <w:numId w:val="3"/>
        </w:numPr>
        <w:tabs>
          <w:tab w:pos="838" w:val="left" w:leader="none"/>
          <w:tab w:pos="839" w:val="left" w:leader="none"/>
        </w:tabs>
        <w:spacing w:line="244" w:lineRule="auto" w:before="41" w:after="0"/>
        <w:ind w:left="838" w:right="131" w:hanging="350"/>
        <w:jc w:val="left"/>
        <w:rPr>
          <w:sz w:val="21"/>
        </w:rPr>
      </w:pPr>
      <w:r>
        <w:rPr>
          <w:sz w:val="21"/>
        </w:rPr>
        <w:t>výkresy v elektronické podobě budou odevzdány ve formátu MXD (v případě dat v SHP) nebo ve formátu DWG či DGN a rovněž ve formátu PDF a georeferencovaný  </w:t>
      </w:r>
      <w:r>
        <w:rPr>
          <w:spacing w:val="5"/>
          <w:sz w:val="21"/>
        </w:rPr>
        <w:t> </w:t>
      </w:r>
      <w:r>
        <w:rPr>
          <w:sz w:val="21"/>
        </w:rPr>
        <w:t>TIFF</w:t>
      </w:r>
    </w:p>
    <w:p>
      <w:pPr>
        <w:pStyle w:val="ListParagraph"/>
        <w:numPr>
          <w:ilvl w:val="1"/>
          <w:numId w:val="3"/>
        </w:numPr>
        <w:tabs>
          <w:tab w:pos="839" w:val="left" w:leader="none"/>
        </w:tabs>
        <w:spacing w:line="240" w:lineRule="auto" w:before="41" w:after="0"/>
        <w:ind w:left="838" w:right="0" w:hanging="350"/>
        <w:jc w:val="both"/>
        <w:rPr>
          <w:sz w:val="21"/>
        </w:rPr>
      </w:pPr>
      <w:r>
        <w:rPr>
          <w:sz w:val="21"/>
        </w:rPr>
        <w:t>tisková a elektronická podoba jednotlivých výkresů bude </w:t>
      </w:r>
      <w:r>
        <w:rPr>
          <w:spacing w:val="35"/>
          <w:sz w:val="21"/>
        </w:rPr>
        <w:t> </w:t>
      </w:r>
      <w:r>
        <w:rPr>
          <w:sz w:val="21"/>
        </w:rPr>
        <w:t>totožná</w:t>
      </w:r>
    </w:p>
    <w:p>
      <w:pPr>
        <w:spacing w:after="0" w:line="240" w:lineRule="auto"/>
        <w:jc w:val="both"/>
        <w:rPr>
          <w:sz w:val="21"/>
        </w:rPr>
        <w:sectPr>
          <w:footerReference w:type="default" r:id="rId13"/>
          <w:pgSz w:w="11910" w:h="16840"/>
          <w:pgMar w:footer="1589" w:header="1445" w:top="1700" w:bottom="1780" w:left="1240" w:right="1240"/>
          <w:pgNumType w:start="1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2"/>
        <w:ind w:left="137"/>
        <w:jc w:val="both"/>
      </w:pPr>
      <w:r>
        <w:rPr/>
        <w:t>Další požadavky</w:t>
      </w:r>
    </w:p>
    <w:p>
      <w:pPr>
        <w:pStyle w:val="BodyText"/>
        <w:spacing w:line="244" w:lineRule="auto" w:before="123"/>
        <w:ind w:left="137" w:right="130"/>
        <w:jc w:val="both"/>
      </w:pPr>
      <w:r>
        <w:rPr/>
        <w:t>Územní studie budou v průběhu zpracování konzultovány s pořizovatelem, objednatelem, příslušnými dotčenými orgány a institucemi a vlastníky, správci či provozovateli dopravní a technické   infrastruktury.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37" w:right="130"/>
        <w:jc w:val="both"/>
      </w:pPr>
      <w:r>
        <w:rPr>
          <w:b/>
        </w:rPr>
        <w:t>Analytická </w:t>
      </w:r>
      <w:r>
        <w:rPr>
          <w:b/>
          <w:spacing w:val="-3"/>
        </w:rPr>
        <w:t>fáze </w:t>
      </w:r>
      <w:r>
        <w:rPr>
          <w:b/>
        </w:rPr>
        <w:t>- </w:t>
      </w:r>
      <w:r>
        <w:rPr/>
        <w:t>Vlastní návrhové části bude dále předcházet důkladná analytická část, která bude zahrnovat zejména: </w:t>
      </w:r>
      <w:r>
        <w:rPr>
          <w:spacing w:val="-3"/>
        </w:rPr>
        <w:t>základní </w:t>
      </w:r>
      <w:r>
        <w:rPr/>
        <w:t>analýzu řešeného území (širší </w:t>
      </w:r>
      <w:r>
        <w:rPr>
          <w:spacing w:val="-5"/>
        </w:rPr>
        <w:t>vztahy, </w:t>
      </w:r>
      <w:r>
        <w:rPr>
          <w:spacing w:val="-3"/>
        </w:rPr>
        <w:t>prostorová </w:t>
      </w:r>
      <w:r>
        <w:rPr/>
        <w:t>analýza, analýza parteru, vybavenost, technická infrastruktura, </w:t>
      </w:r>
      <w:r>
        <w:rPr>
          <w:spacing w:val="-3"/>
        </w:rPr>
        <w:t>majetkoprávní </w:t>
      </w:r>
      <w:r>
        <w:rPr/>
        <w:t>vztahy), zhodnocení významných dřevin a zeleně v území vlastního sídliště, zpracování sociodemografické </w:t>
      </w:r>
      <w:r>
        <w:rPr>
          <w:spacing w:val="-4"/>
        </w:rPr>
        <w:t>analýzy, </w:t>
      </w:r>
      <w:r>
        <w:rPr>
          <w:spacing w:val="-2"/>
        </w:rPr>
        <w:t>prostorovou </w:t>
      </w:r>
      <w:r>
        <w:rPr>
          <w:spacing w:val="-4"/>
        </w:rPr>
        <w:t>SWOT </w:t>
      </w:r>
      <w:r>
        <w:rPr/>
        <w:t>analýzu. Na jejich základě </w:t>
      </w:r>
      <w:r>
        <w:rPr>
          <w:spacing w:val="-3"/>
        </w:rPr>
        <w:t>zpracovatel </w:t>
      </w:r>
      <w:r>
        <w:rPr/>
        <w:t>vyhotoví problémový výkres a </w:t>
      </w:r>
      <w:r>
        <w:rPr>
          <w:spacing w:val="-3"/>
        </w:rPr>
        <w:t>to </w:t>
      </w:r>
      <w:r>
        <w:rPr/>
        <w:t>v rozsahu řešeného území a upřesní problémy k řešení. Po jejich předání mohou být </w:t>
      </w:r>
      <w:r>
        <w:rPr>
          <w:spacing w:val="-3"/>
        </w:rPr>
        <w:t>pořizovatelem </w:t>
      </w:r>
      <w:r>
        <w:rPr/>
        <w:t>ve spolupráci s </w:t>
      </w:r>
      <w:r>
        <w:rPr>
          <w:spacing w:val="-3"/>
        </w:rPr>
        <w:t>objednavatelem  </w:t>
      </w:r>
      <w:r>
        <w:rPr/>
        <w:t>(do  30  dnů  od  </w:t>
      </w:r>
      <w:r>
        <w:rPr>
          <w:spacing w:val="-3"/>
        </w:rPr>
        <w:t>převzetí)  upřesněny  požadavky </w:t>
      </w:r>
      <w:r>
        <w:rPr/>
        <w:t>na řešení </w:t>
      </w:r>
      <w:r>
        <w:rPr>
          <w:spacing w:val="-3"/>
        </w:rPr>
        <w:t>územní </w:t>
      </w:r>
      <w:r>
        <w:rPr/>
        <w:t> studie.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2"/>
        <w:spacing w:before="0"/>
        <w:ind w:left="137"/>
        <w:jc w:val="both"/>
      </w:pPr>
      <w:r>
        <w:rPr>
          <w:u w:val="single"/>
        </w:rPr>
        <w:t>Předpokládaný harmonogram pořízení územních  studií</w:t>
      </w: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spacing w:before="62"/>
        <w:ind w:left="137" w:right="133"/>
      </w:pPr>
      <w:r>
        <w:rPr/>
        <w:t>Analytická část  - do 3 měsíců od zaslání písemné výzvy k plnění veřejné   zakázky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826" w:val="left" w:leader="none"/>
        </w:tabs>
        <w:ind w:left="487" w:right="133"/>
      </w:pPr>
      <w:r>
        <w:rPr>
          <w:rFonts w:ascii="Times New Roman" w:hAnsi="Times New Roman"/>
        </w:rPr>
        <w:t>▫</w:t>
        <w:tab/>
      </w:r>
      <w:r>
        <w:rPr/>
        <w:t>doplňující průzkumy a</w:t>
      </w:r>
      <w:r>
        <w:rPr>
          <w:spacing w:val="35"/>
        </w:rPr>
        <w:t> </w:t>
      </w:r>
      <w:r>
        <w:rPr/>
        <w:t>rozbory</w:t>
      </w:r>
    </w:p>
    <w:p>
      <w:pPr>
        <w:pStyle w:val="BodyText"/>
        <w:tabs>
          <w:tab w:pos="826" w:val="left" w:leader="none"/>
        </w:tabs>
        <w:spacing w:before="65"/>
        <w:ind w:left="487" w:right="133"/>
      </w:pPr>
      <w:r>
        <w:rPr>
          <w:rFonts w:ascii="Times New Roman" w:hAnsi="Times New Roman"/>
        </w:rPr>
        <w:t>▫</w:t>
        <w:tab/>
      </w:r>
      <w:r>
        <w:rPr/>
        <w:t>spoluúčast na úvodní diskusi s</w:t>
      </w:r>
      <w:r>
        <w:rPr>
          <w:spacing w:val="43"/>
        </w:rPr>
        <w:t> </w:t>
      </w:r>
      <w:r>
        <w:rPr/>
        <w:t>občany</w:t>
      </w:r>
    </w:p>
    <w:p>
      <w:pPr>
        <w:pStyle w:val="BodyText"/>
        <w:tabs>
          <w:tab w:pos="826" w:val="left" w:leader="none"/>
        </w:tabs>
        <w:spacing w:line="264" w:lineRule="auto" w:before="63"/>
        <w:ind w:left="838" w:right="134" w:hanging="351"/>
      </w:pPr>
      <w:r>
        <w:rPr>
          <w:rFonts w:ascii="Times New Roman" w:hAnsi="Times New Roman"/>
        </w:rPr>
        <w:t>▫</w:t>
        <w:tab/>
      </w:r>
      <w:r>
        <w:rPr/>
        <w:t>spolupráce  při  formulaci  upřesňujícího  zadání  -  požadavky  dané  tímto  </w:t>
      </w:r>
      <w:r>
        <w:rPr>
          <w:spacing w:val="-3"/>
        </w:rPr>
        <w:t>zadáním     </w:t>
      </w:r>
      <w:r>
        <w:rPr>
          <w:spacing w:val="17"/>
        </w:rPr>
        <w:t> </w:t>
      </w:r>
      <w:r>
        <w:rPr/>
        <w:t>budou </w:t>
      </w:r>
      <w:r>
        <w:rPr>
          <w:spacing w:val="16"/>
        </w:rPr>
        <w:t> </w:t>
      </w:r>
      <w:r>
        <w:rPr/>
        <w:t>dále</w:t>
      </w:r>
      <w:r>
        <w:rPr>
          <w:w w:val="102"/>
        </w:rPr>
        <w:t> </w:t>
      </w:r>
      <w:r>
        <w:rPr/>
        <w:t>upřesněny na základě analytické</w:t>
      </w:r>
      <w:r>
        <w:rPr>
          <w:spacing w:val="29"/>
        </w:rPr>
        <w:t> </w:t>
      </w:r>
      <w:r>
        <w:rPr>
          <w:spacing w:val="-4"/>
        </w:rPr>
        <w:t>faze</w:t>
      </w:r>
    </w:p>
    <w:p>
      <w:pPr>
        <w:pStyle w:val="BodyText"/>
        <w:tabs>
          <w:tab w:pos="826" w:val="left" w:leader="none"/>
        </w:tabs>
        <w:spacing w:before="59"/>
        <w:ind w:left="487" w:right="133"/>
      </w:pPr>
      <w:r>
        <w:rPr>
          <w:rFonts w:ascii="Times New Roman" w:hAnsi="Times New Roman"/>
        </w:rPr>
        <w:t>▫</w:t>
        <w:tab/>
      </w:r>
      <w:r>
        <w:rPr/>
        <w:t>koncept řešení území a diskuse s </w:t>
      </w:r>
      <w:r>
        <w:rPr>
          <w:spacing w:val="2"/>
        </w:rPr>
        <w:t> </w:t>
      </w:r>
      <w:r>
        <w:rPr/>
        <w:t>veřejností</w:t>
      </w:r>
    </w:p>
    <w:p>
      <w:pPr>
        <w:pStyle w:val="BodyText"/>
        <w:rPr>
          <w:sz w:val="22"/>
        </w:rPr>
      </w:pPr>
    </w:p>
    <w:p>
      <w:pPr>
        <w:pStyle w:val="BodyText"/>
        <w:spacing w:before="135"/>
        <w:ind w:left="137" w:right="133"/>
      </w:pPr>
      <w:r>
        <w:rPr/>
        <w:t>Hrubopis -  do 4 měsíců od předání připomínek k analytické  části</w:t>
      </w:r>
    </w:p>
    <w:p>
      <w:pPr>
        <w:pStyle w:val="BodyText"/>
        <w:tabs>
          <w:tab w:pos="838" w:val="left" w:leader="none"/>
        </w:tabs>
        <w:spacing w:before="120"/>
        <w:ind w:left="555" w:right="133"/>
      </w:pPr>
      <w:r>
        <w:rPr>
          <w:rFonts w:ascii="Times New Roman" w:hAnsi="Times New Roman"/>
        </w:rPr>
        <w:t>▫</w:t>
        <w:tab/>
      </w:r>
      <w:r>
        <w:rPr/>
        <w:t>koncept řešení území a diskuse s </w:t>
      </w:r>
      <w:r>
        <w:rPr>
          <w:spacing w:val="3"/>
        </w:rPr>
        <w:t> </w:t>
      </w:r>
      <w:r>
        <w:rPr/>
        <w:t>veřejností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37" w:right="133"/>
      </w:pPr>
      <w:r>
        <w:rPr/>
        <w:t>Čistopis  -  do 3 měsíců od předání připomínek ke zpracovanému   hrubopisu</w:t>
      </w:r>
    </w:p>
    <w:p>
      <w:pPr>
        <w:pStyle w:val="BodyText"/>
        <w:tabs>
          <w:tab w:pos="838" w:val="left" w:leader="none"/>
        </w:tabs>
        <w:spacing w:before="123"/>
        <w:ind w:left="555" w:right="133"/>
      </w:pPr>
      <w:r>
        <w:rPr>
          <w:rFonts w:ascii="Times New Roman" w:hAnsi="Times New Roman"/>
        </w:rPr>
        <w:t>▫</w:t>
        <w:tab/>
      </w:r>
      <w:r>
        <w:rPr/>
        <w:t>koncept řešení území a diskuse s </w:t>
      </w:r>
      <w:r>
        <w:rPr>
          <w:spacing w:val="3"/>
        </w:rPr>
        <w:t> </w:t>
      </w:r>
      <w:r>
        <w:rPr/>
        <w:t>veřejností</w:t>
      </w:r>
    </w:p>
    <w:sectPr>
      <w:pgSz w:w="11910" w:h="16840"/>
      <w:pgMar w:header="1445" w:footer="1589" w:top="1700" w:bottom="178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078888pt;margin-top:751.431152pt;width:9.450pt;height:12.75pt;mso-position-horizontal-relative:page;mso-position-vertical-relative:page;z-index:-7672" type="#_x0000_t202" filled="false" stroked="false">
          <v:textbox inset="0,0,0,0">
            <w:txbxContent>
              <w:p>
                <w:pPr>
                  <w:pStyle w:val="BodyText"/>
                  <w:spacing w:line="238" w:lineRule="exact"/>
                  <w:ind w:left="40"/>
                </w:pPr>
                <w:r>
                  <w:rPr/>
                  <w:fldChar w:fldCharType="begin"/>
                </w:r>
                <w:r>
                  <w:rPr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318878pt;margin-top:751.431152pt;width:15pt;height:12.75pt;mso-position-horizontal-relative:page;mso-position-vertical-relative:page;z-index:-7648" type="#_x0000_t202" filled="false" stroked="false">
          <v:textbox inset="0,0,0,0">
            <w:txbxContent>
              <w:p>
                <w:pPr>
                  <w:pStyle w:val="BodyText"/>
                  <w:spacing w:line="238" w:lineRule="exact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720" from="67.559998pt,85.610428pt" to="527.999987pt,85.610428pt" stroked="true" strokeweight=".48pt" strokecolor="#000000"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839874pt;margin-top:71.271423pt;width:242.9pt;height:12.75pt;mso-position-horizontal-relative:page;mso-position-vertical-relative:page;z-index:-7696" type="#_x0000_t202" filled="false" stroked="false">
          <v:textbox inset="0,0,0,0">
            <w:txbxContent>
              <w:p>
                <w:pPr>
                  <w:pStyle w:val="BodyText"/>
                  <w:spacing w:line="238" w:lineRule="exact"/>
                  <w:ind w:left="20"/>
                </w:pPr>
                <w:r>
                  <w:rPr/>
                  <w:t>Návrh zadání územních studií pro město Český  Krumlov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55" w:hanging="387"/>
        <w:jc w:val="right"/>
      </w:pPr>
      <w:rPr>
        <w:rFonts w:hint="default" w:ascii="Calibri" w:hAnsi="Calibri" w:eastAsia="Calibri" w:cs="Calibri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446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3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9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2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9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5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2" w:hanging="38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13" w:hanging="276"/>
      </w:pPr>
      <w:rPr>
        <w:rFonts w:hint="default" w:ascii="Wingdings" w:hAnsi="Wingdings" w:eastAsia="Wingdings" w:cs="Wingdings"/>
        <w:w w:val="102"/>
        <w:sz w:val="21"/>
        <w:szCs w:val="21"/>
      </w:rPr>
    </w:lvl>
    <w:lvl w:ilvl="1">
      <w:start w:val="0"/>
      <w:numFmt w:val="bullet"/>
      <w:lvlText w:val="-"/>
      <w:lvlJc w:val="left"/>
      <w:pPr>
        <w:ind w:left="838" w:hanging="351"/>
      </w:pPr>
      <w:rPr>
        <w:rFonts w:hint="default" w:ascii="Calibri" w:hAnsi="Calibri" w:eastAsia="Calibri" w:cs="Calibri"/>
        <w:w w:val="102"/>
        <w:sz w:val="21"/>
        <w:szCs w:val="21"/>
      </w:rPr>
    </w:lvl>
    <w:lvl w:ilvl="2">
      <w:start w:val="0"/>
      <w:numFmt w:val="bullet"/>
      <w:lvlText w:val="•"/>
      <w:lvlJc w:val="left"/>
      <w:pPr>
        <w:ind w:left="1793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7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1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5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09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3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7" w:hanging="35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5" w:hanging="387"/>
        <w:jc w:val="left"/>
      </w:pPr>
      <w:rPr>
        <w:rFonts w:hint="default" w:ascii="Calibri" w:hAnsi="Calibri" w:eastAsia="Calibri" w:cs="Calibri"/>
        <w:spacing w:val="0"/>
        <w:w w:val="101"/>
        <w:sz w:val="27"/>
        <w:szCs w:val="27"/>
      </w:rPr>
    </w:lvl>
    <w:lvl w:ilvl="1">
      <w:start w:val="0"/>
      <w:numFmt w:val="bullet"/>
      <w:lvlText w:val="•"/>
      <w:lvlJc w:val="left"/>
      <w:pPr>
        <w:ind w:left="1446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3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9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6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2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9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5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2" w:hanging="38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4" w:hanging="387"/>
        <w:jc w:val="left"/>
      </w:pPr>
      <w:rPr>
        <w:rFonts w:hint="default"/>
        <w:spacing w:val="0"/>
        <w:w w:val="102"/>
      </w:rPr>
    </w:lvl>
    <w:lvl w:ilvl="1">
      <w:start w:val="0"/>
      <w:numFmt w:val="bullet"/>
      <w:lvlText w:val="•"/>
      <w:lvlJc w:val="left"/>
      <w:pPr>
        <w:ind w:left="1410" w:hanging="3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1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1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2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72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3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3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4" w:hanging="38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48"/>
      <w:ind w:left="137" w:right="133"/>
      <w:outlineLvl w:val="1"/>
    </w:pPr>
    <w:rPr>
      <w:rFonts w:ascii="Calibri" w:hAnsi="Calibri" w:eastAsia="Calibri" w:cs="Calibri"/>
      <w:sz w:val="27"/>
      <w:szCs w:val="27"/>
    </w:rPr>
  </w:style>
  <w:style w:styleId="Heading2" w:type="paragraph">
    <w:name w:val="Heading 2"/>
    <w:basedOn w:val="Normal"/>
    <w:uiPriority w:val="1"/>
    <w:qFormat/>
    <w:pPr>
      <w:spacing w:before="62"/>
      <w:ind w:left="555"/>
      <w:outlineLvl w:val="2"/>
    </w:pPr>
    <w:rPr>
      <w:rFonts w:ascii="Calibri" w:hAnsi="Calibri" w:eastAsia="Calibri" w:cs="Calibri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5"/>
      <w:ind w:left="413" w:hanging="276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uur.cz/images/8stanoviska-a-metodiky/32-uzemni-studie-verejneho-prostranstvi-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oter" Target="footer2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jana.hermanova</dc:creator>
  <dc:title>(Microsoft Word - n\341vrh zad\341n\355 5ti \332S)</dc:title>
  <dcterms:created xsi:type="dcterms:W3CDTF">2017-05-16T11:17:32Z</dcterms:created>
  <dcterms:modified xsi:type="dcterms:W3CDTF">2017-05-16T11:17:32Z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2017-05-16T00:00:00Z</vt:filetime>
  </property>
</Properties>
</file>