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06D5C" w14:textId="77777777" w:rsidR="00367304" w:rsidRPr="00BC3570" w:rsidRDefault="00EF098D" w:rsidP="007A6A9A">
      <w:pPr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</w:rPr>
        <w:pict w14:anchorId="0626F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1pt;height:45.65pt">
            <v:imagedata r:id="rId7" o:title=""/>
          </v:shape>
        </w:pict>
      </w:r>
    </w:p>
    <w:p w14:paraId="75D01C6A" w14:textId="77777777" w:rsidR="007A6A9A" w:rsidRPr="00BC3570" w:rsidRDefault="007A6A9A" w:rsidP="007A6A9A">
      <w:pPr>
        <w:jc w:val="right"/>
        <w:rPr>
          <w:rFonts w:ascii="Arial" w:hAnsi="Arial"/>
          <w:b/>
          <w:sz w:val="28"/>
        </w:rPr>
      </w:pPr>
    </w:p>
    <w:p w14:paraId="4BDEFEFA" w14:textId="77777777" w:rsidR="007A6A9A" w:rsidRPr="00BC3570" w:rsidRDefault="007A6A9A" w:rsidP="007A6A9A">
      <w:pPr>
        <w:jc w:val="right"/>
        <w:rPr>
          <w:rFonts w:ascii="Arial" w:hAnsi="Arial"/>
          <w:b/>
          <w:sz w:val="28"/>
        </w:rPr>
      </w:pPr>
    </w:p>
    <w:p w14:paraId="44E88906" w14:textId="77777777" w:rsidR="007A6A9A" w:rsidRPr="00BC3570" w:rsidRDefault="007A6A9A">
      <w:pPr>
        <w:jc w:val="center"/>
        <w:rPr>
          <w:rFonts w:ascii="Arial" w:hAnsi="Arial"/>
          <w:b/>
          <w:sz w:val="28"/>
        </w:rPr>
      </w:pPr>
      <w:r w:rsidRPr="00BC3570">
        <w:rPr>
          <w:rFonts w:ascii="Arial" w:hAnsi="Arial"/>
          <w:b/>
          <w:sz w:val="28"/>
        </w:rPr>
        <w:t xml:space="preserve">Obchodní podmínky dohodce </w:t>
      </w:r>
    </w:p>
    <w:p w14:paraId="27DD7A9B" w14:textId="77777777" w:rsidR="007A6A9A" w:rsidRPr="00BC3570" w:rsidRDefault="007A6A9A">
      <w:pPr>
        <w:jc w:val="center"/>
        <w:rPr>
          <w:rFonts w:ascii="Arial" w:hAnsi="Arial"/>
          <w:b/>
          <w:sz w:val="28"/>
        </w:rPr>
      </w:pPr>
      <w:r w:rsidRPr="00BC3570">
        <w:rPr>
          <w:rFonts w:ascii="Arial" w:hAnsi="Arial"/>
          <w:b/>
          <w:sz w:val="28"/>
        </w:rPr>
        <w:t>pro obchodování Elektřiny a Plynu na ČMKB (dále „Obchodní podmínky“)</w:t>
      </w:r>
    </w:p>
    <w:p w14:paraId="76B55476" w14:textId="77777777" w:rsidR="007A6A9A" w:rsidRPr="00BC3570" w:rsidRDefault="007A6A9A">
      <w:pPr>
        <w:rPr>
          <w:rFonts w:ascii="Arial" w:hAnsi="Arial"/>
          <w:sz w:val="22"/>
        </w:rPr>
      </w:pPr>
    </w:p>
    <w:p w14:paraId="25763000" w14:textId="77777777" w:rsidR="007A6A9A" w:rsidRPr="00BC3570" w:rsidRDefault="007A6A9A">
      <w:pPr>
        <w:rPr>
          <w:rFonts w:ascii="Arial" w:hAnsi="Arial"/>
          <w:sz w:val="22"/>
        </w:rPr>
      </w:pPr>
    </w:p>
    <w:p w14:paraId="421C30AA" w14:textId="77777777" w:rsidR="007A6A9A" w:rsidRPr="00BC3570" w:rsidRDefault="007A6A9A">
      <w:pPr>
        <w:pStyle w:val="Nadpis1"/>
        <w:numPr>
          <w:ilvl w:val="0"/>
          <w:numId w:val="8"/>
        </w:numPr>
        <w:rPr>
          <w:rFonts w:ascii="Arial" w:hAnsi="Arial"/>
          <w:sz w:val="24"/>
          <w:u w:val="single"/>
        </w:rPr>
      </w:pPr>
      <w:r w:rsidRPr="00BC3570">
        <w:rPr>
          <w:rFonts w:ascii="Arial" w:hAnsi="Arial"/>
          <w:sz w:val="24"/>
          <w:u w:val="single"/>
        </w:rPr>
        <w:t>Úvod</w:t>
      </w:r>
    </w:p>
    <w:p w14:paraId="4E83BA3B" w14:textId="77777777" w:rsidR="007A6A9A" w:rsidRPr="00BC3570" w:rsidRDefault="007A6A9A">
      <w:pPr>
        <w:rPr>
          <w:rFonts w:ascii="Arial" w:hAnsi="Arial"/>
          <w:sz w:val="22"/>
        </w:rPr>
      </w:pPr>
    </w:p>
    <w:p w14:paraId="2E8C466C" w14:textId="77777777" w:rsidR="007A6A9A" w:rsidRPr="00BC3570" w:rsidRDefault="007A6A9A">
      <w:pPr>
        <w:pStyle w:val="Zkladntext"/>
        <w:numPr>
          <w:ilvl w:val="0"/>
          <w:numId w:val="6"/>
        </w:numPr>
        <w:rPr>
          <w:rFonts w:ascii="Arial" w:hAnsi="Arial"/>
        </w:rPr>
      </w:pPr>
      <w:r w:rsidRPr="00BC3570">
        <w:rPr>
          <w:rFonts w:ascii="Arial" w:hAnsi="Arial"/>
        </w:rPr>
        <w:t xml:space="preserve">Tyto Obchodní podmínky upravují činnosti a postupy Zprostředkovatele, jako dohodce ČMKB, a činnosti a postupy Zájemce, jako osoby oprávněné k Burzovním obchodům, při uzavírání Burzovních obchodů.  </w:t>
      </w:r>
    </w:p>
    <w:p w14:paraId="567660AB" w14:textId="77777777" w:rsidR="007A6A9A" w:rsidRPr="00BC3570" w:rsidRDefault="007A6A9A">
      <w:pPr>
        <w:pStyle w:val="Zkladntext"/>
        <w:rPr>
          <w:rFonts w:ascii="Arial" w:hAnsi="Arial"/>
        </w:rPr>
      </w:pPr>
    </w:p>
    <w:p w14:paraId="16676C3F" w14:textId="77777777" w:rsidR="007A6A9A" w:rsidRPr="00BC3570" w:rsidRDefault="007A6A9A">
      <w:pPr>
        <w:pStyle w:val="Zkladntext"/>
        <w:numPr>
          <w:ilvl w:val="0"/>
          <w:numId w:val="6"/>
        </w:numPr>
        <w:rPr>
          <w:rFonts w:ascii="Arial" w:hAnsi="Arial"/>
        </w:rPr>
      </w:pPr>
      <w:r w:rsidRPr="00BC3570">
        <w:rPr>
          <w:rFonts w:ascii="Arial" w:hAnsi="Arial"/>
        </w:rPr>
        <w:t>Právní vztahy mezi Zprostředkovatelem a Zájemcem se řídí uzavřenou Smlouvou a těmito Obchodními podmínkami.</w:t>
      </w:r>
    </w:p>
    <w:p w14:paraId="18B0647C" w14:textId="77777777" w:rsidR="007A6A9A" w:rsidRPr="00BC3570" w:rsidRDefault="007A6A9A">
      <w:pPr>
        <w:pStyle w:val="Zkladntext"/>
        <w:rPr>
          <w:rFonts w:ascii="Arial" w:hAnsi="Arial"/>
        </w:rPr>
      </w:pPr>
    </w:p>
    <w:p w14:paraId="420BBA58" w14:textId="77777777" w:rsidR="007A6A9A" w:rsidRPr="00BC3570" w:rsidRDefault="007A6A9A">
      <w:pPr>
        <w:pStyle w:val="Zkladntext"/>
        <w:rPr>
          <w:rFonts w:ascii="Arial" w:hAnsi="Arial"/>
        </w:rPr>
      </w:pPr>
    </w:p>
    <w:p w14:paraId="56F89EE1" w14:textId="77777777" w:rsidR="007A6A9A" w:rsidRPr="00BC3570" w:rsidRDefault="007A6A9A">
      <w:pPr>
        <w:pStyle w:val="Nadpis1"/>
        <w:numPr>
          <w:ilvl w:val="0"/>
          <w:numId w:val="8"/>
        </w:numPr>
        <w:rPr>
          <w:rFonts w:ascii="Arial" w:hAnsi="Arial"/>
          <w:sz w:val="24"/>
          <w:u w:val="single"/>
        </w:rPr>
      </w:pPr>
      <w:r w:rsidRPr="00BC3570">
        <w:rPr>
          <w:rFonts w:ascii="Arial" w:hAnsi="Arial"/>
          <w:sz w:val="24"/>
          <w:u w:val="single"/>
        </w:rPr>
        <w:t>Evidence Zájemce v Evidenci účastníků</w:t>
      </w:r>
    </w:p>
    <w:p w14:paraId="1AF40092" w14:textId="77777777" w:rsidR="007A6A9A" w:rsidRPr="00BC3570" w:rsidRDefault="007A6A9A">
      <w:pPr>
        <w:rPr>
          <w:rFonts w:ascii="Arial" w:hAnsi="Arial"/>
          <w:sz w:val="22"/>
        </w:rPr>
      </w:pPr>
    </w:p>
    <w:p w14:paraId="1DC6AAEC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Povinnosti Zájemce při jeho evidenci jako osoby oprávněné k Burzovním obchodům upravují Pravidla evidence účastníků obchodování (dále „Pravidla evidence“).  </w:t>
      </w:r>
    </w:p>
    <w:p w14:paraId="6997D6F4" w14:textId="77777777" w:rsidR="007A6A9A" w:rsidRPr="00BC3570" w:rsidRDefault="007A6A9A">
      <w:pPr>
        <w:rPr>
          <w:rFonts w:ascii="Arial" w:hAnsi="Arial"/>
          <w:sz w:val="22"/>
        </w:rPr>
      </w:pPr>
    </w:p>
    <w:p w14:paraId="011E49D4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Dohodce předkládá v souladu s Pravidly evidence v Registračnímu centru ČMKB dokumenty požadované pro zařazení Zájemce do Evidence účastníků jako oprávněného subjektu obchodování.  </w:t>
      </w:r>
    </w:p>
    <w:p w14:paraId="0202EECF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459035CB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Zájemce je povinen doručit Dohodci veškeré dokumenty požadované Pravidly evidence. Zájemce ručí za úplnost a pravdivost doručených dokumentů.</w:t>
      </w:r>
    </w:p>
    <w:p w14:paraId="486C93BC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086C5C81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Dohodce je oprávněn provést kontrolu předložených dokumentů a v případě zjištění nedostatků je oprávněn odmítnout převzetí dokumentů, resp. požadovat po Zájemci doplnění dokumentů tak, aby splňovaly požadavky uvedené v Pravidlech evidence.</w:t>
      </w:r>
    </w:p>
    <w:p w14:paraId="40258619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7A9640A0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Dohodce je povinen předložit do Registračního centra ČMKB</w:t>
      </w:r>
      <w:r>
        <w:rPr>
          <w:rFonts w:ascii="Arial" w:hAnsi="Arial"/>
          <w:sz w:val="22"/>
        </w:rPr>
        <w:t xml:space="preserve"> kompletní dokumenty, které mu </w:t>
      </w:r>
      <w:r w:rsidRPr="00BC3570">
        <w:rPr>
          <w:rFonts w:ascii="Arial" w:hAnsi="Arial"/>
          <w:sz w:val="22"/>
        </w:rPr>
        <w:t>Zájemce předal a které splňují požadavky uvedené v Pravidlech evidence, a to v termínu nejpozději do 2 pracovních dnů po jejich převzetí.</w:t>
      </w:r>
    </w:p>
    <w:p w14:paraId="713A2844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5F27B981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Pokud si Registrační centrum ČMKB vyžádá v souladu s Pravid</w:t>
      </w:r>
      <w:r>
        <w:rPr>
          <w:rFonts w:ascii="Arial" w:hAnsi="Arial"/>
          <w:sz w:val="22"/>
        </w:rPr>
        <w:t>ly evidence další dokumenty, je </w:t>
      </w:r>
      <w:r w:rsidRPr="00BC3570">
        <w:rPr>
          <w:rFonts w:ascii="Arial" w:hAnsi="Arial"/>
          <w:sz w:val="22"/>
        </w:rPr>
        <w:t xml:space="preserve">Dohodce povinen o této skutečnosti neprodleně informovat Zájemce. </w:t>
      </w:r>
    </w:p>
    <w:p w14:paraId="12046CFF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4ED63207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Dohodce je po vzájemné dohodě se Zájemcem oprávněn uhradit za Zájemce poplatek za podání žádosti Zájemce o zařazení do Evidenci účastníků a poplatek za udělení vstupenky na burzovní shromáždění dle Poplatkového řádu ČMKB. Dohodcem uhrazené poplatky za Zájemce budou Zájemci následně přeúčtovány a Zájemce je povinen tyto poplatky Dohodci uhradit.</w:t>
      </w:r>
    </w:p>
    <w:p w14:paraId="0A4A03A6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547AA742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Dohodce neručí za kladné vyhodnocení předkládaných dokumentů Registračním centrem Českomoravské komoditní burzy Kladno a za zařazení Zájemce do Evidence účastníků. </w:t>
      </w:r>
    </w:p>
    <w:p w14:paraId="006F7269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4E84DB0B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lastRenderedPageBreak/>
        <w:t>Dohodce je povinen neprodleně informovat Zájemce o výsledku vyhodnocení předkládaných dokumentů Registračním centrem ČMKB a o jeho zařazení do Evidence účastníků. Oficiální informaci o výsledku procesu evidence v Registračním centru ČMKB zasílá zájemci ČMKB.</w:t>
      </w:r>
    </w:p>
    <w:p w14:paraId="59D417FA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38A8B51A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Zájemce je povinen v souladu s Pravidly evidence oznámit Dohodci veškeré případné změny v údajích vedených o Zájemci v Evidenci účastníků. Jedná se zejména o změnu obchodní firmy nebo sídla, změnu ve složení statutárního orgánu a zrušení nebo změna bankovního účtu. </w:t>
      </w:r>
    </w:p>
    <w:p w14:paraId="3B3873C6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7FBE37C9" w14:textId="77777777" w:rsidR="007A6A9A" w:rsidRPr="00BC3570" w:rsidRDefault="007A6A9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Dohodce je oprávněn odmítnout zaevidovat Zájemce v Registračnímu centru ČMKB, má-li dle § 30 zák. č. 229/1992 Sb., důvodné podezření, že Zájemce nepostupuje v souladu s právními nebo burzovními předpisy nebo je platebně neschopný.</w:t>
      </w:r>
    </w:p>
    <w:p w14:paraId="3F6F1773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23E37351" w14:textId="77777777" w:rsidR="007A6A9A" w:rsidRPr="00BC3570" w:rsidRDefault="007A6A9A">
      <w:pPr>
        <w:pStyle w:val="Zkladntextodsazen2"/>
        <w:ind w:left="0"/>
        <w:rPr>
          <w:rFonts w:ascii="Arial" w:hAnsi="Arial"/>
          <w:sz w:val="22"/>
        </w:rPr>
      </w:pPr>
    </w:p>
    <w:p w14:paraId="67CBAA6A" w14:textId="77777777" w:rsidR="007A6A9A" w:rsidRPr="00BC3570" w:rsidRDefault="007A6A9A">
      <w:pPr>
        <w:pStyle w:val="Nadpis4"/>
        <w:rPr>
          <w:rFonts w:ascii="Arial" w:hAnsi="Arial"/>
        </w:rPr>
      </w:pPr>
      <w:r w:rsidRPr="00BC3570">
        <w:rPr>
          <w:rFonts w:ascii="Arial" w:hAnsi="Arial"/>
        </w:rPr>
        <w:t>Postupy a činnosti při obchodování Elektřiny a Plynu na elektronickém parketu ČMKB</w:t>
      </w:r>
    </w:p>
    <w:p w14:paraId="0B5582FF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6A8F25FC" w14:textId="77777777" w:rsidR="007A6A9A" w:rsidRPr="00BC3570" w:rsidRDefault="007A6A9A">
      <w:pPr>
        <w:numPr>
          <w:ilvl w:val="0"/>
          <w:numId w:val="33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Zájemce, který se chce zúčastnit obchodování Elektřiny a Plynu na elektronickém parketu ČMKB, předá Dohodci písemný příkaz k obchodování na ČMKB (dále „Příkaz k obchodování“). Příkaz k obchodování, doručený dle čl. IX Smlouvy, musí být dobře čitelný a ve stanoveném provedení.</w:t>
      </w:r>
    </w:p>
    <w:p w14:paraId="10B11AFA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7564A7E8" w14:textId="77777777" w:rsidR="007A6A9A" w:rsidRPr="00BC3570" w:rsidRDefault="007A6A9A">
      <w:pPr>
        <w:pStyle w:val="Zkladntext2"/>
        <w:numPr>
          <w:ilvl w:val="0"/>
          <w:numId w:val="33"/>
        </w:numPr>
        <w:jc w:val="both"/>
        <w:rPr>
          <w:rFonts w:ascii="Arial" w:hAnsi="Arial"/>
        </w:rPr>
      </w:pPr>
      <w:r w:rsidRPr="00BC3570">
        <w:rPr>
          <w:rFonts w:ascii="Arial" w:hAnsi="Arial"/>
        </w:rPr>
        <w:t>Dohodce je oprávněn odmítnout Příkaz k obchodování, má-li dle § 30 zák. č. 229/1992 Sb., důvodné podezření, že Zájemce nepostupuje v souladu s právními nebo burzovními předpisy nebo je platebně neschopný.</w:t>
      </w:r>
    </w:p>
    <w:p w14:paraId="318A6D3D" w14:textId="77777777" w:rsidR="007A6A9A" w:rsidRPr="00BC3570" w:rsidRDefault="007A6A9A">
      <w:pPr>
        <w:ind w:left="360"/>
        <w:jc w:val="both"/>
        <w:rPr>
          <w:rFonts w:ascii="Arial" w:hAnsi="Arial"/>
          <w:sz w:val="22"/>
        </w:rPr>
      </w:pPr>
    </w:p>
    <w:p w14:paraId="268D7DAD" w14:textId="77777777" w:rsidR="007A6A9A" w:rsidRPr="00BC3570" w:rsidRDefault="007A6A9A">
      <w:pPr>
        <w:numPr>
          <w:ilvl w:val="0"/>
          <w:numId w:val="33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Den konání burzovního shromáždění, v jehož rámci se chce Zájemce zúčastnit obchodování, je dále označen jako termín T a ostatní termíny jsou vztaženy k tomuto termínu, přičemž mínus 1 až n jsou kalendářní dny přede dnem konání burzovního shromáždění. </w:t>
      </w:r>
    </w:p>
    <w:p w14:paraId="1D1B1863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33834CD5" w14:textId="77777777" w:rsidR="007A6A9A" w:rsidRPr="00BC3570" w:rsidRDefault="007A6A9A">
      <w:pPr>
        <w:numPr>
          <w:ilvl w:val="0"/>
          <w:numId w:val="33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Příkaz k obchodování, jehož výsledkem je podání přihlášky k vyhlášení aukce (dále „Příkaz k organizování aukce“), musí Zájemce předat Dohodci vždy nejpozději do 12.00 hodin v den T-</w:t>
      </w:r>
      <w:r w:rsidR="00FF555F">
        <w:rPr>
          <w:rFonts w:ascii="Arial" w:hAnsi="Arial"/>
          <w:sz w:val="22"/>
        </w:rPr>
        <w:t>4</w:t>
      </w:r>
      <w:r w:rsidRPr="00BC3570">
        <w:rPr>
          <w:rFonts w:ascii="Arial" w:hAnsi="Arial"/>
          <w:sz w:val="22"/>
        </w:rPr>
        <w:t>.</w:t>
      </w:r>
    </w:p>
    <w:p w14:paraId="4F274A11" w14:textId="77777777" w:rsidR="007A6A9A" w:rsidRPr="00BC3570" w:rsidRDefault="007A6A9A" w:rsidP="007A6A9A">
      <w:pPr>
        <w:jc w:val="both"/>
        <w:rPr>
          <w:rFonts w:ascii="Arial" w:hAnsi="Arial"/>
          <w:sz w:val="22"/>
        </w:rPr>
      </w:pPr>
    </w:p>
    <w:p w14:paraId="31513AFA" w14:textId="77777777" w:rsidR="007A6A9A" w:rsidRPr="00BC3570" w:rsidRDefault="007A6A9A" w:rsidP="007A6A9A">
      <w:pPr>
        <w:numPr>
          <w:ilvl w:val="0"/>
          <w:numId w:val="33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Veškeré změny, resp. rušení, Příkazu k organizování aukce může Zájemce zadávat výhradně ze závažných důvodů. Zájemce je oprávněn měnit svů</w:t>
      </w:r>
      <w:r>
        <w:rPr>
          <w:rFonts w:ascii="Arial" w:hAnsi="Arial"/>
          <w:sz w:val="22"/>
        </w:rPr>
        <w:t>j Příkaz k organizování aukce i </w:t>
      </w:r>
      <w:r w:rsidRPr="00BC3570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 </w:t>
      </w:r>
      <w:r w:rsidRPr="00BC3570">
        <w:rPr>
          <w:rFonts w:ascii="Arial" w:hAnsi="Arial"/>
          <w:sz w:val="22"/>
        </w:rPr>
        <w:t>jejím průběhu aukce, ale pouze tehdy, když se změna týká limitu vyvolávací ceny v případě holandské dražby. Tato změna musí být provedena v souladu s čl. IX Smlouvy, a to písemnou formou s osobním doručením, přičemž platí, že tato písemnost musí být označena podpisem oprávněné osoby dle čl. IX Smlouvy. Dohodce neručí za to, že změna Příkazu k organizování aukce doručená jeho Makléři v průběhu konání aukce bude Makléřem uplatněna.</w:t>
      </w:r>
    </w:p>
    <w:p w14:paraId="145069A1" w14:textId="77777777" w:rsidR="007A6A9A" w:rsidRPr="00BC3570" w:rsidRDefault="007A6A9A">
      <w:pPr>
        <w:rPr>
          <w:rFonts w:ascii="Arial" w:hAnsi="Arial"/>
          <w:sz w:val="22"/>
        </w:rPr>
      </w:pPr>
    </w:p>
    <w:p w14:paraId="6BF11309" w14:textId="77777777" w:rsidR="007A6A9A" w:rsidRPr="00BC3570" w:rsidRDefault="007A6A9A">
      <w:pPr>
        <w:numPr>
          <w:ilvl w:val="0"/>
          <w:numId w:val="33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Dohodce informuje Zájemce po skončení obchodování o výsledcích obchodování. </w:t>
      </w:r>
    </w:p>
    <w:p w14:paraId="1A744066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78D753E8" w14:textId="77777777" w:rsidR="007A6A9A" w:rsidRPr="00BC3570" w:rsidRDefault="007A6A9A">
      <w:pPr>
        <w:numPr>
          <w:ilvl w:val="0"/>
          <w:numId w:val="33"/>
        </w:num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V případě uzavření Burzovního obchodu je Dohodce oprávněn a povinen podepsat za Zájemce v Registračním centru ČMKB příslušné závěrkové listy.         </w:t>
      </w:r>
    </w:p>
    <w:p w14:paraId="77BAD6BA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55CC89B1" w14:textId="77777777" w:rsidR="007A6A9A" w:rsidRPr="00BC3570" w:rsidRDefault="007A6A9A">
      <w:pPr>
        <w:jc w:val="both"/>
        <w:rPr>
          <w:rFonts w:ascii="Arial" w:hAnsi="Arial"/>
          <w:sz w:val="22"/>
        </w:rPr>
      </w:pPr>
    </w:p>
    <w:p w14:paraId="22CB2957" w14:textId="77777777" w:rsidR="007A6A9A" w:rsidRPr="00BC3570" w:rsidRDefault="007A6A9A" w:rsidP="007A6A9A">
      <w:pPr>
        <w:pStyle w:val="Nadpis4"/>
        <w:numPr>
          <w:ilvl w:val="0"/>
          <w:numId w:val="0"/>
        </w:numPr>
        <w:ind w:left="720"/>
        <w:rPr>
          <w:rFonts w:ascii="Arial" w:hAnsi="Arial"/>
        </w:rPr>
      </w:pPr>
    </w:p>
    <w:p w14:paraId="66FDA081" w14:textId="77777777" w:rsidR="007A6A9A" w:rsidRPr="00BC3570" w:rsidRDefault="007A6A9A" w:rsidP="007A6A9A">
      <w:pPr>
        <w:rPr>
          <w:rFonts w:ascii="Arial" w:hAnsi="Arial"/>
        </w:rPr>
      </w:pPr>
    </w:p>
    <w:p w14:paraId="2B037405" w14:textId="77777777" w:rsidR="007A6A9A" w:rsidRPr="00BC3570" w:rsidRDefault="007A6A9A" w:rsidP="007A6A9A">
      <w:pPr>
        <w:rPr>
          <w:rFonts w:ascii="Arial" w:hAnsi="Arial"/>
        </w:rPr>
      </w:pPr>
    </w:p>
    <w:p w14:paraId="3E86A0A9" w14:textId="77777777" w:rsidR="007A6A9A" w:rsidRPr="00BC3570" w:rsidRDefault="007A6A9A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4DCE39C0" w14:textId="77777777" w:rsidR="007A6A9A" w:rsidRPr="00BC3570" w:rsidRDefault="007A6A9A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7B8A6A17" w14:textId="77777777" w:rsidR="007A6A9A" w:rsidRPr="00BC3570" w:rsidRDefault="007A6A9A">
      <w:pPr>
        <w:pStyle w:val="Nadpis4"/>
        <w:rPr>
          <w:rFonts w:ascii="Arial" w:hAnsi="Arial"/>
        </w:rPr>
      </w:pPr>
      <w:r w:rsidRPr="00BC3570">
        <w:rPr>
          <w:rFonts w:ascii="Arial" w:hAnsi="Arial"/>
        </w:rPr>
        <w:t>Závěrečná ustanovení</w:t>
      </w:r>
    </w:p>
    <w:p w14:paraId="0814F16A" w14:textId="77777777" w:rsidR="007A6A9A" w:rsidRPr="00BC3570" w:rsidRDefault="007A6A9A">
      <w:pPr>
        <w:pStyle w:val="Zkladntext2"/>
        <w:rPr>
          <w:rFonts w:ascii="Arial" w:hAnsi="Arial"/>
        </w:rPr>
      </w:pPr>
    </w:p>
    <w:p w14:paraId="267E2921" w14:textId="77777777" w:rsidR="007A6A9A" w:rsidRPr="00BC3570" w:rsidRDefault="007A6A9A">
      <w:pPr>
        <w:pStyle w:val="Zkladntext2"/>
      </w:pPr>
      <w:r w:rsidRPr="00BC3570">
        <w:rPr>
          <w:rFonts w:ascii="Arial" w:hAnsi="Arial"/>
        </w:rPr>
        <w:t>Tyto Obchodní podmínky vstoupily v platnost dnem podpisu oběma smluvními stranami.</w:t>
      </w:r>
    </w:p>
    <w:p w14:paraId="50FCA49D" w14:textId="77777777" w:rsidR="007A6A9A" w:rsidRPr="00BC3570" w:rsidRDefault="007A6A9A">
      <w:pPr>
        <w:rPr>
          <w:rFonts w:ascii="Arial" w:hAnsi="Arial"/>
          <w:sz w:val="22"/>
        </w:rPr>
      </w:pPr>
    </w:p>
    <w:p w14:paraId="0743FBC5" w14:textId="77777777" w:rsidR="007A6A9A" w:rsidRPr="00BC3570" w:rsidRDefault="007A6A9A">
      <w:pPr>
        <w:rPr>
          <w:sz w:val="22"/>
        </w:rPr>
      </w:pPr>
    </w:p>
    <w:p w14:paraId="561E7B26" w14:textId="77777777" w:rsidR="007A6A9A" w:rsidRPr="00BC3570" w:rsidRDefault="007A6A9A">
      <w:pPr>
        <w:rPr>
          <w:rFonts w:ascii="Arial" w:hAnsi="Arial"/>
          <w:sz w:val="22"/>
        </w:rPr>
      </w:pPr>
    </w:p>
    <w:p w14:paraId="6A673EB0" w14:textId="77777777" w:rsidR="007A6A9A" w:rsidRPr="00BC3570" w:rsidRDefault="007A6A9A">
      <w:pPr>
        <w:rPr>
          <w:rFonts w:ascii="Arial" w:hAnsi="Arial"/>
          <w:sz w:val="22"/>
        </w:rPr>
      </w:pPr>
    </w:p>
    <w:p w14:paraId="15DCD6A2" w14:textId="77777777" w:rsidR="007A6A9A" w:rsidRPr="00BC3570" w:rsidRDefault="007A6A9A">
      <w:pPr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 </w:t>
      </w:r>
      <w:r w:rsidRPr="00BC3570">
        <w:rPr>
          <w:rFonts w:ascii="Arial" w:hAnsi="Arial"/>
          <w:sz w:val="22"/>
        </w:rPr>
        <w:t>Kladně</w:t>
      </w:r>
      <w:r>
        <w:rPr>
          <w:rFonts w:ascii="Arial" w:hAnsi="Arial"/>
          <w:sz w:val="22"/>
        </w:rPr>
        <w:t>,</w:t>
      </w:r>
      <w:r w:rsidRPr="00BC3570">
        <w:rPr>
          <w:rFonts w:ascii="Arial" w:hAnsi="Arial"/>
          <w:sz w:val="22"/>
        </w:rPr>
        <w:t xml:space="preserve"> dne ................. </w:t>
      </w:r>
      <w:r w:rsidRPr="00BC3570">
        <w:rPr>
          <w:rFonts w:ascii="Arial" w:hAnsi="Arial"/>
          <w:sz w:val="22"/>
        </w:rPr>
        <w:tab/>
      </w:r>
      <w:r w:rsidRPr="00BC3570">
        <w:rPr>
          <w:rFonts w:ascii="Arial" w:hAnsi="Arial"/>
          <w:sz w:val="22"/>
        </w:rPr>
        <w:tab/>
      </w:r>
      <w:r w:rsidRPr="00BC3570">
        <w:rPr>
          <w:rFonts w:ascii="Arial" w:hAnsi="Arial"/>
          <w:sz w:val="22"/>
        </w:rPr>
        <w:tab/>
      </w:r>
      <w:r w:rsidRPr="00BC3570">
        <w:rPr>
          <w:rFonts w:ascii="Arial" w:hAnsi="Arial"/>
          <w:sz w:val="22"/>
        </w:rPr>
        <w:tab/>
        <w:t>V</w:t>
      </w:r>
      <w:r w:rsidR="00FF555F">
        <w:rPr>
          <w:rFonts w:ascii="Arial" w:hAnsi="Arial"/>
          <w:sz w:val="22"/>
        </w:rPr>
        <w:t> Praze,</w:t>
      </w:r>
      <w:r>
        <w:rPr>
          <w:rFonts w:ascii="Arial" w:hAnsi="Arial"/>
          <w:sz w:val="22"/>
        </w:rPr>
        <w:t xml:space="preserve"> </w:t>
      </w:r>
      <w:r w:rsidRPr="00BC3570">
        <w:rPr>
          <w:rFonts w:ascii="Arial" w:hAnsi="Arial"/>
          <w:sz w:val="22"/>
        </w:rPr>
        <w:t>dne ....................</w:t>
      </w:r>
    </w:p>
    <w:p w14:paraId="5422BF85" w14:textId="77777777" w:rsidR="007A6A9A" w:rsidRPr="00BC3570" w:rsidRDefault="007A6A9A">
      <w:pPr>
        <w:rPr>
          <w:rFonts w:ascii="Arial" w:hAnsi="Arial"/>
          <w:sz w:val="22"/>
        </w:rPr>
      </w:pPr>
    </w:p>
    <w:p w14:paraId="541A33C5" w14:textId="77777777" w:rsidR="007A6A9A" w:rsidRPr="00BC3570" w:rsidRDefault="007A6A9A">
      <w:pPr>
        <w:rPr>
          <w:rFonts w:ascii="Arial" w:hAnsi="Arial"/>
          <w:sz w:val="22"/>
        </w:rPr>
      </w:pPr>
    </w:p>
    <w:p w14:paraId="0C410056" w14:textId="77777777" w:rsidR="007A6A9A" w:rsidRPr="00BC3570" w:rsidRDefault="007A6A9A">
      <w:pPr>
        <w:rPr>
          <w:rFonts w:ascii="Arial" w:hAnsi="Arial"/>
          <w:sz w:val="22"/>
        </w:rPr>
      </w:pPr>
    </w:p>
    <w:p w14:paraId="0F4BA5E9" w14:textId="77777777" w:rsidR="0040243D" w:rsidRPr="0040243D" w:rsidRDefault="0040243D" w:rsidP="0040243D">
      <w:pPr>
        <w:jc w:val="right"/>
        <w:rPr>
          <w:rFonts w:ascii="Arial" w:hAnsi="Arial"/>
          <w:sz w:val="22"/>
        </w:rPr>
      </w:pPr>
      <w:r w:rsidRPr="0040243D">
        <w:rPr>
          <w:rFonts w:ascii="Arial" w:hAnsi="Arial"/>
          <w:sz w:val="22"/>
        </w:rPr>
        <w:t>Ing. Jan Procházka</w:t>
      </w:r>
    </w:p>
    <w:p w14:paraId="044F61CB" w14:textId="2FF88654" w:rsidR="007A6A9A" w:rsidRPr="00BC3570" w:rsidRDefault="001015F8" w:rsidP="0040243D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bookmarkStart w:id="0" w:name="_GoBack"/>
      <w:bookmarkEnd w:id="0"/>
      <w:r w:rsidR="0040243D" w:rsidRPr="0040243D">
        <w:rPr>
          <w:rFonts w:ascii="Arial" w:hAnsi="Arial"/>
          <w:sz w:val="22"/>
        </w:rPr>
        <w:t>ředseda představenstva,</w:t>
      </w:r>
    </w:p>
    <w:p w14:paraId="74675746" w14:textId="77777777" w:rsidR="007A6A9A" w:rsidRPr="00BC3570" w:rsidRDefault="007A6A9A">
      <w:p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 xml:space="preserve">FIN-servis, a.s. </w:t>
      </w:r>
      <w:r w:rsidRPr="00BC3570">
        <w:rPr>
          <w:rFonts w:ascii="Arial" w:hAnsi="Arial"/>
          <w:sz w:val="22"/>
        </w:rPr>
        <w:tab/>
      </w:r>
      <w:r w:rsidRPr="00BC3570">
        <w:rPr>
          <w:rFonts w:ascii="Arial" w:hAnsi="Arial"/>
          <w:sz w:val="22"/>
        </w:rPr>
        <w:tab/>
      </w:r>
      <w:r w:rsidRPr="00BC3570">
        <w:rPr>
          <w:rFonts w:ascii="Arial" w:hAnsi="Arial"/>
          <w:sz w:val="22"/>
        </w:rPr>
        <w:tab/>
      </w:r>
      <w:r w:rsidR="00FF555F">
        <w:rPr>
          <w:rFonts w:ascii="Arial" w:hAnsi="Arial"/>
          <w:sz w:val="22"/>
        </w:rPr>
        <w:tab/>
      </w:r>
      <w:r w:rsidR="00FF555F">
        <w:rPr>
          <w:rFonts w:ascii="Arial" w:hAnsi="Arial"/>
          <w:sz w:val="22"/>
        </w:rPr>
        <w:tab/>
        <w:t>Exportní garanční a pojišťovací společnost, a.s.</w:t>
      </w:r>
    </w:p>
    <w:p w14:paraId="3B8C10EA" w14:textId="77777777" w:rsidR="007A6A9A" w:rsidRPr="00BC3570" w:rsidRDefault="007A6A9A">
      <w:pPr>
        <w:jc w:val="both"/>
        <w:rPr>
          <w:rFonts w:ascii="Arial" w:hAnsi="Arial"/>
          <w:sz w:val="22"/>
        </w:rPr>
      </w:pPr>
      <w:r w:rsidRPr="00BC3570">
        <w:rPr>
          <w:rFonts w:ascii="Arial" w:hAnsi="Arial"/>
          <w:sz w:val="22"/>
        </w:rPr>
        <w:t>Dohodce</w:t>
      </w:r>
      <w:r w:rsidRPr="00BC3570">
        <w:rPr>
          <w:rFonts w:ascii="Arial" w:hAnsi="Arial"/>
          <w:sz w:val="22"/>
        </w:rPr>
        <w:tab/>
      </w:r>
      <w:r w:rsidRPr="00BC3570">
        <w:rPr>
          <w:rFonts w:ascii="Arial" w:hAnsi="Arial"/>
          <w:sz w:val="22"/>
        </w:rPr>
        <w:tab/>
      </w:r>
      <w:r w:rsidRPr="00BC3570">
        <w:rPr>
          <w:rFonts w:ascii="Arial" w:hAnsi="Arial"/>
          <w:sz w:val="22"/>
        </w:rPr>
        <w:tab/>
      </w:r>
      <w:r w:rsidRPr="00BC3570">
        <w:rPr>
          <w:rFonts w:ascii="Arial" w:hAnsi="Arial"/>
          <w:sz w:val="22"/>
        </w:rPr>
        <w:tab/>
      </w:r>
      <w:r w:rsidRPr="00BC3570">
        <w:rPr>
          <w:rFonts w:ascii="Arial" w:hAnsi="Arial"/>
          <w:sz w:val="22"/>
        </w:rPr>
        <w:tab/>
      </w:r>
      <w:r w:rsidRPr="00BC3570">
        <w:rPr>
          <w:rFonts w:ascii="Arial" w:hAnsi="Arial"/>
          <w:sz w:val="22"/>
        </w:rPr>
        <w:tab/>
        <w:t>Zájemce</w:t>
      </w:r>
      <w:r w:rsidRPr="00BC3570">
        <w:rPr>
          <w:rFonts w:ascii="Arial" w:hAnsi="Arial"/>
          <w:sz w:val="22"/>
        </w:rPr>
        <w:tab/>
      </w:r>
    </w:p>
    <w:p w14:paraId="0771BDD9" w14:textId="77777777" w:rsidR="007A6A9A" w:rsidRPr="00BC3570" w:rsidRDefault="007A6A9A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22"/>
        </w:rPr>
      </w:pPr>
    </w:p>
    <w:p w14:paraId="318CE355" w14:textId="77777777" w:rsidR="007A6A9A" w:rsidRPr="00BC3570" w:rsidRDefault="007A6A9A" w:rsidP="007A6A9A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04FA01E2" w14:textId="77777777" w:rsidR="007A6A9A" w:rsidRPr="00BC3570" w:rsidRDefault="007A6A9A">
      <w:pPr>
        <w:rPr>
          <w:rFonts w:ascii="Arial" w:hAnsi="Arial"/>
          <w:b/>
          <w:sz w:val="22"/>
        </w:rPr>
      </w:pPr>
    </w:p>
    <w:sectPr w:rsidR="007A6A9A" w:rsidRPr="00BC3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8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D46D0" w14:textId="77777777" w:rsidR="00BD282C" w:rsidRDefault="00BD282C">
      <w:r>
        <w:separator/>
      </w:r>
    </w:p>
  </w:endnote>
  <w:endnote w:type="continuationSeparator" w:id="0">
    <w:p w14:paraId="0E85B0F6" w14:textId="77777777" w:rsidR="00BD282C" w:rsidRDefault="00BD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E50A8" w14:textId="77777777" w:rsidR="0040243D" w:rsidRDefault="004024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E8F56" w14:textId="4D5A3122" w:rsidR="007A6A9A" w:rsidRDefault="00385CCD">
    <w:pPr>
      <w:pStyle w:val="Zpat"/>
      <w:rPr>
        <w:i/>
      </w:rPr>
    </w:pPr>
    <w:r>
      <w:rPr>
        <w:i/>
      </w:rPr>
      <w:fldChar w:fldCharType="begin"/>
    </w:r>
    <w:r>
      <w:rPr>
        <w:i/>
      </w:rPr>
      <w:instrText xml:space="preserve"> SUBJECT  \* MERGEFORMAT </w:instrText>
    </w:r>
    <w:r>
      <w:rPr>
        <w:i/>
      </w:rPr>
      <w:fldChar w:fldCharType="separate"/>
    </w:r>
    <w:r w:rsidR="00FA7CDE">
      <w:rPr>
        <w:i/>
      </w:rPr>
      <w:t>1008177 v3</w:t>
    </w:r>
    <w:r>
      <w:rPr>
        <w:i/>
      </w:rPr>
      <w:fldChar w:fldCharType="end"/>
    </w:r>
    <w:r>
      <w:rPr>
        <w:i/>
      </w:rPr>
      <w:t xml:space="preserve"> </w:t>
    </w:r>
    <w:r w:rsidR="007A6A9A">
      <w:rPr>
        <w:i/>
      </w:rPr>
      <w:t>Obchodní podmínky – Trh s elektřinou v rámci SSDE a s plynem v rámci SSDP (poptávka)</w:t>
    </w:r>
    <w:r w:rsidR="007A6A9A">
      <w:rPr>
        <w:i/>
      </w:rPr>
      <w:tab/>
      <w:t xml:space="preserve">                </w:t>
    </w:r>
    <w:r w:rsidR="007A6A9A">
      <w:rPr>
        <w:i/>
        <w:snapToGrid w:val="0"/>
      </w:rPr>
      <w:t xml:space="preserve">Strana </w:t>
    </w:r>
    <w:r w:rsidR="007A6A9A">
      <w:rPr>
        <w:i/>
        <w:snapToGrid w:val="0"/>
      </w:rPr>
      <w:fldChar w:fldCharType="begin"/>
    </w:r>
    <w:r w:rsidR="007A6A9A">
      <w:rPr>
        <w:i/>
        <w:snapToGrid w:val="0"/>
      </w:rPr>
      <w:instrText xml:space="preserve"> PAGE </w:instrText>
    </w:r>
    <w:r w:rsidR="007A6A9A">
      <w:rPr>
        <w:i/>
        <w:snapToGrid w:val="0"/>
      </w:rPr>
      <w:fldChar w:fldCharType="separate"/>
    </w:r>
    <w:r w:rsidR="007A6A9A">
      <w:rPr>
        <w:i/>
        <w:noProof/>
        <w:snapToGrid w:val="0"/>
      </w:rPr>
      <w:t>3</w:t>
    </w:r>
    <w:r w:rsidR="007A6A9A">
      <w:rPr>
        <w:i/>
        <w:snapToGrid w:val="0"/>
      </w:rPr>
      <w:fldChar w:fldCharType="end"/>
    </w:r>
    <w:r w:rsidR="007A6A9A">
      <w:rPr>
        <w:i/>
        <w:snapToGrid w:val="0"/>
      </w:rPr>
      <w:t xml:space="preserve"> (celkem 3)</w:t>
    </w:r>
  </w:p>
  <w:p w14:paraId="29EDB9F9" w14:textId="77777777" w:rsidR="007A6A9A" w:rsidRPr="008E4E7A" w:rsidRDefault="007A6A9A" w:rsidP="007A6A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88F8C" w14:textId="2FA2C9D2" w:rsidR="007A6A9A" w:rsidRDefault="00385CCD">
    <w:pPr>
      <w:pStyle w:val="Zpat"/>
      <w:rPr>
        <w:i/>
      </w:rPr>
    </w:pPr>
    <w:r>
      <w:rPr>
        <w:i/>
      </w:rPr>
      <w:fldChar w:fldCharType="begin"/>
    </w:r>
    <w:r>
      <w:rPr>
        <w:i/>
      </w:rPr>
      <w:instrText xml:space="preserve"> SUBJECT  \* MERGEFORMAT </w:instrText>
    </w:r>
    <w:r>
      <w:rPr>
        <w:i/>
      </w:rPr>
      <w:fldChar w:fldCharType="separate"/>
    </w:r>
    <w:r w:rsidR="00FA7CDE">
      <w:rPr>
        <w:i/>
      </w:rPr>
      <w:t>1008177 v3</w:t>
    </w:r>
    <w:r>
      <w:rPr>
        <w:i/>
      </w:rPr>
      <w:fldChar w:fldCharType="end"/>
    </w:r>
    <w:r>
      <w:rPr>
        <w:i/>
      </w:rPr>
      <w:t xml:space="preserve"> </w:t>
    </w:r>
    <w:r w:rsidR="007A6A9A">
      <w:rPr>
        <w:i/>
      </w:rPr>
      <w:t xml:space="preserve">Obchodní podmínky – Trh s elektřinou v rámci SSDE a s plynem v rámci SSDP (poptávka)              </w:t>
    </w:r>
    <w:r w:rsidR="007A6A9A">
      <w:rPr>
        <w:i/>
        <w:snapToGrid w:val="0"/>
      </w:rPr>
      <w:t xml:space="preserve">Strana </w:t>
    </w:r>
    <w:r w:rsidR="007A6A9A">
      <w:rPr>
        <w:i/>
        <w:snapToGrid w:val="0"/>
      </w:rPr>
      <w:fldChar w:fldCharType="begin"/>
    </w:r>
    <w:r w:rsidR="007A6A9A">
      <w:rPr>
        <w:i/>
        <w:snapToGrid w:val="0"/>
      </w:rPr>
      <w:instrText xml:space="preserve"> PAGE </w:instrText>
    </w:r>
    <w:r w:rsidR="007A6A9A">
      <w:rPr>
        <w:i/>
        <w:snapToGrid w:val="0"/>
      </w:rPr>
      <w:fldChar w:fldCharType="separate"/>
    </w:r>
    <w:r w:rsidR="007A6A9A">
      <w:rPr>
        <w:i/>
        <w:noProof/>
        <w:snapToGrid w:val="0"/>
      </w:rPr>
      <w:t>1</w:t>
    </w:r>
    <w:r w:rsidR="007A6A9A">
      <w:rPr>
        <w:i/>
        <w:snapToGrid w:val="0"/>
      </w:rPr>
      <w:fldChar w:fldCharType="end"/>
    </w:r>
    <w:r w:rsidR="007A6A9A">
      <w:rPr>
        <w:i/>
        <w:snapToGrid w:val="0"/>
      </w:rPr>
      <w:t xml:space="preserve"> (celkem 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CCF9F" w14:textId="77777777" w:rsidR="00BD282C" w:rsidRDefault="00BD282C">
      <w:r>
        <w:separator/>
      </w:r>
    </w:p>
  </w:footnote>
  <w:footnote w:type="continuationSeparator" w:id="0">
    <w:p w14:paraId="07B99D9E" w14:textId="77777777" w:rsidR="00BD282C" w:rsidRDefault="00BD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2412B" w14:textId="77777777" w:rsidR="0040243D" w:rsidRDefault="004024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07954" w14:textId="77777777" w:rsidR="007A6A9A" w:rsidRPr="00563E6B" w:rsidRDefault="00EF098D" w:rsidP="007A6A9A">
    <w:pPr>
      <w:pStyle w:val="Zhlav"/>
      <w:jc w:val="right"/>
    </w:pPr>
    <w:r>
      <w:rPr>
        <w:noProof/>
      </w:rPr>
      <w:pict w14:anchorId="3F6103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3.15pt;height:33.85pt">
          <v:imagedata r:id="rId1" o:title=""/>
        </v:shape>
      </w:pict>
    </w:r>
  </w:p>
  <w:p w14:paraId="76FB7B3B" w14:textId="77777777" w:rsidR="007A6A9A" w:rsidRDefault="007A6A9A" w:rsidP="007A6A9A">
    <w:pPr>
      <w:pStyle w:val="Zhlav"/>
      <w:jc w:val="right"/>
    </w:pPr>
    <w:r>
      <w:t>________________________________________________________________________________________________</w:t>
    </w:r>
  </w:p>
  <w:p w14:paraId="28B37FF8" w14:textId="77777777" w:rsidR="007A6A9A" w:rsidRDefault="007A6A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A0E06" w14:textId="77777777" w:rsidR="0040243D" w:rsidRDefault="004024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810B9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336EA"/>
    <w:multiLevelType w:val="singleLevel"/>
    <w:tmpl w:val="CFAA28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476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207B3A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6361D7"/>
    <w:multiLevelType w:val="multilevel"/>
    <w:tmpl w:val="5BB0C530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833C51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CA780E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AE7CD0"/>
    <w:multiLevelType w:val="multilevel"/>
    <w:tmpl w:val="FFFC0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297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F17034"/>
    <w:multiLevelType w:val="multilevel"/>
    <w:tmpl w:val="C61A51A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9C0E8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4C941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0C61DC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8DF7C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3B7F25B4"/>
    <w:multiLevelType w:val="multilevel"/>
    <w:tmpl w:val="A99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D53628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18A1C4B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7D4ED6"/>
    <w:multiLevelType w:val="multilevel"/>
    <w:tmpl w:val="3F98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BF5477C"/>
    <w:multiLevelType w:val="singleLevel"/>
    <w:tmpl w:val="F04E73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4E8F1715"/>
    <w:multiLevelType w:val="multilevel"/>
    <w:tmpl w:val="05086E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0CB448A"/>
    <w:multiLevelType w:val="singleLevel"/>
    <w:tmpl w:val="A07AEE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30F20AD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9D2D98"/>
    <w:multiLevelType w:val="multilevel"/>
    <w:tmpl w:val="90F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3DB64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8FD4D97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9DD5AAA"/>
    <w:multiLevelType w:val="singleLevel"/>
    <w:tmpl w:val="FB2C6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0"/>
  </w:num>
  <w:num w:numId="3">
    <w:abstractNumId w:val="12"/>
  </w:num>
  <w:num w:numId="4">
    <w:abstractNumId w:val="2"/>
  </w:num>
  <w:num w:numId="5">
    <w:abstractNumId w:val="25"/>
  </w:num>
  <w:num w:numId="6">
    <w:abstractNumId w:val="14"/>
  </w:num>
  <w:num w:numId="7">
    <w:abstractNumId w:val="8"/>
  </w:num>
  <w:num w:numId="8">
    <w:abstractNumId w:val="29"/>
  </w:num>
  <w:num w:numId="9">
    <w:abstractNumId w:val="9"/>
  </w:num>
  <w:num w:numId="10">
    <w:abstractNumId w:val="16"/>
  </w:num>
  <w:num w:numId="11">
    <w:abstractNumId w:val="17"/>
  </w:num>
  <w:num w:numId="12">
    <w:abstractNumId w:val="26"/>
  </w:num>
  <w:num w:numId="13">
    <w:abstractNumId w:val="23"/>
  </w:num>
  <w:num w:numId="14">
    <w:abstractNumId w:val="19"/>
  </w:num>
  <w:num w:numId="15">
    <w:abstractNumId w:val="10"/>
  </w:num>
  <w:num w:numId="16">
    <w:abstractNumId w:val="5"/>
  </w:num>
  <w:num w:numId="17">
    <w:abstractNumId w:val="28"/>
  </w:num>
  <w:num w:numId="18">
    <w:abstractNumId w:val="32"/>
  </w:num>
  <w:num w:numId="19">
    <w:abstractNumId w:val="27"/>
  </w:num>
  <w:num w:numId="20">
    <w:abstractNumId w:val="13"/>
  </w:num>
  <w:num w:numId="21">
    <w:abstractNumId w:val="3"/>
  </w:num>
  <w:num w:numId="22">
    <w:abstractNumId w:val="18"/>
  </w:num>
  <w:num w:numId="23">
    <w:abstractNumId w:val="6"/>
  </w:num>
  <w:num w:numId="24">
    <w:abstractNumId w:val="20"/>
  </w:num>
  <w:num w:numId="25">
    <w:abstractNumId w:val="4"/>
  </w:num>
  <w:num w:numId="26">
    <w:abstractNumId w:val="7"/>
  </w:num>
  <w:num w:numId="27">
    <w:abstractNumId w:val="1"/>
  </w:num>
  <w:num w:numId="28">
    <w:abstractNumId w:val="15"/>
  </w:num>
  <w:num w:numId="29">
    <w:abstractNumId w:val="18"/>
    <w:lvlOverride w:ilvl="0">
      <w:startOverride w:val="1"/>
    </w:lvlOverride>
    <w:lvlOverride w:ilvl="1">
      <w:startOverride w:val="2"/>
    </w:lvlOverride>
  </w:num>
  <w:num w:numId="30">
    <w:abstractNumId w:val="24"/>
  </w:num>
  <w:num w:numId="31">
    <w:abstractNumId w:val="11"/>
  </w:num>
  <w:num w:numId="32">
    <w:abstractNumId w:val="21"/>
  </w:num>
  <w:num w:numId="33">
    <w:abstractNumId w:val="22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0A3C"/>
    <w:rsid w:val="00051F2D"/>
    <w:rsid w:val="001015F8"/>
    <w:rsid w:val="00367304"/>
    <w:rsid w:val="00385CCD"/>
    <w:rsid w:val="0040243D"/>
    <w:rsid w:val="004F389A"/>
    <w:rsid w:val="00740A3C"/>
    <w:rsid w:val="007A6A9A"/>
    <w:rsid w:val="00BD282C"/>
    <w:rsid w:val="00EF098D"/>
    <w:rsid w:val="00FA7CDE"/>
    <w:rsid w:val="00FF55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194ED618"/>
  <w15:chartTrackingRefBased/>
  <w15:docId w15:val="{1286C322-90A2-4207-AA90-2201AA0C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8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Textbubliny">
    <w:name w:val="Balloon Text"/>
    <w:basedOn w:val="Normln"/>
    <w:link w:val="TextbublinyChar"/>
    <w:rsid w:val="00BC3570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BC3570"/>
    <w:rPr>
      <w:rFonts w:ascii="Lucida Grande" w:hAnsi="Lucida Grande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722</Words>
  <Characters>4291</Characters>
  <Application>Microsoft Office Word</Application>
  <DocSecurity>0</DocSecurity>
  <Lines>122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Obchodní podmínky dohodce pro obchodování</vt:lpstr>
      <vt:lpstr>Obchodní podmínky dohodce pro obchodování</vt:lpstr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subject>1008177 v3</dc:subject>
  <dc:creator>Petr Havelka</dc:creator>
  <cp:keywords/>
  <cp:lastModifiedBy>Mertin Eduard</cp:lastModifiedBy>
  <cp:revision>5</cp:revision>
  <cp:lastPrinted>2020-10-05T08:56:00Z</cp:lastPrinted>
  <dcterms:created xsi:type="dcterms:W3CDTF">2022-08-31T10:58:00Z</dcterms:created>
  <dcterms:modified xsi:type="dcterms:W3CDTF">2022-08-31T10:59:00Z</dcterms:modified>
</cp:coreProperties>
</file>