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FD72FF" w:rsidRPr="00D74DA5" w:rsidRDefault="00FD72FF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>Lázeňské lesy Karlovy Vary, příspěvková organizace</w:t>
      </w: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>
        <w:rPr>
          <w:rFonts w:cs="Arial"/>
          <w:color w:val="808080"/>
          <w:sz w:val="18"/>
          <w:szCs w:val="18"/>
        </w:rPr>
        <w:tab/>
      </w: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bookmarkStart w:id="0" w:name="CisloJednaci"/>
      <w:r w:rsidR="001C3D7E">
        <w:rPr>
          <w:rFonts w:cs="Arial"/>
          <w:color w:val="808080"/>
          <w:sz w:val="18"/>
          <w:szCs w:val="18"/>
        </w:rPr>
        <w:t>POH/49339/2022</w:t>
      </w:r>
      <w:bookmarkEnd w:id="0"/>
      <w:r>
        <w:rPr>
          <w:rFonts w:cs="Arial"/>
          <w:color w:val="808080"/>
          <w:sz w:val="18"/>
          <w:szCs w:val="18"/>
        </w:rPr>
        <w:t>/</w:t>
      </w:r>
      <w:bookmarkStart w:id="1" w:name="KodUtvaru"/>
      <w:r w:rsidR="001C3D7E">
        <w:rPr>
          <w:rFonts w:cs="Arial"/>
          <w:color w:val="808080"/>
          <w:sz w:val="18"/>
          <w:szCs w:val="18"/>
        </w:rPr>
        <w:t>101000</w:t>
      </w:r>
      <w:bookmarkEnd w:id="1"/>
    </w:p>
    <w:p w:rsidR="00801ABA" w:rsidRPr="00726C16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r w:rsidRPr="00726C16">
        <w:rPr>
          <w:rFonts w:cs="Arial"/>
          <w:color w:val="808080"/>
          <w:sz w:val="18"/>
          <w:szCs w:val="18"/>
        </w:rPr>
        <w:tab/>
      </w: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Pr="00726C16">
        <w:rPr>
          <w:rFonts w:cs="Arial"/>
          <w:color w:val="808080"/>
          <w:sz w:val="18"/>
          <w:szCs w:val="18"/>
        </w:rPr>
        <w:tab/>
      </w:r>
    </w:p>
    <w:p w:rsidR="0050366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Pr="00726C16">
        <w:rPr>
          <w:rFonts w:cs="Arial"/>
          <w:color w:val="808080"/>
          <w:sz w:val="18"/>
          <w:szCs w:val="18"/>
        </w:rPr>
        <w:tab/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r w:rsidR="00FD72FF">
        <w:rPr>
          <w:rFonts w:cs="Arial"/>
          <w:color w:val="808080"/>
          <w:sz w:val="18"/>
          <w:szCs w:val="18"/>
        </w:rPr>
        <w:t>27.9.2022</w:t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footerReference w:type="default" r:id="rId8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726C16" w:rsidRDefault="00726C1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Kontaktní</w:t>
      </w:r>
    </w:p>
    <w:p w:rsidR="003217A2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726C16">
        <w:rPr>
          <w:rFonts w:cs="Arial"/>
          <w:color w:val="808080"/>
          <w:sz w:val="18"/>
          <w:szCs w:val="18"/>
        </w:rPr>
        <w:t>adresa:</w:t>
      </w:r>
      <w:r>
        <w:rPr>
          <w:rFonts w:cs="Arial"/>
          <w:color w:val="808080"/>
          <w:sz w:val="18"/>
          <w:szCs w:val="18"/>
        </w:rPr>
        <w:tab/>
      </w:r>
      <w:r w:rsidR="00FC2AB6">
        <w:rPr>
          <w:rFonts w:cs="Arial"/>
          <w:color w:val="808080"/>
          <w:sz w:val="18"/>
          <w:szCs w:val="18"/>
        </w:rPr>
        <w:t xml:space="preserve">Povodí Ohře, státní podnik, </w:t>
      </w:r>
      <w:r w:rsidR="00113854" w:rsidRPr="00113854">
        <w:rPr>
          <w:rFonts w:cs="Arial"/>
          <w:color w:val="808080"/>
          <w:sz w:val="18"/>
          <w:szCs w:val="18"/>
        </w:rPr>
        <w:t>závod Karlovy Vary, Horova 12, 360 01 Karlovy Vary</w:t>
      </w: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9"/>
          <w:footerReference w:type="default" r:id="rId10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EB73EA" w:rsidRDefault="00EB73EA" w:rsidP="0099776F"/>
    <w:p w:rsidR="00384E18" w:rsidRDefault="00384E18" w:rsidP="00384E18">
      <w:pPr>
        <w:ind w:firstLine="709"/>
        <w:rPr>
          <w:b/>
        </w:rPr>
      </w:pPr>
      <w:r>
        <w:rPr>
          <w:b/>
        </w:rPr>
        <w:t xml:space="preserve">Veřejná zakázka malého rozsahu – výzva k podání nabídky na zhotovení zakázky </w:t>
      </w:r>
    </w:p>
    <w:p w:rsidR="00384E18" w:rsidRDefault="00384E18" w:rsidP="00384E18">
      <w:pPr>
        <w:rPr>
          <w:b/>
        </w:rPr>
      </w:pPr>
    </w:p>
    <w:p w:rsidR="00384E18" w:rsidRDefault="00384E18" w:rsidP="00384E18">
      <w:pPr>
        <w:ind w:left="1418" w:firstLine="709"/>
        <w:rPr>
          <w:b/>
        </w:rPr>
      </w:pPr>
      <w:r>
        <w:rPr>
          <w:b/>
        </w:rPr>
        <w:t>Odkup dřevní hmoty pro období 10/</w:t>
      </w:r>
      <w:proofErr w:type="gramStart"/>
      <w:r>
        <w:rPr>
          <w:b/>
        </w:rPr>
        <w:t>2022 – 09</w:t>
      </w:r>
      <w:proofErr w:type="gramEnd"/>
      <w:r>
        <w:rPr>
          <w:b/>
        </w:rPr>
        <w:t>/2023</w:t>
      </w:r>
    </w:p>
    <w:p w:rsidR="00384E18" w:rsidRDefault="00384E18" w:rsidP="00384E18">
      <w:pPr>
        <w:rPr>
          <w:b/>
        </w:rPr>
      </w:pPr>
    </w:p>
    <w:p w:rsidR="00384E18" w:rsidRDefault="00384E18" w:rsidP="00384E18">
      <w:pPr>
        <w:rPr>
          <w:b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Zadavatel veřejné zakázky: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Bezručova 4219, 430 03 Chomutov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IČO: 70889988, DIČ: CZ 70889988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zapsaný v OR u KS v Ústí nad Labem, oddíl A, vložka 13052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Předmětem plnění veřejné zakázky je provedení služby:</w:t>
      </w:r>
    </w:p>
    <w:p w:rsidR="00384E18" w:rsidRDefault="00384E18" w:rsidP="00384E18">
      <w:pPr>
        <w:jc w:val="both"/>
        <w:rPr>
          <w:rFonts w:cs="Arial"/>
          <w:b/>
          <w:szCs w:val="22"/>
        </w:rPr>
      </w:pPr>
    </w:p>
    <w:p w:rsidR="00384E18" w:rsidRDefault="00384E18" w:rsidP="00384E18">
      <w:pPr>
        <w:jc w:val="both"/>
        <w:rPr>
          <w:rFonts w:cs="Arial"/>
          <w:b/>
          <w:szCs w:val="22"/>
        </w:rPr>
      </w:pPr>
      <w:bookmarkStart w:id="2" w:name="_Hlk81477816"/>
      <w:r>
        <w:rPr>
          <w:rFonts w:cs="Arial"/>
          <w:b/>
          <w:szCs w:val="22"/>
        </w:rPr>
        <w:t>Odkup dřevní hmoty pro období 10/</w:t>
      </w:r>
      <w:proofErr w:type="gramStart"/>
      <w:r>
        <w:rPr>
          <w:rFonts w:cs="Arial"/>
          <w:b/>
          <w:szCs w:val="22"/>
        </w:rPr>
        <w:t>2022 – 09</w:t>
      </w:r>
      <w:proofErr w:type="gramEnd"/>
      <w:r>
        <w:rPr>
          <w:rFonts w:cs="Arial"/>
          <w:b/>
          <w:szCs w:val="22"/>
        </w:rPr>
        <w:t>/2023</w:t>
      </w:r>
    </w:p>
    <w:bookmarkEnd w:id="2"/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:rsidR="00384E18" w:rsidRDefault="00384E18" w:rsidP="00384E18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384E18" w:rsidRDefault="00384E18" w:rsidP="00384E18">
      <w:pPr>
        <w:numPr>
          <w:ilvl w:val="0"/>
          <w:numId w:val="19"/>
        </w:numPr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činnost kupujícího při odkupu dřevní hmoty z probírek břehových porostů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Stručný popis: </w:t>
      </w:r>
    </w:p>
    <w:p w:rsidR="00384E18" w:rsidRDefault="00384E18" w:rsidP="00384E1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V rámci této zakázky bude probíhat odkupování dřevní hmoty z probírek břehového porostu na území závodu Karlovy Vary ve správě Povodí Ohře, státní podnik, v odhadovaném celkovém množství do 800 </w:t>
      </w:r>
      <w:proofErr w:type="spellStart"/>
      <w:r>
        <w:rPr>
          <w:rFonts w:cs="Arial"/>
          <w:bCs/>
          <w:sz w:val="20"/>
          <w:szCs w:val="20"/>
        </w:rPr>
        <w:t>plm</w:t>
      </w:r>
      <w:proofErr w:type="spellEnd"/>
      <w:r>
        <w:rPr>
          <w:rFonts w:cs="Arial"/>
          <w:bCs/>
          <w:sz w:val="20"/>
          <w:szCs w:val="20"/>
        </w:rPr>
        <w:t>. Jde především o dřevní hmotu, která tvoří překážku ve vodním toku a ze zdravotních probírek, proto se jedná o dřevní hmotu se sníženou kvalitou nebo dřevo napadené dřevokaznými houbami (převážně se jedná o vrbu). Dřevní hmota bude objednatelem odvážena na skladové místo kupujícího v nepravidelných intervalech bez upozornění a sortimentu v návaznosti na jeho těžbu.</w:t>
      </w:r>
    </w:p>
    <w:p w:rsidR="00384E18" w:rsidRDefault="00384E18" w:rsidP="00384E1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Na skladovém místě bude probíhat </w:t>
      </w:r>
      <w:bookmarkStart w:id="3" w:name="_Hlk61513316"/>
      <w:r>
        <w:rPr>
          <w:rFonts w:cs="Arial"/>
          <w:bCs/>
          <w:sz w:val="20"/>
          <w:szCs w:val="20"/>
        </w:rPr>
        <w:t>měření</w:t>
      </w:r>
      <w:bookmarkEnd w:id="3"/>
      <w:r>
        <w:rPr>
          <w:rFonts w:cs="Arial"/>
          <w:bCs/>
          <w:sz w:val="20"/>
          <w:szCs w:val="20"/>
        </w:rPr>
        <w:t xml:space="preserve"> ze strany kupujícího, který zkontroluje množství udávané prodávajícím. Při jejím složení bude potvrzen protokol (dodací list) oběma stranami a pořízena fotodokumentace.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Předmětem zakázky je: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numPr>
          <w:ilvl w:val="0"/>
          <w:numId w:val="2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Odkup dřevní hmoty, která bude přivezena na skladové místo kupujícího v maximální vzdálenosti 20 km od Karlových Varů (</w:t>
      </w:r>
      <w:r>
        <w:rPr>
          <w:rFonts w:cs="Arial"/>
          <w:sz w:val="20"/>
          <w:szCs w:val="20"/>
          <w:shd w:val="clear" w:color="auto" w:fill="FFFFFF"/>
        </w:rPr>
        <w:t>z provozu Karlovy Vary</w:t>
      </w:r>
      <w:r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  <w:shd w:val="clear" w:color="auto" w:fill="FFFFFF"/>
        </w:rPr>
        <w:t>Mostecká 50, 362 32 Otovice</w:t>
      </w:r>
      <w:r>
        <w:rPr>
          <w:rFonts w:cs="Arial"/>
          <w:sz w:val="20"/>
          <w:szCs w:val="20"/>
        </w:rPr>
        <w:t>) prodávajícím a složena z automobilu.</w:t>
      </w:r>
    </w:p>
    <w:p w:rsidR="00384E18" w:rsidRDefault="00384E18" w:rsidP="00384E18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Měření na denní bázi formou dodacích listů při skládání dřevní hmoty z automobilu.</w:t>
      </w:r>
    </w:p>
    <w:p w:rsidR="00384E18" w:rsidRDefault="00384E18" w:rsidP="00384E18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Fakturace v měsíčních intervalech dle skutečně předaného množství do maximálního množství odkoupené dřevní hmoty cca 800 </w:t>
      </w:r>
      <w:proofErr w:type="spellStart"/>
      <w:r>
        <w:rPr>
          <w:rFonts w:cs="Arial"/>
          <w:sz w:val="20"/>
          <w:szCs w:val="20"/>
        </w:rPr>
        <w:t>plm</w:t>
      </w:r>
      <w:proofErr w:type="spellEnd"/>
      <w:r>
        <w:rPr>
          <w:rFonts w:cs="Arial"/>
          <w:sz w:val="20"/>
          <w:szCs w:val="20"/>
        </w:rPr>
        <w:t>.</w:t>
      </w:r>
    </w:p>
    <w:p w:rsidR="00384E18" w:rsidRDefault="00384E18" w:rsidP="00384E18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Otevření </w:t>
      </w:r>
      <w:proofErr w:type="spellStart"/>
      <w:r>
        <w:rPr>
          <w:rFonts w:cs="Arial"/>
          <w:sz w:val="20"/>
          <w:szCs w:val="20"/>
        </w:rPr>
        <w:t>deponie</w:t>
      </w:r>
      <w:proofErr w:type="spellEnd"/>
      <w:r>
        <w:rPr>
          <w:rFonts w:cs="Arial"/>
          <w:sz w:val="20"/>
          <w:szCs w:val="20"/>
        </w:rPr>
        <w:t>, každý pracovní den od 8:00 do 14:30 a její uzavření kupujícím.</w:t>
      </w:r>
    </w:p>
    <w:p w:rsidR="00384E18" w:rsidRDefault="00384E18" w:rsidP="00384E18">
      <w:pPr>
        <w:jc w:val="both"/>
        <w:rPr>
          <w:rFonts w:cs="Arial"/>
          <w:b/>
          <w:bCs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Kupující bere na vědomí, že okamžikem vykládky dřevní hmoty na skladovém místě vlastnické právo k ní přechází na kupujícího.</w:t>
      </w:r>
    </w:p>
    <w:p w:rsidR="00384E18" w:rsidRDefault="00384E18" w:rsidP="00384E18">
      <w:pPr>
        <w:jc w:val="both"/>
        <w:rPr>
          <w:rFonts w:cs="Arial"/>
          <w:bCs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Práce, které jsou předmětem plnění, musí být provedeny kvalitně kvalifikovanými pracovníky, především měření dřevní hmoty. </w:t>
      </w:r>
      <w:r>
        <w:rPr>
          <w:rFonts w:cs="Arial"/>
          <w:sz w:val="20"/>
          <w:szCs w:val="20"/>
        </w:rPr>
        <w:t xml:space="preserve"> 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Předpokládaná doba plnění zakázky: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</w:p>
    <w:p w:rsidR="00FD72FF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bude uzavřena na dobu určitou do 30.9.2023.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Odkup bude zahájen do </w:t>
      </w:r>
      <w:proofErr w:type="gramStart"/>
      <w:r>
        <w:rPr>
          <w:rFonts w:cs="Arial"/>
          <w:sz w:val="20"/>
          <w:szCs w:val="20"/>
        </w:rPr>
        <w:t>15-ti</w:t>
      </w:r>
      <w:proofErr w:type="gramEnd"/>
      <w:r>
        <w:rPr>
          <w:rFonts w:cs="Arial"/>
          <w:sz w:val="20"/>
          <w:szCs w:val="20"/>
        </w:rPr>
        <w:t xml:space="preserve"> dnů od účinnosti smlouvy.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Místo plnění zakázky: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Dřevní hmota bude odvážena na určené místo nejdále však do 20 km od Karlových Varů</w:t>
      </w:r>
      <w:r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  <w:shd w:val="clear" w:color="auto" w:fill="FFFFFF"/>
        </w:rPr>
        <w:t>z provozu Karlovy Vary</w:t>
      </w:r>
      <w:r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  <w:shd w:val="clear" w:color="auto" w:fill="FFFFFF"/>
        </w:rPr>
        <w:t>Mostecká 50, 362 32 Otovice</w:t>
      </w:r>
      <w:r>
        <w:rPr>
          <w:rFonts w:cs="Arial"/>
          <w:sz w:val="20"/>
          <w:szCs w:val="20"/>
        </w:rPr>
        <w:t>), které si zajistí kupující.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Lhůta a místo pro podání nabídek: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Účastníci zadávacího řízení podají své nabídky osobně nebo doporučeně poštou nejpozději dne </w:t>
      </w:r>
      <w:r>
        <w:rPr>
          <w:rFonts w:cs="Arial"/>
          <w:b/>
          <w:sz w:val="20"/>
          <w:szCs w:val="20"/>
        </w:rPr>
        <w:t>11.10.2022 do 8:00 hodin</w:t>
      </w:r>
      <w:r>
        <w:rPr>
          <w:rFonts w:cs="Arial"/>
          <w:sz w:val="20"/>
          <w:szCs w:val="20"/>
        </w:rPr>
        <w:t xml:space="preserve"> na adresu zadavatele, tj. Povodí Ohře, státní podnik, Horova 12, 360 01 Karlovy Vary.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Otevírání nabídek: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Otevírání nabídek se uskuteční dne </w:t>
      </w:r>
      <w:r>
        <w:rPr>
          <w:rFonts w:cs="Arial"/>
          <w:b/>
          <w:sz w:val="20"/>
          <w:szCs w:val="20"/>
        </w:rPr>
        <w:t>11.10.2022 v 11:00 hod</w:t>
      </w:r>
      <w:r>
        <w:rPr>
          <w:rFonts w:cs="Arial"/>
          <w:sz w:val="20"/>
          <w:szCs w:val="20"/>
        </w:rPr>
        <w:t>. v zasedací místnosti závodu Karlovy Vary, Horova 12, 360 01 Karlovy Vary, účast uchazeče se připouští.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Hodnocení nabídek: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Nabídky budou hodnoceny podle jejich ekonomické výhodnosti.</w:t>
      </w:r>
      <w:r>
        <w:rPr>
          <w:rFonts w:cs="Arial"/>
          <w:b/>
          <w:sz w:val="20"/>
          <w:szCs w:val="20"/>
        </w:rPr>
        <w:t xml:space="preserve">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Kritérium pro hodnocení nabídek: Nejvyšší nabídková cena v Kč bez DPH za 1 </w:t>
      </w:r>
      <w:proofErr w:type="spellStart"/>
      <w:r>
        <w:rPr>
          <w:rFonts w:cs="Arial"/>
          <w:sz w:val="20"/>
          <w:szCs w:val="20"/>
        </w:rPr>
        <w:t>plm</w:t>
      </w:r>
      <w:proofErr w:type="spellEnd"/>
      <w:r>
        <w:rPr>
          <w:rFonts w:cs="Arial"/>
          <w:sz w:val="20"/>
          <w:szCs w:val="20"/>
        </w:rPr>
        <w:t>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Metoda hodnocení: pořadí stanoveno dle nejvyšší nabídkové ceny v Kč bez DPH.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shodných cenových nabídek bude preferována kratší dovozová vzdálenost.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Požadavky na způsob zpracování nabídkové ceny a obchodní podmínky: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Sestavení nabídkové ceny odpovídá ceně za 1 plnometr (</w:t>
      </w:r>
      <w:proofErr w:type="spellStart"/>
      <w:r>
        <w:rPr>
          <w:rFonts w:cs="Arial"/>
          <w:sz w:val="20"/>
          <w:szCs w:val="20"/>
        </w:rPr>
        <w:t>plm</w:t>
      </w:r>
      <w:proofErr w:type="spellEnd"/>
      <w:r>
        <w:rPr>
          <w:rFonts w:cs="Arial"/>
          <w:sz w:val="20"/>
          <w:szCs w:val="20"/>
        </w:rPr>
        <w:t>) dřevní hmoty v Kč bez DPH.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Úhrada za odkup dřevní hmoty bude provedena fakturací ve smluvených (měsíčních) intervalech kupujícím.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Nabídková cena bude zpracována jako cena nejníže přípustná. </w:t>
      </w:r>
    </w:p>
    <w:p w:rsidR="00384E18" w:rsidRDefault="00384E18" w:rsidP="00384E18">
      <w:pPr>
        <w:jc w:val="both"/>
        <w:rPr>
          <w:rFonts w:cs="Arial"/>
          <w:b/>
          <w:bCs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Podmínky pro jednotný způsob zpracování nabídkové ceny: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 v rámci předmětu veřejné zakázky vymezil soupis dřeva cenou stanovenou za jeden plnometr, bez ohledu na odebrané množství jednotlivých druhů a kvalit dřeva.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Cenová nabídka bude obsahovat veškeré náklady na prodej využitelné dřevní hmoty 1 </w:t>
      </w:r>
      <w:proofErr w:type="spellStart"/>
      <w:r>
        <w:rPr>
          <w:rFonts w:cs="Arial"/>
          <w:b/>
          <w:sz w:val="20"/>
          <w:szCs w:val="20"/>
        </w:rPr>
        <w:t>plm</w:t>
      </w:r>
      <w:proofErr w:type="spellEnd"/>
      <w:r>
        <w:rPr>
          <w:rFonts w:cs="Arial"/>
          <w:b/>
          <w:sz w:val="20"/>
          <w:szCs w:val="20"/>
        </w:rPr>
        <w:t xml:space="preserve"> v Kč bez DPH. 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Obchodní a platební podmínky: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Obchodní podmínky uvedené ve vzoru návrhu rámcové smlouvy (viz příloha) jsou pro účastníky zadávacího řízení závazné. 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Kupující ve své nabídce doloží: 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numPr>
          <w:ilvl w:val="0"/>
          <w:numId w:val="18"/>
        </w:numPr>
        <w:tabs>
          <w:tab w:val="clear" w:pos="425"/>
          <w:tab w:val="num" w:pos="567"/>
        </w:tabs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Návrh rámcové kupní smlouvy </w:t>
      </w:r>
      <w:r>
        <w:rPr>
          <w:rFonts w:cs="Arial"/>
          <w:sz w:val="20"/>
          <w:szCs w:val="20"/>
        </w:rPr>
        <w:t xml:space="preserve">(odkup dřeva) podepsaný oprávněným zástupcem účastníka zadávacího řízení.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v návrhu rámcové smlouvy bude shodná s cenovou nabídkou a bude zaokrouhlena na 2 desetinná místa, a ne na celá čísla. V návrhu rámcové smlouvy nutno uvést osobu odpovědnou za převzetí a přeměření dřevní hmoty a místo skládky dřevní hmoty.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numPr>
          <w:ilvl w:val="0"/>
          <w:numId w:val="18"/>
        </w:numPr>
        <w:tabs>
          <w:tab w:val="clear" w:pos="425"/>
          <w:tab w:val="num" w:pos="567"/>
        </w:tabs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Krycí list – podepsaný</w:t>
      </w:r>
      <w:r>
        <w:rPr>
          <w:rFonts w:cs="Arial"/>
          <w:sz w:val="20"/>
          <w:szCs w:val="20"/>
        </w:rPr>
        <w:t xml:space="preserve"> oprávněným zástupcem účastníka zadávacího řízení.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numPr>
          <w:ilvl w:val="0"/>
          <w:numId w:val="18"/>
        </w:numPr>
        <w:tabs>
          <w:tab w:val="clear" w:pos="425"/>
          <w:tab w:val="num" w:pos="567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Prokázání kvalifikace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Výpis z obchodního rejstříku, je-li v něm kupující zapsán.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Oprávnění k podnikání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(výpis ze živnostenského rejstříku, živnostenský list, koncesní </w:t>
      </w:r>
      <w:proofErr w:type="gramStart"/>
      <w:r>
        <w:rPr>
          <w:rFonts w:cs="Arial"/>
          <w:sz w:val="20"/>
          <w:szCs w:val="20"/>
        </w:rPr>
        <w:t>listina,</w:t>
      </w:r>
      <w:proofErr w:type="gramEnd"/>
      <w:r>
        <w:rPr>
          <w:rFonts w:cs="Arial"/>
          <w:sz w:val="20"/>
          <w:szCs w:val="20"/>
        </w:rPr>
        <w:t xml:space="preserve"> apod.).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pStyle w:val="Nadpis3"/>
        <w:numPr>
          <w:ilvl w:val="0"/>
          <w:numId w:val="18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Čestné prohlášení k finančním sankcím – </w:t>
      </w:r>
      <w:r>
        <w:rPr>
          <w:sz w:val="20"/>
          <w:szCs w:val="20"/>
        </w:rPr>
        <w:t>vyplněné a podepsané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Účastníci zadávacího řízení, kteří nesplní kvalifikaci požadovaným způsobem, budou ze zadávacího řízení vyloučeni!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Počet vyhotovení nabídky: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1 x originál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Jazyk nabídky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předložena pouze v českém jazyce.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Označení nabídky 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Obálka s nabídkou musí být řádně uzavřena a označena textem</w:t>
      </w:r>
      <w:r>
        <w:rPr>
          <w:rFonts w:cs="Arial"/>
          <w:b/>
          <w:sz w:val="20"/>
          <w:szCs w:val="20"/>
        </w:rPr>
        <w:t>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ind w:left="709" w:firstLine="709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Odkup dřevní hmoty pro období 10/</w:t>
      </w:r>
      <w:proofErr w:type="gramStart"/>
      <w:r>
        <w:rPr>
          <w:rFonts w:cs="Arial"/>
          <w:b/>
          <w:sz w:val="24"/>
        </w:rPr>
        <w:t>2022 – 09</w:t>
      </w:r>
      <w:proofErr w:type="gramEnd"/>
      <w:r>
        <w:rPr>
          <w:rFonts w:cs="Arial"/>
          <w:b/>
          <w:sz w:val="24"/>
        </w:rPr>
        <w:t>/2023</w:t>
      </w:r>
    </w:p>
    <w:p w:rsidR="00384E18" w:rsidRDefault="00384E18" w:rsidP="00384E18">
      <w:pPr>
        <w:jc w:val="both"/>
        <w:rPr>
          <w:rFonts w:cs="Arial"/>
          <w:b/>
          <w:sz w:val="24"/>
        </w:rPr>
      </w:pPr>
    </w:p>
    <w:p w:rsidR="00384E18" w:rsidRDefault="00384E18" w:rsidP="00384E18">
      <w:pPr>
        <w:ind w:left="2127" w:firstLine="709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- veřejná zakázka –</w:t>
      </w:r>
    </w:p>
    <w:p w:rsidR="00384E18" w:rsidRDefault="00384E18" w:rsidP="00384E18">
      <w:pPr>
        <w:jc w:val="both"/>
        <w:rPr>
          <w:rFonts w:cs="Arial"/>
          <w:b/>
          <w:sz w:val="24"/>
        </w:rPr>
      </w:pPr>
    </w:p>
    <w:p w:rsidR="00384E18" w:rsidRDefault="00384E18" w:rsidP="00384E18">
      <w:pPr>
        <w:ind w:left="1418" w:firstLine="709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„Neotevírat do úředního otevření“.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obálce musí být dále uvedena adresa účastníka zadávacího řízení.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Podpis nabídky: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Krycí list nabídky účastníka zadávacího řízení a návrh rámcové smlouvy musí být podepsány osobou oprávněnou jednat jménem či za účastníka zadávacího řízení.</w:t>
      </w:r>
      <w:r>
        <w:rPr>
          <w:rFonts w:cs="Arial"/>
          <w:sz w:val="20"/>
          <w:szCs w:val="20"/>
        </w:rPr>
        <w:t xml:space="preserve"> V případě zmocnění k podání nabídky za účastníka zadávacího řízení jiným zástupcem musí být písemné zmocnění k tomuto úkonu podepsané statutárním orgánem kupujícího přiloženo k nabídce v originále nebo v ověřené kopii.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FD72FF" w:rsidRDefault="00FD72FF" w:rsidP="00384E18">
      <w:pPr>
        <w:jc w:val="both"/>
        <w:rPr>
          <w:rFonts w:cs="Arial"/>
          <w:sz w:val="20"/>
          <w:szCs w:val="20"/>
        </w:rPr>
      </w:pPr>
      <w:bookmarkStart w:id="4" w:name="_GoBack"/>
      <w:bookmarkEnd w:id="4"/>
    </w:p>
    <w:p w:rsidR="00384E18" w:rsidRDefault="00384E18" w:rsidP="00384E18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Adresa a sídlo zadavatele: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podnik, Horova 12, 360 01 Karlovy Vary</w:t>
      </w:r>
    </w:p>
    <w:p w:rsidR="00384E18" w:rsidRDefault="00384E18" w:rsidP="00384E18">
      <w:pPr>
        <w:jc w:val="both"/>
      </w:pPr>
    </w:p>
    <w:p w:rsidR="00384E18" w:rsidRDefault="00384E18" w:rsidP="00384E18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Ostatní ustanovení: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autoSpaceDE w:val="0"/>
        <w:autoSpaceDN w:val="0"/>
        <w:adjustRightInd w:val="0"/>
        <w:spacing w:line="300" w:lineRule="atLeast"/>
        <w:jc w:val="both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Nejedná se o zadávací řízení dle zákona č. 134/2016 Sb.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Zadavatel si vyhrazuje právo na doplnění zadávací dokumentace, nejpozději do 30</w:t>
      </w:r>
      <w:r>
        <w:rPr>
          <w:rFonts w:cs="Arial"/>
          <w:b/>
          <w:sz w:val="20"/>
          <w:szCs w:val="20"/>
        </w:rPr>
        <w:t>.9.2022.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odkup dřevní hmoty nejpozději </w:t>
      </w:r>
      <w:r>
        <w:rPr>
          <w:rFonts w:cs="Arial"/>
          <w:b/>
          <w:sz w:val="20"/>
          <w:szCs w:val="20"/>
        </w:rPr>
        <w:t>do 29.9. 2022 do 14:00 hodin</w:t>
      </w:r>
      <w:r>
        <w:rPr>
          <w:rFonts w:cs="Arial"/>
          <w:sz w:val="20"/>
          <w:szCs w:val="20"/>
        </w:rPr>
        <w:t>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nejpozději </w:t>
      </w:r>
      <w:r>
        <w:rPr>
          <w:rFonts w:cs="Arial"/>
          <w:b/>
          <w:sz w:val="20"/>
          <w:szCs w:val="20"/>
        </w:rPr>
        <w:t>30.9.2022.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neakceptace připomínek zadavatelem bude o tomto vyrozuměn pouze připomínkující účastník zadávacího řízení nejpozději </w:t>
      </w:r>
      <w:r>
        <w:rPr>
          <w:rFonts w:cs="Arial"/>
          <w:b/>
          <w:sz w:val="20"/>
          <w:szCs w:val="20"/>
        </w:rPr>
        <w:t>30.9.2022.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Náklady na zpracování nabídky nese v plném rozsahu účastník zadávacího řízení.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o zakázku, který předloží nabídku prodávajícímu, a bude prodávajícím vybrán, jako kupující, je zavázán uzavřít s objednatelem smlouvu podle předložené nabídky. 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Vybraný kupující je povinen poskytnout zadavateli řádnou součinnost potřebnou k uzavření smlouvy tak, aby byla smlouva uzavřena ve lhůtě do 15 dnů po odeslání výzvy k uzavření smlouvy. Odmítne-li vybraný kupující uzavřít se zadavatelem smlouvu, nebo </w:t>
      </w:r>
      <w:proofErr w:type="gramStart"/>
      <w:r>
        <w:rPr>
          <w:rFonts w:cs="Arial"/>
          <w:sz w:val="20"/>
          <w:szCs w:val="20"/>
        </w:rPr>
        <w:t>neposkytne–</w:t>
      </w:r>
      <w:proofErr w:type="spellStart"/>
      <w:r>
        <w:rPr>
          <w:rFonts w:cs="Arial"/>
          <w:sz w:val="20"/>
          <w:szCs w:val="20"/>
        </w:rPr>
        <w:t>li</w:t>
      </w:r>
      <w:proofErr w:type="spellEnd"/>
      <w:proofErr w:type="gramEnd"/>
      <w:r>
        <w:rPr>
          <w:rFonts w:cs="Arial"/>
          <w:sz w:val="20"/>
          <w:szCs w:val="20"/>
        </w:rPr>
        <w:t xml:space="preserve">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kupujícího.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kupujícího, jehož nabídka nebude splňovat podmínky stanovené výzvou či zadávací dokumentací.</w:t>
      </w: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Kupující, který v rámci veřejné zakázky projeví zájem o výběrové řízení vypsané státním podnikem Povodí Ohře, prohlašuje, že se seznámil se zásadami, hodnotami a cíli </w:t>
      </w:r>
      <w:proofErr w:type="spellStart"/>
      <w:r>
        <w:rPr>
          <w:rFonts w:cs="Arial"/>
          <w:sz w:val="20"/>
          <w:szCs w:val="20"/>
        </w:rPr>
        <w:t>Compliance</w:t>
      </w:r>
      <w:proofErr w:type="spellEnd"/>
      <w:r>
        <w:rPr>
          <w:rFonts w:cs="Arial"/>
          <w:sz w:val="20"/>
          <w:szCs w:val="20"/>
        </w:rPr>
        <w:t xml:space="preserve"> programu Povodí Ohře, státní podnik viz </w:t>
      </w:r>
      <w:hyperlink r:id="rId11" w:history="1">
        <w:r>
          <w:rPr>
            <w:rStyle w:val="Hypertextovodkaz"/>
            <w:rFonts w:cs="Arial"/>
            <w:sz w:val="20"/>
            <w:szCs w:val="20"/>
          </w:rPr>
          <w:t>(http://www.poh.cz/protikorupcni-a-compliance-program/d-1346/p1=1458)</w:t>
        </w:r>
      </w:hyperlink>
      <w:r>
        <w:rPr>
          <w:rFonts w:cs="Arial"/>
          <w:sz w:val="20"/>
          <w:szCs w:val="20"/>
        </w:rPr>
        <w:t xml:space="preserve">, dále s Etickým kodexem Povodí Ohře, státní podnik, Protikorupčním programem Povodí Ohře, státní podnik, Ochranou a zpracováním osobních údajů viz </w:t>
      </w:r>
      <w:r>
        <w:rPr>
          <w:rFonts w:cs="Arial"/>
          <w:sz w:val="20"/>
          <w:szCs w:val="20"/>
          <w:u w:val="single"/>
        </w:rPr>
        <w:t>(</w:t>
      </w:r>
      <w:hyperlink r:id="rId12" w:history="1">
        <w:r>
          <w:rPr>
            <w:rStyle w:val="Hypertextovodkaz"/>
            <w:rFonts w:cs="Arial"/>
            <w:sz w:val="20"/>
            <w:szCs w:val="20"/>
          </w:rPr>
          <w:t>http://www.poh.cz/informace-o-zpracovani-osobnich-udaju/d-1369/p1=1459</w:t>
        </w:r>
      </w:hyperlink>
      <w:r>
        <w:rPr>
          <w:rFonts w:cs="Arial"/>
          <w:sz w:val="20"/>
          <w:szCs w:val="20"/>
          <w:u w:val="single"/>
        </w:rPr>
        <w:t>).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Kupující se zavazuje po celou dobu zadávacího procesu dodržovat zásady a hodnoty obsažené v uvedených dokumentech, pokud to jejich povaha umožňuje.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ředitelka závodu Karlovy Vary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Přílohy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Návrh smlouvy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Krycí list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 k finančním sankcím</w:t>
      </w:r>
    </w:p>
    <w:p w:rsidR="00384E18" w:rsidRDefault="00384E18" w:rsidP="00384E18">
      <w:pPr>
        <w:jc w:val="both"/>
        <w:rPr>
          <w:rFonts w:cs="Arial"/>
          <w:sz w:val="20"/>
          <w:szCs w:val="20"/>
        </w:rPr>
      </w:pPr>
    </w:p>
    <w:p w:rsidR="00384E18" w:rsidRDefault="00384E18" w:rsidP="00384E18"/>
    <w:p w:rsidR="00384E18" w:rsidRDefault="00384E18" w:rsidP="0099776F"/>
    <w:sectPr w:rsidR="00384E18" w:rsidSect="00B05708">
      <w:headerReference w:type="default" r:id="rId13"/>
      <w:footerReference w:type="default" r:id="rId14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D8" w:rsidRDefault="00D450D8">
      <w:r>
        <w:separator/>
      </w:r>
    </w:p>
  </w:endnote>
  <w:endnote w:type="continuationSeparator" w:id="0">
    <w:p w:rsidR="00D450D8" w:rsidRDefault="00D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24" w:rsidRDefault="00D851C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-294640</wp:posOffset>
          </wp:positionV>
          <wp:extent cx="6221730" cy="675640"/>
          <wp:effectExtent l="0" t="0" r="762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a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17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D8" w:rsidRDefault="00D450D8">
      <w:r>
        <w:separator/>
      </w:r>
    </w:p>
  </w:footnote>
  <w:footnote w:type="continuationSeparator" w:id="0">
    <w:p w:rsidR="00D450D8" w:rsidRDefault="00D4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7A1C9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79B7A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706F1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1C3D7E">
      <w:rPr>
        <w:rFonts w:cs="Arial"/>
        <w:color w:val="808080"/>
        <w:sz w:val="18"/>
        <w:szCs w:val="18"/>
      </w:rPr>
      <w:t>POH/49339/2022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1C3D7E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FD72FF">
      <w:rPr>
        <w:rFonts w:cs="Arial"/>
        <w:noProof/>
        <w:color w:val="808080"/>
        <w:sz w:val="18"/>
        <w:szCs w:val="18"/>
      </w:rPr>
      <w:t>24.10.2022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D19A0"/>
    <w:multiLevelType w:val="hybridMultilevel"/>
    <w:tmpl w:val="73D67118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>
      <w:start w:val="1"/>
      <w:numFmt w:val="lowerLetter"/>
      <w:lvlText w:val="%2."/>
      <w:lvlJc w:val="left"/>
      <w:pPr>
        <w:ind w:left="1571" w:hanging="360"/>
      </w:pPr>
    </w:lvl>
    <w:lvl w:ilvl="2" w:tplc="0405001B">
      <w:start w:val="1"/>
      <w:numFmt w:val="lowerRoman"/>
      <w:lvlText w:val="%3."/>
      <w:lvlJc w:val="right"/>
      <w:pPr>
        <w:ind w:left="2291" w:hanging="180"/>
      </w:pPr>
    </w:lvl>
    <w:lvl w:ilvl="3" w:tplc="0405000F">
      <w:start w:val="1"/>
      <w:numFmt w:val="decimal"/>
      <w:lvlText w:val="%4."/>
      <w:lvlJc w:val="left"/>
      <w:pPr>
        <w:ind w:left="3011" w:hanging="360"/>
      </w:pPr>
    </w:lvl>
    <w:lvl w:ilvl="4" w:tplc="04050019">
      <w:start w:val="1"/>
      <w:numFmt w:val="lowerLetter"/>
      <w:lvlText w:val="%5."/>
      <w:lvlJc w:val="left"/>
      <w:pPr>
        <w:ind w:left="3731" w:hanging="360"/>
      </w:pPr>
    </w:lvl>
    <w:lvl w:ilvl="5" w:tplc="0405001B">
      <w:start w:val="1"/>
      <w:numFmt w:val="lowerRoman"/>
      <w:lvlText w:val="%6."/>
      <w:lvlJc w:val="right"/>
      <w:pPr>
        <w:ind w:left="4451" w:hanging="180"/>
      </w:pPr>
    </w:lvl>
    <w:lvl w:ilvl="6" w:tplc="0405000F">
      <w:start w:val="1"/>
      <w:numFmt w:val="decimal"/>
      <w:lvlText w:val="%7."/>
      <w:lvlJc w:val="left"/>
      <w:pPr>
        <w:ind w:left="5171" w:hanging="360"/>
      </w:pPr>
    </w:lvl>
    <w:lvl w:ilvl="7" w:tplc="04050019">
      <w:start w:val="1"/>
      <w:numFmt w:val="lowerLetter"/>
      <w:lvlText w:val="%8."/>
      <w:lvlJc w:val="left"/>
      <w:pPr>
        <w:ind w:left="5891" w:hanging="360"/>
      </w:pPr>
    </w:lvl>
    <w:lvl w:ilvl="8" w:tplc="0405001B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7"/>
  </w:num>
  <w:num w:numId="7">
    <w:abstractNumId w:val="14"/>
  </w:num>
  <w:num w:numId="8">
    <w:abstractNumId w:val="9"/>
  </w:num>
  <w:num w:numId="9">
    <w:abstractNumId w:val="12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3D7E"/>
    <w:rsid w:val="001C4EED"/>
    <w:rsid w:val="001E41DC"/>
    <w:rsid w:val="001E6123"/>
    <w:rsid w:val="002036C0"/>
    <w:rsid w:val="00204B82"/>
    <w:rsid w:val="00231CE7"/>
    <w:rsid w:val="00240307"/>
    <w:rsid w:val="00240D4B"/>
    <w:rsid w:val="00252232"/>
    <w:rsid w:val="00253739"/>
    <w:rsid w:val="00296BE4"/>
    <w:rsid w:val="002B7B35"/>
    <w:rsid w:val="002C3C46"/>
    <w:rsid w:val="002C3DAC"/>
    <w:rsid w:val="002D16D1"/>
    <w:rsid w:val="002D3CCB"/>
    <w:rsid w:val="002D42BE"/>
    <w:rsid w:val="002D76D4"/>
    <w:rsid w:val="00312E62"/>
    <w:rsid w:val="00320F39"/>
    <w:rsid w:val="003217A2"/>
    <w:rsid w:val="0034007F"/>
    <w:rsid w:val="0035040A"/>
    <w:rsid w:val="00366A94"/>
    <w:rsid w:val="00375ABD"/>
    <w:rsid w:val="00384E18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5F2DB5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B044B"/>
    <w:rsid w:val="009C51B9"/>
    <w:rsid w:val="009C6604"/>
    <w:rsid w:val="009F401C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A70"/>
    <w:rsid w:val="00AB6F7A"/>
    <w:rsid w:val="00AE4C84"/>
    <w:rsid w:val="00AE667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A15E6"/>
    <w:rsid w:val="00BA20F6"/>
    <w:rsid w:val="00BC1934"/>
    <w:rsid w:val="00BC2D9D"/>
    <w:rsid w:val="00BD2AB9"/>
    <w:rsid w:val="00BD75D3"/>
    <w:rsid w:val="00BE25F8"/>
    <w:rsid w:val="00BF4C7A"/>
    <w:rsid w:val="00C108FF"/>
    <w:rsid w:val="00C134C1"/>
    <w:rsid w:val="00C17822"/>
    <w:rsid w:val="00C4426E"/>
    <w:rsid w:val="00C66A35"/>
    <w:rsid w:val="00C7128B"/>
    <w:rsid w:val="00C964EE"/>
    <w:rsid w:val="00CB0F81"/>
    <w:rsid w:val="00CB2424"/>
    <w:rsid w:val="00CC6706"/>
    <w:rsid w:val="00CD4BA0"/>
    <w:rsid w:val="00D23462"/>
    <w:rsid w:val="00D433D1"/>
    <w:rsid w:val="00D450D8"/>
    <w:rsid w:val="00D524A9"/>
    <w:rsid w:val="00D531D2"/>
    <w:rsid w:val="00D6264D"/>
    <w:rsid w:val="00D64591"/>
    <w:rsid w:val="00D74DA5"/>
    <w:rsid w:val="00D80035"/>
    <w:rsid w:val="00D851C3"/>
    <w:rsid w:val="00D960C5"/>
    <w:rsid w:val="00D97EEC"/>
    <w:rsid w:val="00DA21D0"/>
    <w:rsid w:val="00DC25ED"/>
    <w:rsid w:val="00DC32B0"/>
    <w:rsid w:val="00DD74E9"/>
    <w:rsid w:val="00DF56B4"/>
    <w:rsid w:val="00DF75E5"/>
    <w:rsid w:val="00E01564"/>
    <w:rsid w:val="00E11934"/>
    <w:rsid w:val="00E23C8F"/>
    <w:rsid w:val="00E33127"/>
    <w:rsid w:val="00E5585E"/>
    <w:rsid w:val="00E55B18"/>
    <w:rsid w:val="00E9111A"/>
    <w:rsid w:val="00EB73EA"/>
    <w:rsid w:val="00EC2FA0"/>
    <w:rsid w:val="00EE30BC"/>
    <w:rsid w:val="00F007A4"/>
    <w:rsid w:val="00F035CD"/>
    <w:rsid w:val="00F0689E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2FF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4FBFE"/>
  <w15:docId w15:val="{7F81F1B3-4A5B-418B-A4E2-6F3AB83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384E18"/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384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protikorupcni-a-compliance-program/d-1346/p1=145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Krbová Veronika</dc:creator>
  <cp:lastModifiedBy>Osvaldová Lucie</cp:lastModifiedBy>
  <cp:revision>3</cp:revision>
  <cp:lastPrinted>2009-09-21T05:15:00Z</cp:lastPrinted>
  <dcterms:created xsi:type="dcterms:W3CDTF">2022-10-04T05:51:00Z</dcterms:created>
  <dcterms:modified xsi:type="dcterms:W3CDTF">2022-10-24T09:34:00Z</dcterms:modified>
</cp:coreProperties>
</file>