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AA6" w14:textId="77777777" w:rsidR="00506B7F" w:rsidRDefault="00775A8E">
      <w:pPr>
        <w:pStyle w:val="Style12"/>
        <w:keepNext/>
        <w:keepLines/>
        <w:shd w:val="clear" w:color="auto" w:fill="auto"/>
      </w:pPr>
      <w:bookmarkStart w:id="0" w:name="bookmark10"/>
      <w:bookmarkStart w:id="1" w:name="bookmark11"/>
      <w:bookmarkStart w:id="2" w:name="bookmark9"/>
      <w:r>
        <w:t>SMLOUVA O DÍLO č. 221149</w:t>
      </w:r>
      <w:bookmarkEnd w:id="0"/>
      <w:bookmarkEnd w:id="1"/>
      <w:bookmarkEnd w:id="2"/>
    </w:p>
    <w:p w14:paraId="4D408F1C" w14:textId="77777777" w:rsidR="00506B7F" w:rsidRDefault="00775A8E">
      <w:pPr>
        <w:pStyle w:val="Style2"/>
        <w:shd w:val="clear" w:color="auto" w:fill="auto"/>
        <w:spacing w:after="780"/>
        <w:jc w:val="center"/>
      </w:pPr>
      <w:r>
        <w:t xml:space="preserve">Uzavřená níže uvedeného dne, měsíce a roku podle </w:t>
      </w:r>
      <w:proofErr w:type="spellStart"/>
      <w:r>
        <w:t>ust</w:t>
      </w:r>
      <w:proofErr w:type="spellEnd"/>
      <w:r>
        <w:t>. § 2586 a násl. zákona č. 89/2012</w:t>
      </w:r>
      <w:r>
        <w:br/>
        <w:t>Sb. občanský zákoník, ve znění pozdějších předpisů, mezi těmito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6067"/>
      </w:tblGrid>
      <w:tr w:rsidR="00506B7F" w14:paraId="7BC4867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73" w:type="dxa"/>
            <w:shd w:val="clear" w:color="auto" w:fill="FFFFFF"/>
          </w:tcPr>
          <w:p w14:paraId="40BF16D7" w14:textId="77777777" w:rsidR="00506B7F" w:rsidRDefault="00775A8E">
            <w:pPr>
              <w:pStyle w:val="Style20"/>
              <w:shd w:val="clear" w:color="auto" w:fill="auto"/>
              <w:spacing w:line="240" w:lineRule="auto"/>
            </w:pPr>
            <w:r>
              <w:t>společnost;</w:t>
            </w:r>
          </w:p>
        </w:tc>
        <w:tc>
          <w:tcPr>
            <w:tcW w:w="6067" w:type="dxa"/>
            <w:shd w:val="clear" w:color="auto" w:fill="FFFFFF"/>
          </w:tcPr>
          <w:p w14:paraId="7DDBFEA2" w14:textId="77777777" w:rsidR="00506B7F" w:rsidRDefault="00775A8E">
            <w:pPr>
              <w:pStyle w:val="Style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eastAsia="en-US" w:bidi="en-US"/>
              </w:rPr>
              <w:t xml:space="preserve">SPECIAL </w:t>
            </w:r>
            <w:r>
              <w:rPr>
                <w:b/>
                <w:bCs/>
                <w:sz w:val="24"/>
                <w:szCs w:val="24"/>
              </w:rPr>
              <w:t>HOBBY s.r.o.</w:t>
            </w:r>
          </w:p>
        </w:tc>
      </w:tr>
      <w:tr w:rsidR="00506B7F" w14:paraId="5E32FAC5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573" w:type="dxa"/>
            <w:shd w:val="clear" w:color="auto" w:fill="FFFFFF"/>
          </w:tcPr>
          <w:p w14:paraId="3D672F37" w14:textId="77777777" w:rsidR="00506B7F" w:rsidRDefault="00775A8E">
            <w:pPr>
              <w:pStyle w:val="Style20"/>
              <w:shd w:val="clear" w:color="auto" w:fill="auto"/>
            </w:pPr>
            <w:r>
              <w:t>se sídlem: IČ;</w:t>
            </w:r>
          </w:p>
          <w:p w14:paraId="3A8B1C6F" w14:textId="77777777" w:rsidR="00506B7F" w:rsidRDefault="00775A8E">
            <w:pPr>
              <w:pStyle w:val="Style20"/>
              <w:shd w:val="clear" w:color="auto" w:fill="auto"/>
            </w:pPr>
            <w:r>
              <w:t>DIČ;</w:t>
            </w:r>
          </w:p>
        </w:tc>
        <w:tc>
          <w:tcPr>
            <w:tcW w:w="6067" w:type="dxa"/>
            <w:shd w:val="clear" w:color="auto" w:fill="FFFFFF"/>
          </w:tcPr>
          <w:p w14:paraId="05CEA4CC" w14:textId="77777777" w:rsidR="00506B7F" w:rsidRDefault="00775A8E">
            <w:pPr>
              <w:pStyle w:val="Style20"/>
              <w:shd w:val="clear" w:color="auto" w:fill="auto"/>
              <w:ind w:left="140" w:firstLine="40"/>
            </w:pPr>
            <w:r>
              <w:t xml:space="preserve">V </w:t>
            </w:r>
            <w:r>
              <w:t>lipkách 775/1, Slivenec, 154 00 Praha 61676357</w:t>
            </w:r>
          </w:p>
          <w:p w14:paraId="6394CABF" w14:textId="77777777" w:rsidR="00506B7F" w:rsidRDefault="00775A8E">
            <w:pPr>
              <w:pStyle w:val="Style20"/>
              <w:shd w:val="clear" w:color="auto" w:fill="auto"/>
              <w:ind w:left="140" w:firstLine="40"/>
            </w:pPr>
            <w:r>
              <w:t>CZ61676357</w:t>
            </w:r>
          </w:p>
        </w:tc>
      </w:tr>
      <w:tr w:rsidR="00506B7F" w14:paraId="3DBEB91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73" w:type="dxa"/>
            <w:shd w:val="clear" w:color="auto" w:fill="FFFFFF"/>
            <w:vAlign w:val="bottom"/>
          </w:tcPr>
          <w:p w14:paraId="64CB3B4B" w14:textId="77777777" w:rsidR="00506B7F" w:rsidRDefault="00775A8E">
            <w:pPr>
              <w:pStyle w:val="Style20"/>
              <w:shd w:val="clear" w:color="auto" w:fill="auto"/>
              <w:spacing w:line="240" w:lineRule="auto"/>
            </w:pPr>
            <w:r>
              <w:t>zapsaná:</w:t>
            </w:r>
          </w:p>
        </w:tc>
        <w:tc>
          <w:tcPr>
            <w:tcW w:w="6067" w:type="dxa"/>
            <w:shd w:val="clear" w:color="auto" w:fill="FFFFFF"/>
            <w:vAlign w:val="bottom"/>
          </w:tcPr>
          <w:p w14:paraId="63AEA361" w14:textId="77777777" w:rsidR="00506B7F" w:rsidRDefault="00775A8E">
            <w:pPr>
              <w:pStyle w:val="Style20"/>
              <w:shd w:val="clear" w:color="auto" w:fill="auto"/>
              <w:spacing w:line="240" w:lineRule="auto"/>
              <w:ind w:firstLine="140"/>
            </w:pPr>
            <w:r>
              <w:t>C 38818 vedená u Městského soudu v Praze</w:t>
            </w:r>
          </w:p>
        </w:tc>
      </w:tr>
      <w:tr w:rsidR="00506B7F" w14:paraId="372B91F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73" w:type="dxa"/>
            <w:shd w:val="clear" w:color="auto" w:fill="FFFFFF"/>
          </w:tcPr>
          <w:p w14:paraId="58CFCD65" w14:textId="77777777" w:rsidR="00506B7F" w:rsidRDefault="00775A8E">
            <w:pPr>
              <w:pStyle w:val="Style20"/>
              <w:shd w:val="clear" w:color="auto" w:fill="auto"/>
              <w:spacing w:line="240" w:lineRule="auto"/>
            </w:pPr>
            <w:r>
              <w:t>zastoupena:</w:t>
            </w:r>
          </w:p>
        </w:tc>
        <w:tc>
          <w:tcPr>
            <w:tcW w:w="6067" w:type="dxa"/>
            <w:shd w:val="clear" w:color="auto" w:fill="FFFFFF"/>
          </w:tcPr>
          <w:p w14:paraId="37078950" w14:textId="77777777" w:rsidR="00506B7F" w:rsidRDefault="00775A8E">
            <w:pPr>
              <w:pStyle w:val="Style20"/>
              <w:shd w:val="clear" w:color="auto" w:fill="auto"/>
              <w:spacing w:line="240" w:lineRule="auto"/>
              <w:ind w:firstLine="140"/>
            </w:pPr>
            <w:r>
              <w:t>Jiří Šilhánek</w:t>
            </w:r>
          </w:p>
        </w:tc>
      </w:tr>
      <w:tr w:rsidR="00506B7F" w14:paraId="1893142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73" w:type="dxa"/>
            <w:shd w:val="clear" w:color="auto" w:fill="FFFFFF"/>
            <w:vAlign w:val="bottom"/>
          </w:tcPr>
          <w:p w14:paraId="1D8A6FCB" w14:textId="77777777" w:rsidR="00506B7F" w:rsidRDefault="00775A8E">
            <w:pPr>
              <w:pStyle w:val="Style20"/>
              <w:shd w:val="clear" w:color="auto" w:fill="auto"/>
              <w:spacing w:line="240" w:lineRule="auto"/>
            </w:pPr>
            <w:r>
              <w:t>adresa pro doručování:</w:t>
            </w:r>
          </w:p>
        </w:tc>
        <w:tc>
          <w:tcPr>
            <w:tcW w:w="6067" w:type="dxa"/>
            <w:shd w:val="clear" w:color="auto" w:fill="FFFFFF"/>
            <w:vAlign w:val="bottom"/>
          </w:tcPr>
          <w:p w14:paraId="62EF7CC9" w14:textId="19D4F76A" w:rsidR="00506B7F" w:rsidRDefault="00775A8E">
            <w:pPr>
              <w:pStyle w:val="Style20"/>
              <w:shd w:val="clear" w:color="auto" w:fill="auto"/>
              <w:spacing w:line="240" w:lineRule="auto"/>
              <w:ind w:firstLine="140"/>
            </w:pPr>
            <w:proofErr w:type="spellStart"/>
            <w:r>
              <w:t>xxxxxxxxxxxxxxxxx</w:t>
            </w:r>
            <w:proofErr w:type="spellEnd"/>
          </w:p>
        </w:tc>
      </w:tr>
      <w:tr w:rsidR="00506B7F" w14:paraId="1EFC1D4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73" w:type="dxa"/>
            <w:shd w:val="clear" w:color="auto" w:fill="FFFFFF"/>
          </w:tcPr>
          <w:p w14:paraId="5D78A336" w14:textId="77777777" w:rsidR="00506B7F" w:rsidRDefault="00775A8E">
            <w:pPr>
              <w:pStyle w:val="Style2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067" w:type="dxa"/>
            <w:shd w:val="clear" w:color="auto" w:fill="FFFFFF"/>
          </w:tcPr>
          <w:p w14:paraId="781A2B4D" w14:textId="3F3E05AC" w:rsidR="00506B7F" w:rsidRDefault="00775A8E">
            <w:pPr>
              <w:pStyle w:val="Style20"/>
              <w:shd w:val="clear" w:color="auto" w:fill="auto"/>
              <w:spacing w:line="240" w:lineRule="auto"/>
              <w:ind w:firstLine="140"/>
            </w:pPr>
            <w:proofErr w:type="spellStart"/>
            <w:r>
              <w:t>xxxxxxxxxxxxxxxxx</w:t>
            </w:r>
            <w:proofErr w:type="spellEnd"/>
          </w:p>
        </w:tc>
      </w:tr>
      <w:tr w:rsidR="00506B7F" w14:paraId="70F6613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73" w:type="dxa"/>
            <w:shd w:val="clear" w:color="auto" w:fill="FFFFFF"/>
          </w:tcPr>
          <w:p w14:paraId="48FB6995" w14:textId="77777777" w:rsidR="00506B7F" w:rsidRDefault="00775A8E">
            <w:pPr>
              <w:pStyle w:val="Style2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067" w:type="dxa"/>
            <w:shd w:val="clear" w:color="auto" w:fill="FFFFFF"/>
          </w:tcPr>
          <w:p w14:paraId="700E5596" w14:textId="1DC20B1E" w:rsidR="00506B7F" w:rsidRDefault="00775A8E">
            <w:pPr>
              <w:pStyle w:val="Style20"/>
              <w:shd w:val="clear" w:color="auto" w:fill="auto"/>
              <w:spacing w:line="240" w:lineRule="auto"/>
              <w:ind w:firstLine="140"/>
            </w:pPr>
            <w:proofErr w:type="spellStart"/>
            <w:r>
              <w:t>xxxxxxxxxxxxxxxxxx</w:t>
            </w:r>
            <w:proofErr w:type="spellEnd"/>
          </w:p>
        </w:tc>
      </w:tr>
    </w:tbl>
    <w:p w14:paraId="36FD43D7" w14:textId="77777777" w:rsidR="00506B7F" w:rsidRDefault="00775A8E">
      <w:pPr>
        <w:pStyle w:val="Style17"/>
        <w:shd w:val="clear" w:color="auto" w:fill="auto"/>
        <w:ind w:left="24"/>
      </w:pPr>
      <w:r>
        <w:t>na straně jedné jako zhotovitel</w:t>
      </w:r>
    </w:p>
    <w:p w14:paraId="2D20717D" w14:textId="77777777" w:rsidR="00506B7F" w:rsidRDefault="00775A8E">
      <w:pPr>
        <w:pStyle w:val="Style17"/>
        <w:shd w:val="clear" w:color="auto" w:fill="auto"/>
        <w:ind w:left="24"/>
        <w:rPr>
          <w:sz w:val="24"/>
          <w:szCs w:val="24"/>
        </w:rPr>
      </w:pPr>
      <w:r>
        <w:t xml:space="preserve">(dále jen </w:t>
      </w:r>
      <w:r>
        <w:rPr>
          <w:b/>
          <w:bCs/>
          <w:sz w:val="24"/>
          <w:szCs w:val="24"/>
        </w:rPr>
        <w:t>"Zhotovitel")</w:t>
      </w:r>
    </w:p>
    <w:p w14:paraId="50AE8ED8" w14:textId="77777777" w:rsidR="00506B7F" w:rsidRDefault="00506B7F">
      <w:pPr>
        <w:spacing w:after="259" w:line="1" w:lineRule="exact"/>
      </w:pPr>
    </w:p>
    <w:p w14:paraId="53AAC46B" w14:textId="77777777" w:rsidR="00506B7F" w:rsidRDefault="00775A8E">
      <w:pPr>
        <w:pStyle w:val="Style2"/>
        <w:shd w:val="clear" w:color="auto" w:fill="auto"/>
        <w:spacing w:after="260"/>
        <w:jc w:val="both"/>
      </w:pPr>
      <w:r>
        <w:t>a</w:t>
      </w:r>
    </w:p>
    <w:p w14:paraId="593E0F71" w14:textId="77777777" w:rsidR="00506B7F" w:rsidRDefault="00775A8E">
      <w:pPr>
        <w:pStyle w:val="Style4"/>
        <w:keepNext/>
        <w:keepLines/>
        <w:shd w:val="clear" w:color="auto" w:fill="auto"/>
        <w:jc w:val="both"/>
      </w:pPr>
      <w:bookmarkStart w:id="3" w:name="bookmark12"/>
      <w:bookmarkStart w:id="4" w:name="bookmark13"/>
      <w:bookmarkStart w:id="5" w:name="bookmark14"/>
      <w:r>
        <w:t>Národní muzeum</w:t>
      </w:r>
      <w:bookmarkEnd w:id="3"/>
      <w:bookmarkEnd w:id="4"/>
      <w:bookmarkEnd w:id="5"/>
    </w:p>
    <w:p w14:paraId="3CE34256" w14:textId="77777777" w:rsidR="00506B7F" w:rsidRDefault="00775A8E">
      <w:pPr>
        <w:pStyle w:val="Style2"/>
        <w:shd w:val="clear" w:color="auto" w:fill="auto"/>
      </w:pPr>
      <w:r>
        <w:t>příspěvková organizace nepodléhající zápisu do obchodního rejstříku, zřízená zřizovací listinou č. j. 17461/2000 ze dne 27. 12. 2000</w:t>
      </w:r>
    </w:p>
    <w:p w14:paraId="7574A060" w14:textId="77777777" w:rsidR="00506B7F" w:rsidRDefault="00775A8E">
      <w:pPr>
        <w:pStyle w:val="Style2"/>
        <w:shd w:val="clear" w:color="auto" w:fill="auto"/>
        <w:jc w:val="both"/>
      </w:pPr>
      <w:r>
        <w:t xml:space="preserve">Václavské náměstí </w:t>
      </w:r>
      <w:r>
        <w:t>1700/68, 115 79 Praha 1, Nové Město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6067"/>
      </w:tblGrid>
      <w:tr w:rsidR="00506B7F" w14:paraId="4B7C2971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573" w:type="dxa"/>
            <w:shd w:val="clear" w:color="auto" w:fill="FFFFFF"/>
          </w:tcPr>
          <w:p w14:paraId="1639797D" w14:textId="77777777" w:rsidR="00506B7F" w:rsidRDefault="00775A8E">
            <w:pPr>
              <w:pStyle w:val="Style20"/>
              <w:shd w:val="clear" w:color="auto" w:fill="auto"/>
              <w:spacing w:line="240" w:lineRule="auto"/>
            </w:pPr>
            <w:r>
              <w:t>Osoby oprávněné jednat a) ve věcech smluvních;</w:t>
            </w:r>
          </w:p>
        </w:tc>
        <w:tc>
          <w:tcPr>
            <w:tcW w:w="6067" w:type="dxa"/>
            <w:shd w:val="clear" w:color="auto" w:fill="FFFFFF"/>
            <w:vAlign w:val="bottom"/>
          </w:tcPr>
          <w:p w14:paraId="35F67891" w14:textId="52400DFB" w:rsidR="00506B7F" w:rsidRDefault="00775A8E">
            <w:pPr>
              <w:pStyle w:val="Style20"/>
              <w:shd w:val="clear" w:color="auto" w:fill="auto"/>
              <w:spacing w:line="254" w:lineRule="auto"/>
              <w:ind w:left="140" w:firstLine="40"/>
            </w:pPr>
            <w:proofErr w:type="spellStart"/>
            <w:r>
              <w:t>xxxxxxxxxxxxxxxxxxxxxxxxxxxxxxxxxxxxxxxxxxxxx</w:t>
            </w:r>
            <w:proofErr w:type="spellEnd"/>
            <w:r>
              <w:t xml:space="preserve"> </w:t>
            </w:r>
            <w:proofErr w:type="spellStart"/>
            <w:r>
              <w:t>xxxxxxxxxxxxxx</w:t>
            </w:r>
            <w:proofErr w:type="spellEnd"/>
          </w:p>
        </w:tc>
      </w:tr>
      <w:tr w:rsidR="00506B7F" w14:paraId="2BF461D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73" w:type="dxa"/>
            <w:shd w:val="clear" w:color="auto" w:fill="FFFFFF"/>
            <w:vAlign w:val="bottom"/>
          </w:tcPr>
          <w:p w14:paraId="754EBAED" w14:textId="77777777" w:rsidR="00506B7F" w:rsidRDefault="00775A8E">
            <w:pPr>
              <w:pStyle w:val="Style20"/>
              <w:shd w:val="clear" w:color="auto" w:fill="auto"/>
              <w:spacing w:line="240" w:lineRule="auto"/>
            </w:pPr>
            <w:r>
              <w:t>b) objednávky;</w:t>
            </w:r>
          </w:p>
        </w:tc>
        <w:tc>
          <w:tcPr>
            <w:tcW w:w="6067" w:type="dxa"/>
            <w:shd w:val="clear" w:color="auto" w:fill="FFFFFF"/>
            <w:vAlign w:val="bottom"/>
          </w:tcPr>
          <w:p w14:paraId="6865FEFF" w14:textId="7D4359E9" w:rsidR="00506B7F" w:rsidRDefault="00775A8E">
            <w:pPr>
              <w:pStyle w:val="Style20"/>
              <w:shd w:val="clear" w:color="auto" w:fill="auto"/>
              <w:spacing w:line="240" w:lineRule="auto"/>
              <w:ind w:firstLine="140"/>
            </w:pPr>
            <w:proofErr w:type="spellStart"/>
            <w:r>
              <w:t>xxxxxxxxxxxxxxxxxxxx</w:t>
            </w:r>
            <w:proofErr w:type="spellEnd"/>
          </w:p>
        </w:tc>
      </w:tr>
      <w:tr w:rsidR="00506B7F" w14:paraId="095FDAC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73" w:type="dxa"/>
            <w:shd w:val="clear" w:color="auto" w:fill="FFFFFF"/>
          </w:tcPr>
          <w:p w14:paraId="595B4455" w14:textId="77777777" w:rsidR="00506B7F" w:rsidRDefault="00775A8E">
            <w:pPr>
              <w:pStyle w:val="Style20"/>
              <w:shd w:val="clear" w:color="auto" w:fill="auto"/>
              <w:spacing w:line="240" w:lineRule="auto"/>
            </w:pPr>
            <w:r>
              <w:t>IČ;</w:t>
            </w:r>
          </w:p>
        </w:tc>
        <w:tc>
          <w:tcPr>
            <w:tcW w:w="6067" w:type="dxa"/>
            <w:shd w:val="clear" w:color="auto" w:fill="FFFFFF"/>
          </w:tcPr>
          <w:p w14:paraId="1D59640C" w14:textId="77777777" w:rsidR="00506B7F" w:rsidRDefault="00775A8E">
            <w:pPr>
              <w:pStyle w:val="Style20"/>
              <w:shd w:val="clear" w:color="auto" w:fill="auto"/>
              <w:spacing w:line="240" w:lineRule="auto"/>
              <w:ind w:firstLine="140"/>
            </w:pPr>
            <w:r>
              <w:t>00023272,</w:t>
            </w:r>
          </w:p>
        </w:tc>
      </w:tr>
      <w:tr w:rsidR="00506B7F" w14:paraId="36A6B1A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73" w:type="dxa"/>
            <w:shd w:val="clear" w:color="auto" w:fill="FFFFFF"/>
          </w:tcPr>
          <w:p w14:paraId="3D59DE63" w14:textId="77777777" w:rsidR="00506B7F" w:rsidRDefault="00775A8E">
            <w:pPr>
              <w:pStyle w:val="Style20"/>
              <w:shd w:val="clear" w:color="auto" w:fill="auto"/>
              <w:spacing w:line="240" w:lineRule="auto"/>
            </w:pPr>
            <w:r>
              <w:t>DIČ;</w:t>
            </w:r>
          </w:p>
        </w:tc>
        <w:tc>
          <w:tcPr>
            <w:tcW w:w="6067" w:type="dxa"/>
            <w:shd w:val="clear" w:color="auto" w:fill="FFFFFF"/>
          </w:tcPr>
          <w:p w14:paraId="3BB555BB" w14:textId="77777777" w:rsidR="00506B7F" w:rsidRDefault="00775A8E">
            <w:pPr>
              <w:pStyle w:val="Style20"/>
              <w:shd w:val="clear" w:color="auto" w:fill="auto"/>
              <w:spacing w:line="240" w:lineRule="auto"/>
              <w:ind w:firstLine="140"/>
            </w:pPr>
            <w:r>
              <w:t>CZ00023272</w:t>
            </w:r>
          </w:p>
        </w:tc>
      </w:tr>
    </w:tbl>
    <w:p w14:paraId="33F997BA" w14:textId="77777777" w:rsidR="00506B7F" w:rsidRDefault="00775A8E">
      <w:pPr>
        <w:pStyle w:val="Style2"/>
        <w:shd w:val="clear" w:color="auto" w:fill="auto"/>
        <w:tabs>
          <w:tab w:val="left" w:pos="2698"/>
        </w:tabs>
      </w:pPr>
      <w:r>
        <w:t>zastoupeno</w:t>
      </w:r>
      <w:r>
        <w:tab/>
      </w:r>
      <w:proofErr w:type="gramStart"/>
      <w:r>
        <w:t>ing.</w:t>
      </w:r>
      <w:proofErr w:type="gramEnd"/>
      <w:r>
        <w:t xml:space="preserve"> Martinem Součkem, Ph.D., ředitelem ODIS</w:t>
      </w:r>
    </w:p>
    <w:p w14:paraId="093E886D" w14:textId="77777777" w:rsidR="00506B7F" w:rsidRDefault="00775A8E">
      <w:pPr>
        <w:pStyle w:val="Style2"/>
        <w:shd w:val="clear" w:color="auto" w:fill="auto"/>
        <w:jc w:val="both"/>
      </w:pPr>
      <w:r>
        <w:t>na straně druhé jako objednatel</w:t>
      </w:r>
    </w:p>
    <w:p w14:paraId="3F046682" w14:textId="77777777" w:rsidR="00506B7F" w:rsidRDefault="00775A8E">
      <w:pPr>
        <w:pStyle w:val="Style2"/>
        <w:shd w:val="clear" w:color="auto" w:fill="auto"/>
        <w:spacing w:after="260"/>
        <w:rPr>
          <w:sz w:val="24"/>
          <w:szCs w:val="24"/>
        </w:rPr>
      </w:pPr>
      <w:r>
        <w:t xml:space="preserve">(dále jen </w:t>
      </w:r>
      <w:r>
        <w:rPr>
          <w:b/>
          <w:bCs/>
          <w:sz w:val="24"/>
          <w:szCs w:val="24"/>
          <w:u w:val="single"/>
        </w:rPr>
        <w:t>„Objednatel</w:t>
      </w:r>
      <w:r>
        <w:rPr>
          <w:b/>
          <w:bCs/>
          <w:sz w:val="24"/>
          <w:szCs w:val="24"/>
        </w:rPr>
        <w:t>“)</w:t>
      </w:r>
    </w:p>
    <w:p w14:paraId="26DD69D0" w14:textId="77777777" w:rsidR="00506B7F" w:rsidRDefault="00775A8E">
      <w:pPr>
        <w:pStyle w:val="Style2"/>
        <w:shd w:val="clear" w:color="auto" w:fill="auto"/>
        <w:spacing w:after="520" w:line="240" w:lineRule="auto"/>
        <w:jc w:val="both"/>
        <w:rPr>
          <w:sz w:val="24"/>
          <w:szCs w:val="24"/>
        </w:rPr>
      </w:pPr>
      <w:r>
        <w:t xml:space="preserve">(Zhotovitel a Objednatel dále též společně dále jen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  <w:u w:val="single"/>
        </w:rPr>
        <w:t>Strany</w:t>
      </w:r>
      <w:r>
        <w:rPr>
          <w:b/>
          <w:bCs/>
          <w:sz w:val="24"/>
          <w:szCs w:val="24"/>
        </w:rPr>
        <w:t xml:space="preserve">“, </w:t>
      </w:r>
      <w:r>
        <w:t xml:space="preserve">a každý samostatně jako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  <w:u w:val="single"/>
        </w:rPr>
        <w:t>Strana</w:t>
      </w:r>
      <w:r>
        <w:rPr>
          <w:b/>
          <w:bCs/>
          <w:sz w:val="24"/>
          <w:szCs w:val="24"/>
        </w:rPr>
        <w:t>“)</w:t>
      </w:r>
    </w:p>
    <w:p w14:paraId="17310936" w14:textId="77777777" w:rsidR="00506B7F" w:rsidRDefault="00775A8E">
      <w:pPr>
        <w:pStyle w:val="Style4"/>
        <w:keepNext/>
        <w:keepLines/>
        <w:shd w:val="clear" w:color="auto" w:fill="auto"/>
      </w:pPr>
      <w:bookmarkStart w:id="6" w:name="bookmark17"/>
      <w:r>
        <w:t>Článek 1.</w:t>
      </w:r>
      <w:bookmarkEnd w:id="6"/>
    </w:p>
    <w:p w14:paraId="4F3B1C61" w14:textId="77777777" w:rsidR="00506B7F" w:rsidRDefault="00775A8E">
      <w:pPr>
        <w:pStyle w:val="Style4"/>
        <w:keepNext/>
        <w:keepLines/>
        <w:shd w:val="clear" w:color="auto" w:fill="auto"/>
      </w:pPr>
      <w:bookmarkStart w:id="7" w:name="bookmark15"/>
      <w:bookmarkStart w:id="8" w:name="bookmark16"/>
      <w:bookmarkStart w:id="9" w:name="bookmark18"/>
      <w:r>
        <w:t xml:space="preserve">Úvodní </w:t>
      </w:r>
      <w:r>
        <w:t>ustanovení</w:t>
      </w:r>
      <w:bookmarkEnd w:id="7"/>
      <w:bookmarkEnd w:id="8"/>
      <w:bookmarkEnd w:id="9"/>
    </w:p>
    <w:p w14:paraId="29BCA52F" w14:textId="77777777" w:rsidR="00506B7F" w:rsidRDefault="00775A8E">
      <w:pPr>
        <w:pStyle w:val="Style2"/>
        <w:numPr>
          <w:ilvl w:val="0"/>
          <w:numId w:val="1"/>
        </w:numPr>
        <w:shd w:val="clear" w:color="auto" w:fill="auto"/>
        <w:tabs>
          <w:tab w:val="left" w:pos="523"/>
        </w:tabs>
        <w:spacing w:after="520"/>
        <w:ind w:left="540" w:hanging="540"/>
        <w:jc w:val="both"/>
      </w:pPr>
      <w:r>
        <w:t>Zhotovitel se dle této Smlouvy zavazuje pro Objednatele provést dílo specifikované v článku II. této Smlouvy a Objednatel se zavazuje mu za jeho provedení zaplatit cenu specifikovanou v článku IV. této Smlouvy.</w:t>
      </w:r>
    </w:p>
    <w:p w14:paraId="4519BDC9" w14:textId="77777777" w:rsidR="00506B7F" w:rsidRDefault="00775A8E">
      <w:pPr>
        <w:pStyle w:val="Style4"/>
        <w:keepNext/>
        <w:keepLines/>
        <w:shd w:val="clear" w:color="auto" w:fill="auto"/>
      </w:pPr>
      <w:bookmarkStart w:id="10" w:name="bookmark21"/>
      <w:r>
        <w:t>Článek II.</w:t>
      </w:r>
      <w:bookmarkEnd w:id="10"/>
    </w:p>
    <w:p w14:paraId="0792AD54" w14:textId="77777777" w:rsidR="00506B7F" w:rsidRDefault="00775A8E">
      <w:pPr>
        <w:pStyle w:val="Style4"/>
        <w:keepNext/>
        <w:keepLines/>
        <w:shd w:val="clear" w:color="auto" w:fill="auto"/>
      </w:pPr>
      <w:bookmarkStart w:id="11" w:name="bookmark19"/>
      <w:bookmarkStart w:id="12" w:name="bookmark20"/>
      <w:bookmarkStart w:id="13" w:name="bookmark22"/>
      <w:r>
        <w:t>Předmět Smlouvy a předm</w:t>
      </w:r>
      <w:r>
        <w:t>ět díla</w:t>
      </w:r>
      <w:bookmarkEnd w:id="11"/>
      <w:bookmarkEnd w:id="12"/>
      <w:bookmarkEnd w:id="13"/>
    </w:p>
    <w:p w14:paraId="211012CF" w14:textId="77777777" w:rsidR="00506B7F" w:rsidRDefault="00775A8E">
      <w:pPr>
        <w:pStyle w:val="Style2"/>
        <w:numPr>
          <w:ilvl w:val="0"/>
          <w:numId w:val="2"/>
        </w:numPr>
        <w:shd w:val="clear" w:color="auto" w:fill="auto"/>
        <w:tabs>
          <w:tab w:val="left" w:pos="541"/>
        </w:tabs>
        <w:ind w:left="540" w:hanging="540"/>
        <w:jc w:val="both"/>
      </w:pPr>
      <w:r>
        <w:rPr>
          <w:u w:val="single"/>
        </w:rPr>
        <w:t>Předmět této Smlouvy</w:t>
      </w:r>
      <w:r>
        <w:t xml:space="preserve">: Předmětem této Smlouvy je závazek Zhotovitele zhotovit a dodat dle podmínek a technické dokumentace sjednaných v této Smlouvě a její příloze č. 2 pro Objednatele konstrukci pro projekční stěnu a její montáž v místě </w:t>
      </w:r>
      <w:r>
        <w:t>plnění, a závazek Objednatele za podmínek stanovených dále v této Smlouvě dílo převzít a Zhotoviteli zaplatit v čl. IV. této Smlouvy ujednanou cenu díla.</w:t>
      </w:r>
    </w:p>
    <w:p w14:paraId="00AE57E2" w14:textId="77777777" w:rsidR="00506B7F" w:rsidRDefault="00775A8E">
      <w:pPr>
        <w:pStyle w:val="Style2"/>
        <w:numPr>
          <w:ilvl w:val="0"/>
          <w:numId w:val="2"/>
        </w:numPr>
        <w:shd w:val="clear" w:color="auto" w:fill="auto"/>
        <w:tabs>
          <w:tab w:val="left" w:pos="537"/>
        </w:tabs>
        <w:spacing w:line="240" w:lineRule="auto"/>
        <w:ind w:left="560" w:hanging="560"/>
        <w:jc w:val="both"/>
      </w:pPr>
      <w:r>
        <w:rPr>
          <w:u w:val="single"/>
        </w:rPr>
        <w:lastRenderedPageBreak/>
        <w:t>Předmět díla</w:t>
      </w:r>
      <w:r>
        <w:t xml:space="preserve">: Předmětem díla dle této Smlouvy je tedy dodávka a montáž konstrukce pro projekční stěnu pro Objednatele v místě plnění, kterým je Institut intermedií na adrese Technická 2, 166 27 Praha 6 - Dejvice (dále jen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  <w:u w:val="single"/>
        </w:rPr>
        <w:t>Místo plnění</w:t>
      </w:r>
      <w:r>
        <w:rPr>
          <w:b/>
          <w:bCs/>
          <w:sz w:val="24"/>
          <w:szCs w:val="24"/>
        </w:rPr>
        <w:t xml:space="preserve">“) </w:t>
      </w:r>
      <w:r>
        <w:t>podle Nabídky Zhotovitele, kte</w:t>
      </w:r>
      <w:r>
        <w:t xml:space="preserve">rá je jako Příloha č. 1 nedílnou součástí této Smlouvy a obsahuje přesnou specifikaci jednotlivých komponentů konstrukce stěny (dále jen </w:t>
      </w:r>
      <w:r>
        <w:rPr>
          <w:b/>
          <w:bCs/>
          <w:sz w:val="24"/>
          <w:szCs w:val="24"/>
        </w:rPr>
        <w:t xml:space="preserve">„Dílo“) </w:t>
      </w:r>
      <w:r>
        <w:t>dle zadání Objednatele, které je detailně specifikováno v Příloze č. 2 této smlouvy.</w:t>
      </w:r>
    </w:p>
    <w:p w14:paraId="3B6E33EC" w14:textId="77777777" w:rsidR="00506B7F" w:rsidRDefault="00775A8E">
      <w:pPr>
        <w:pStyle w:val="Style2"/>
        <w:numPr>
          <w:ilvl w:val="0"/>
          <w:numId w:val="2"/>
        </w:numPr>
        <w:shd w:val="clear" w:color="auto" w:fill="auto"/>
        <w:tabs>
          <w:tab w:val="left" w:pos="537"/>
        </w:tabs>
        <w:ind w:left="560" w:hanging="560"/>
        <w:jc w:val="both"/>
      </w:pPr>
      <w:r>
        <w:t>Zhotovitel je povinen prov</w:t>
      </w:r>
      <w:r>
        <w:t>ést Dílo na vlastní nebezpečí v souladu s touto Smlouvou, v souladu se zákonem a platnými technickými a dalšími normami, které se vztahují na provádění Díla.</w:t>
      </w:r>
    </w:p>
    <w:p w14:paraId="0DCAAEC5" w14:textId="77777777" w:rsidR="00506B7F" w:rsidRDefault="00775A8E">
      <w:pPr>
        <w:pStyle w:val="Style2"/>
        <w:numPr>
          <w:ilvl w:val="0"/>
          <w:numId w:val="2"/>
        </w:numPr>
        <w:shd w:val="clear" w:color="auto" w:fill="auto"/>
        <w:tabs>
          <w:tab w:val="left" w:pos="537"/>
        </w:tabs>
        <w:spacing w:after="520"/>
        <w:ind w:left="560" w:hanging="560"/>
        <w:jc w:val="both"/>
      </w:pPr>
      <w:r>
        <w:t xml:space="preserve">Zhotovitel je povinen pro Dílo používat výhradně schválené a </w:t>
      </w:r>
      <w:proofErr w:type="spellStart"/>
      <w:r>
        <w:t>certifíkované</w:t>
      </w:r>
      <w:proofErr w:type="spellEnd"/>
      <w:r>
        <w:t xml:space="preserve"> materiály a zařízení.</w:t>
      </w:r>
    </w:p>
    <w:p w14:paraId="339F65D4" w14:textId="77777777" w:rsidR="00506B7F" w:rsidRDefault="00775A8E">
      <w:pPr>
        <w:pStyle w:val="Style4"/>
        <w:keepNext/>
        <w:keepLines/>
        <w:shd w:val="clear" w:color="auto" w:fill="auto"/>
      </w:pPr>
      <w:bookmarkStart w:id="14" w:name="bookmark25"/>
      <w:r>
        <w:t>Č</w:t>
      </w:r>
      <w:r>
        <w:t>lánek III.</w:t>
      </w:r>
      <w:bookmarkEnd w:id="14"/>
    </w:p>
    <w:p w14:paraId="05123A94" w14:textId="77777777" w:rsidR="00506B7F" w:rsidRDefault="00775A8E">
      <w:pPr>
        <w:pStyle w:val="Style4"/>
        <w:keepNext/>
        <w:keepLines/>
        <w:shd w:val="clear" w:color="auto" w:fill="auto"/>
      </w:pPr>
      <w:bookmarkStart w:id="15" w:name="bookmark23"/>
      <w:bookmarkStart w:id="16" w:name="bookmark24"/>
      <w:bookmarkStart w:id="17" w:name="bookmark26"/>
      <w:r>
        <w:t>Doba plnění a předání díla</w:t>
      </w:r>
      <w:bookmarkEnd w:id="15"/>
      <w:bookmarkEnd w:id="16"/>
      <w:bookmarkEnd w:id="17"/>
    </w:p>
    <w:p w14:paraId="275DFAF6" w14:textId="77777777" w:rsidR="00506B7F" w:rsidRDefault="00775A8E">
      <w:pPr>
        <w:pStyle w:val="Style2"/>
        <w:numPr>
          <w:ilvl w:val="0"/>
          <w:numId w:val="3"/>
        </w:numPr>
        <w:shd w:val="clear" w:color="auto" w:fill="auto"/>
        <w:tabs>
          <w:tab w:val="left" w:pos="537"/>
        </w:tabs>
        <w:ind w:left="560" w:hanging="560"/>
        <w:jc w:val="both"/>
      </w:pPr>
      <w:r>
        <w:rPr>
          <w:u w:val="single"/>
        </w:rPr>
        <w:t>Dokončení Díla a jeho protokolární předání</w:t>
      </w:r>
      <w:r>
        <w:t>: Zhotovitel předá Objednateli hotové Dílo bez vad a nedodělků nejpozději do 31.10.2022.</w:t>
      </w:r>
    </w:p>
    <w:p w14:paraId="5B7175E0" w14:textId="77777777" w:rsidR="00506B7F" w:rsidRDefault="00775A8E">
      <w:pPr>
        <w:pStyle w:val="Style2"/>
        <w:numPr>
          <w:ilvl w:val="0"/>
          <w:numId w:val="3"/>
        </w:numPr>
        <w:shd w:val="clear" w:color="auto" w:fill="auto"/>
        <w:tabs>
          <w:tab w:val="left" w:pos="537"/>
        </w:tabs>
        <w:ind w:left="560" w:hanging="560"/>
        <w:jc w:val="both"/>
      </w:pPr>
      <w:r>
        <w:t>Zhotovitel má právo předat Objednateli hotové Dílo před sjednaným termínem a Objednatel</w:t>
      </w:r>
      <w:r>
        <w:t xml:space="preserve"> má povinnost Dílo před tímto termínem převzít.</w:t>
      </w:r>
    </w:p>
    <w:p w14:paraId="2AC3E94B" w14:textId="77777777" w:rsidR="00506B7F" w:rsidRDefault="00775A8E">
      <w:pPr>
        <w:pStyle w:val="Style2"/>
        <w:numPr>
          <w:ilvl w:val="0"/>
          <w:numId w:val="3"/>
        </w:numPr>
        <w:shd w:val="clear" w:color="auto" w:fill="auto"/>
        <w:tabs>
          <w:tab w:val="left" w:pos="537"/>
        </w:tabs>
        <w:ind w:left="560" w:hanging="560"/>
        <w:jc w:val="both"/>
      </w:pPr>
      <w:r>
        <w:t>Objednatel je povinen řádně včas a úplně provedené Dílo v Místě plnění převzít s tím, že se má za to, že okamžikem převzetí je Dílo provedeno, není-li dále ujednáno jinak. Objednatel provede přejímku Díla, ja</w:t>
      </w:r>
      <w:r>
        <w:t>kmile jej k tomu Zhotovitel písemně vyzve, nejpozději do 3 dnů od takové výzvy, za předpokladu, že dílo bude dokončeno v souladu s touto Smlouvou.</w:t>
      </w:r>
    </w:p>
    <w:p w14:paraId="38D9B0B2" w14:textId="77777777" w:rsidR="00506B7F" w:rsidRDefault="00775A8E">
      <w:pPr>
        <w:pStyle w:val="Style2"/>
        <w:numPr>
          <w:ilvl w:val="0"/>
          <w:numId w:val="3"/>
        </w:numPr>
        <w:shd w:val="clear" w:color="auto" w:fill="auto"/>
        <w:tabs>
          <w:tab w:val="left" w:pos="537"/>
        </w:tabs>
        <w:ind w:left="560" w:hanging="560"/>
        <w:jc w:val="both"/>
      </w:pPr>
      <w:r>
        <w:t xml:space="preserve">O převzetí Díla </w:t>
      </w:r>
      <w:proofErr w:type="gramStart"/>
      <w:r>
        <w:t>sepíší</w:t>
      </w:r>
      <w:proofErr w:type="gramEnd"/>
      <w:r>
        <w:t xml:space="preserve"> Strany předávací protokol. Vykazuje-li Dílo vady a nedodělky, které nebrání užívání Dí</w:t>
      </w:r>
      <w:r>
        <w:t>la, uvedou se tyto v předávacím protokolu spolu se lhůtou, v níž se Zhotovitel zaváže uvedené vady a nedodělky odstranit.</w:t>
      </w:r>
    </w:p>
    <w:p w14:paraId="125C7D53" w14:textId="77777777" w:rsidR="00506B7F" w:rsidRDefault="00775A8E">
      <w:pPr>
        <w:pStyle w:val="Style2"/>
        <w:numPr>
          <w:ilvl w:val="0"/>
          <w:numId w:val="3"/>
        </w:numPr>
        <w:shd w:val="clear" w:color="auto" w:fill="auto"/>
        <w:tabs>
          <w:tab w:val="left" w:pos="537"/>
        </w:tabs>
        <w:spacing w:after="520"/>
        <w:ind w:left="560" w:hanging="560"/>
        <w:jc w:val="both"/>
      </w:pPr>
      <w:r>
        <w:t xml:space="preserve">Vykazuje-li Dílo vady a nedodělky, není Objednatel povinen Dílo převzít. Strany v takovém případě ujednají nový přiměřený </w:t>
      </w:r>
      <w:r>
        <w:t>termín, v němž se Zhotovitel zaváže vady a nedodělky odstranit a Dílo předat.</w:t>
      </w:r>
    </w:p>
    <w:p w14:paraId="014098C5" w14:textId="77777777" w:rsidR="00506B7F" w:rsidRDefault="00775A8E">
      <w:pPr>
        <w:pStyle w:val="Style4"/>
        <w:keepNext/>
        <w:keepLines/>
        <w:shd w:val="clear" w:color="auto" w:fill="auto"/>
      </w:pPr>
      <w:bookmarkStart w:id="18" w:name="bookmark29"/>
      <w:r>
        <w:t>Článek IV.</w:t>
      </w:r>
      <w:bookmarkEnd w:id="18"/>
    </w:p>
    <w:p w14:paraId="26317936" w14:textId="77777777" w:rsidR="00506B7F" w:rsidRDefault="00775A8E">
      <w:pPr>
        <w:pStyle w:val="Style4"/>
        <w:keepNext/>
        <w:keepLines/>
        <w:shd w:val="clear" w:color="auto" w:fill="auto"/>
      </w:pPr>
      <w:bookmarkStart w:id="19" w:name="bookmark27"/>
      <w:bookmarkStart w:id="20" w:name="bookmark28"/>
      <w:bookmarkStart w:id="21" w:name="bookmark30"/>
      <w:r>
        <w:t>Cena Díla a způsob její úhrady</w:t>
      </w:r>
      <w:bookmarkEnd w:id="19"/>
      <w:bookmarkEnd w:id="20"/>
      <w:bookmarkEnd w:id="21"/>
    </w:p>
    <w:p w14:paraId="5303D692" w14:textId="77777777" w:rsidR="00506B7F" w:rsidRDefault="00775A8E">
      <w:pPr>
        <w:pStyle w:val="Style2"/>
        <w:numPr>
          <w:ilvl w:val="0"/>
          <w:numId w:val="4"/>
        </w:numPr>
        <w:shd w:val="clear" w:color="auto" w:fill="auto"/>
        <w:tabs>
          <w:tab w:val="left" w:pos="537"/>
        </w:tabs>
        <w:ind w:left="560" w:hanging="560"/>
        <w:jc w:val="both"/>
        <w:rPr>
          <w:sz w:val="24"/>
          <w:szCs w:val="24"/>
        </w:rPr>
      </w:pPr>
      <w:r>
        <w:rPr>
          <w:u w:val="single"/>
        </w:rPr>
        <w:t>Cena díla</w:t>
      </w:r>
      <w:r>
        <w:t xml:space="preserve">: Za provedení Díla byla dohodnuta smluvní cena ve výši </w:t>
      </w:r>
      <w:proofErr w:type="gramStart"/>
      <w:r>
        <w:t>200.000,-</w:t>
      </w:r>
      <w:proofErr w:type="gramEnd"/>
      <w:r>
        <w:t xml:space="preserve">Kč (slovy: Dvě stě tisíc korun českých), bez DPH (dále jen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  <w:u w:val="single"/>
        </w:rPr>
        <w:t>Cena díla</w:t>
      </w:r>
      <w:r>
        <w:rPr>
          <w:b/>
          <w:bCs/>
          <w:sz w:val="24"/>
          <w:szCs w:val="24"/>
        </w:rPr>
        <w:t>“).</w:t>
      </w:r>
    </w:p>
    <w:p w14:paraId="554B8F18" w14:textId="77777777" w:rsidR="00506B7F" w:rsidRDefault="00775A8E">
      <w:pPr>
        <w:pStyle w:val="Style2"/>
        <w:numPr>
          <w:ilvl w:val="0"/>
          <w:numId w:val="4"/>
        </w:numPr>
        <w:shd w:val="clear" w:color="auto" w:fill="auto"/>
        <w:tabs>
          <w:tab w:val="left" w:pos="537"/>
        </w:tabs>
        <w:jc w:val="both"/>
      </w:pPr>
      <w:r>
        <w:t xml:space="preserve">Výše uvedená Cena díla je sjednána jako cena konečná a pevná a zahrnuje celkovou cenu díla Zhotovitele za </w:t>
      </w:r>
      <w:r>
        <w:t xml:space="preserve">provedení Díla, jakož i veškeré náklady a výdaje, které Zhotovitel při zhotovování Díla </w:t>
      </w:r>
      <w:proofErr w:type="gramStart"/>
      <w:r>
        <w:t>vynaloží</w:t>
      </w:r>
      <w:proofErr w:type="gramEnd"/>
      <w:r>
        <w:t>. Pokud by se však v průběhu provádění Díla ukázalo, že při zhotovování Díla bude třeba postupovat s podstatnými odchylkami od předpokladů vyjádřených Objednate</w:t>
      </w:r>
      <w:r>
        <w:t>lem, dohodnou Objednatel a Zhotovitel před tím, než bude Zhotovitel pokračovat v provádění Díla, příslušnou úpravu Ceny díla.</w:t>
      </w:r>
    </w:p>
    <w:p w14:paraId="4EBD6B07" w14:textId="77777777" w:rsidR="00506B7F" w:rsidRDefault="00775A8E">
      <w:pPr>
        <w:pStyle w:val="Style2"/>
        <w:numPr>
          <w:ilvl w:val="0"/>
          <w:numId w:val="4"/>
        </w:numPr>
        <w:shd w:val="clear" w:color="auto" w:fill="auto"/>
        <w:tabs>
          <w:tab w:val="left" w:pos="537"/>
        </w:tabs>
        <w:spacing w:after="260"/>
        <w:ind w:left="540" w:hanging="540"/>
        <w:jc w:val="both"/>
      </w:pPr>
      <w:r>
        <w:t>Cenu díla uhradí Objednatel Zhotoviteli po protokolárním předání Díla, a to na základě faktury vystavené Zhotovitelem, který je po</w:t>
      </w:r>
      <w:r>
        <w:t>vinen tuto fakturu předat Objednateli do pátého dne po protokolárním předání. Splatnost faktury je stanovena na 30 kalendářních dnů.</w:t>
      </w:r>
    </w:p>
    <w:p w14:paraId="53BFC72E" w14:textId="77777777" w:rsidR="00506B7F" w:rsidRDefault="00775A8E">
      <w:pPr>
        <w:pStyle w:val="Style2"/>
        <w:numPr>
          <w:ilvl w:val="0"/>
          <w:numId w:val="5"/>
        </w:numPr>
        <w:shd w:val="clear" w:color="auto" w:fill="auto"/>
        <w:tabs>
          <w:tab w:val="left" w:pos="604"/>
        </w:tabs>
        <w:spacing w:line="240" w:lineRule="auto"/>
        <w:ind w:left="520" w:hanging="520"/>
      </w:pPr>
      <w:r>
        <w:t xml:space="preserve">Faktura (daňový doklad) musí v souladu s platnou právní úpravou (zejm. </w:t>
      </w:r>
      <w:proofErr w:type="spellStart"/>
      <w:r>
        <w:t>ust</w:t>
      </w:r>
      <w:proofErr w:type="spellEnd"/>
      <w:r>
        <w:t>. § 28 zákona č. 235/2004 Sb. v platném znění) ob</w:t>
      </w:r>
      <w:r>
        <w:t>sahovat mimo jiné tyto náležitosti;</w:t>
      </w:r>
    </w:p>
    <w:p w14:paraId="7F490F2B" w14:textId="77777777" w:rsidR="00506B7F" w:rsidRDefault="00775A8E">
      <w:pPr>
        <w:pStyle w:val="Style2"/>
        <w:numPr>
          <w:ilvl w:val="0"/>
          <w:numId w:val="6"/>
        </w:numPr>
        <w:shd w:val="clear" w:color="auto" w:fill="auto"/>
        <w:tabs>
          <w:tab w:val="left" w:pos="686"/>
        </w:tabs>
        <w:spacing w:line="240" w:lineRule="auto"/>
        <w:ind w:firstLine="340"/>
      </w:pPr>
      <w:r>
        <w:t>číslo smlouvy</w:t>
      </w:r>
    </w:p>
    <w:p w14:paraId="30D7CE32" w14:textId="77777777" w:rsidR="00506B7F" w:rsidRDefault="00775A8E">
      <w:pPr>
        <w:pStyle w:val="Style2"/>
        <w:numPr>
          <w:ilvl w:val="0"/>
          <w:numId w:val="6"/>
        </w:numPr>
        <w:shd w:val="clear" w:color="auto" w:fill="auto"/>
        <w:tabs>
          <w:tab w:val="left" w:pos="706"/>
        </w:tabs>
        <w:spacing w:line="240" w:lineRule="auto"/>
        <w:ind w:left="680" w:hanging="340"/>
      </w:pPr>
      <w:r>
        <w:t xml:space="preserve">soupis provedených prací dokladující oprávněnost fakturované částky potvrzený objednatelem (dodací list, předávací protokol, zakázkový </w:t>
      </w:r>
      <w:proofErr w:type="gramStart"/>
      <w:r>
        <w:t>list,</w:t>
      </w:r>
      <w:proofErr w:type="gramEnd"/>
      <w:r>
        <w:t xml:space="preserve"> atd.</w:t>
      </w:r>
    </w:p>
    <w:p w14:paraId="620E2B74" w14:textId="77777777" w:rsidR="00506B7F" w:rsidRDefault="00775A8E">
      <w:pPr>
        <w:pStyle w:val="Style2"/>
        <w:numPr>
          <w:ilvl w:val="0"/>
          <w:numId w:val="6"/>
        </w:numPr>
        <w:shd w:val="clear" w:color="auto" w:fill="auto"/>
        <w:tabs>
          <w:tab w:val="left" w:pos="706"/>
        </w:tabs>
        <w:spacing w:line="240" w:lineRule="auto"/>
        <w:ind w:firstLine="340"/>
      </w:pPr>
      <w:r>
        <w:t>doklad o předání a převzetí díla nebo jeho části</w:t>
      </w:r>
    </w:p>
    <w:p w14:paraId="54A5F26E" w14:textId="77777777" w:rsidR="00506B7F" w:rsidRDefault="00775A8E">
      <w:pPr>
        <w:pStyle w:val="Style2"/>
        <w:numPr>
          <w:ilvl w:val="0"/>
          <w:numId w:val="6"/>
        </w:numPr>
        <w:shd w:val="clear" w:color="auto" w:fill="auto"/>
        <w:tabs>
          <w:tab w:val="left" w:pos="706"/>
        </w:tabs>
        <w:spacing w:line="240" w:lineRule="auto"/>
        <w:ind w:left="680" w:hanging="340"/>
      </w:pPr>
      <w:r>
        <w:t xml:space="preserve">datum </w:t>
      </w:r>
      <w:r>
        <w:t xml:space="preserve">zdanitelného plnění a další náležitosti daňového dokladu v souladu s § 28 zákona č. </w:t>
      </w:r>
      <w:r>
        <w:lastRenderedPageBreak/>
        <w:t>235/2004 Sb., o DPH ve znění pozdějších předpisů (výpočet DPH na haléře),</w:t>
      </w:r>
    </w:p>
    <w:p w14:paraId="7D52585F" w14:textId="77777777" w:rsidR="00506B7F" w:rsidRDefault="00775A8E">
      <w:pPr>
        <w:pStyle w:val="Style2"/>
        <w:numPr>
          <w:ilvl w:val="0"/>
          <w:numId w:val="6"/>
        </w:numPr>
        <w:shd w:val="clear" w:color="auto" w:fill="auto"/>
        <w:tabs>
          <w:tab w:val="left" w:pos="706"/>
        </w:tabs>
        <w:spacing w:line="240" w:lineRule="auto"/>
        <w:ind w:firstLine="340"/>
      </w:pPr>
      <w:r>
        <w:t>kopie dodacího listu/protokolu o předání a převzetí díla.</w:t>
      </w:r>
    </w:p>
    <w:p w14:paraId="5B1542B9" w14:textId="77777777" w:rsidR="00506B7F" w:rsidRDefault="00775A8E">
      <w:pPr>
        <w:pStyle w:val="Style2"/>
        <w:numPr>
          <w:ilvl w:val="0"/>
          <w:numId w:val="7"/>
        </w:numPr>
        <w:shd w:val="clear" w:color="auto" w:fill="auto"/>
        <w:tabs>
          <w:tab w:val="left" w:pos="604"/>
        </w:tabs>
        <w:spacing w:after="520" w:line="240" w:lineRule="auto"/>
        <w:ind w:left="520" w:hanging="520"/>
        <w:jc w:val="both"/>
      </w:pPr>
      <w:r>
        <w:t>V případě, že daňový doklad nebude obsah</w:t>
      </w:r>
      <w:r>
        <w:t>ovat náležitosti dle tohoto článku, je objednatel oprávněn tuto vrátit do 10 dnů dodavateli k doplnění, který je povinen podle povahy nesprávnosti fakturu opravit nebo nově vyhotovit. Oprávněným vrácením faktury přestává běžet původní lhůta splatnosti. Lhů</w:t>
      </w:r>
      <w:r>
        <w:t xml:space="preserve">ta splatnosti faktury </w:t>
      </w:r>
      <w:proofErr w:type="gramStart"/>
      <w:r>
        <w:t>běží</w:t>
      </w:r>
      <w:proofErr w:type="gramEnd"/>
      <w:r>
        <w:t xml:space="preserve"> znovu ode dne prokazatelného doručení opravené nebo nově vyhotovené faktury na doručovací adresu Objednatele.</w:t>
      </w:r>
    </w:p>
    <w:p w14:paraId="59ADAA1E" w14:textId="77777777" w:rsidR="00506B7F" w:rsidRDefault="00775A8E">
      <w:pPr>
        <w:pStyle w:val="Style4"/>
        <w:keepNext/>
        <w:keepLines/>
        <w:shd w:val="clear" w:color="auto" w:fill="auto"/>
      </w:pPr>
      <w:bookmarkStart w:id="22" w:name="bookmark33"/>
      <w:r>
        <w:t>Článek V.</w:t>
      </w:r>
      <w:bookmarkEnd w:id="22"/>
    </w:p>
    <w:p w14:paraId="766424DA" w14:textId="77777777" w:rsidR="00506B7F" w:rsidRDefault="00775A8E">
      <w:pPr>
        <w:pStyle w:val="Style4"/>
        <w:keepNext/>
        <w:keepLines/>
        <w:shd w:val="clear" w:color="auto" w:fill="auto"/>
      </w:pPr>
      <w:bookmarkStart w:id="23" w:name="bookmark31"/>
      <w:bookmarkStart w:id="24" w:name="bookmark32"/>
      <w:bookmarkStart w:id="25" w:name="bookmark34"/>
      <w:r>
        <w:t>Práva a povinnosti smluvních Stran</w:t>
      </w:r>
      <w:bookmarkEnd w:id="23"/>
      <w:bookmarkEnd w:id="24"/>
      <w:bookmarkEnd w:id="25"/>
    </w:p>
    <w:p w14:paraId="7AE6A4DF" w14:textId="77777777" w:rsidR="00506B7F" w:rsidRDefault="00775A8E">
      <w:pPr>
        <w:pStyle w:val="Style2"/>
        <w:numPr>
          <w:ilvl w:val="1"/>
          <w:numId w:val="7"/>
        </w:numPr>
        <w:shd w:val="clear" w:color="auto" w:fill="auto"/>
        <w:tabs>
          <w:tab w:val="left" w:pos="604"/>
        </w:tabs>
      </w:pPr>
      <w:r>
        <w:rPr>
          <w:u w:val="single"/>
        </w:rPr>
        <w:t>Zhotovitel se zavazuje</w:t>
      </w:r>
      <w:r>
        <w:t>:</w:t>
      </w:r>
    </w:p>
    <w:p w14:paraId="7D4FEB94" w14:textId="77777777" w:rsidR="00506B7F" w:rsidRDefault="00775A8E">
      <w:pPr>
        <w:pStyle w:val="Style2"/>
        <w:numPr>
          <w:ilvl w:val="0"/>
          <w:numId w:val="8"/>
        </w:numPr>
        <w:shd w:val="clear" w:color="auto" w:fill="auto"/>
        <w:tabs>
          <w:tab w:val="left" w:pos="944"/>
        </w:tabs>
        <w:ind w:left="880" w:hanging="320"/>
        <w:jc w:val="both"/>
      </w:pPr>
      <w:r>
        <w:t xml:space="preserve">Provést Dílo v souladu s touto Smlouvou, s </w:t>
      </w:r>
      <w:r>
        <w:t>požadavky Objednatele, přičemž takové požadavky, které by znamenaly změnu této Smlouvy, se písemně upraví písemným dodatkem k této Smlouvě.</w:t>
      </w:r>
    </w:p>
    <w:p w14:paraId="7E0D949B" w14:textId="77777777" w:rsidR="00506B7F" w:rsidRDefault="00775A8E">
      <w:pPr>
        <w:pStyle w:val="Style2"/>
        <w:numPr>
          <w:ilvl w:val="0"/>
          <w:numId w:val="8"/>
        </w:numPr>
        <w:shd w:val="clear" w:color="auto" w:fill="auto"/>
        <w:tabs>
          <w:tab w:val="left" w:pos="944"/>
        </w:tabs>
        <w:ind w:left="880" w:hanging="320"/>
        <w:jc w:val="both"/>
      </w:pPr>
      <w:r>
        <w:t xml:space="preserve">Provést Dílo prostřednictvím pracovníků, kteří jsou k tomu odborně způsobilí, za použití odsouhlaseného materiálu a </w:t>
      </w:r>
      <w:r>
        <w:t>technologií a v souladu s účelem, kterému má sloužit.</w:t>
      </w:r>
    </w:p>
    <w:p w14:paraId="6A0B0AA6" w14:textId="77777777" w:rsidR="00506B7F" w:rsidRDefault="00775A8E">
      <w:pPr>
        <w:pStyle w:val="Style2"/>
        <w:numPr>
          <w:ilvl w:val="0"/>
          <w:numId w:val="8"/>
        </w:numPr>
        <w:shd w:val="clear" w:color="auto" w:fill="auto"/>
        <w:tabs>
          <w:tab w:val="left" w:pos="944"/>
        </w:tabs>
        <w:ind w:left="880" w:hanging="320"/>
        <w:jc w:val="both"/>
      </w:pPr>
      <w:r>
        <w:t>Poskytnout na provedené Dílo a jednotlivé jeho komponenty záruku 24 měsíců. Záruka se nevztahuje na zařízení či výrobky, které Zhotovitel sám nevyrobil, ani neprováděl jejich montáž (zde platí záruční d</w:t>
      </w:r>
      <w:r>
        <w:t>oba stanovená výrobcem).</w:t>
      </w:r>
    </w:p>
    <w:p w14:paraId="44A46463" w14:textId="77777777" w:rsidR="00506B7F" w:rsidRDefault="00775A8E">
      <w:pPr>
        <w:pStyle w:val="Style2"/>
        <w:numPr>
          <w:ilvl w:val="0"/>
          <w:numId w:val="8"/>
        </w:numPr>
        <w:shd w:val="clear" w:color="auto" w:fill="auto"/>
        <w:tabs>
          <w:tab w:val="left" w:pos="944"/>
        </w:tabs>
        <w:ind w:firstLine="520"/>
      </w:pPr>
      <w:r>
        <w:t>Provádět záruční a zajistit realizaci pozáruční servisu.</w:t>
      </w:r>
    </w:p>
    <w:p w14:paraId="71ABFAE2" w14:textId="77777777" w:rsidR="00506B7F" w:rsidRDefault="00775A8E">
      <w:pPr>
        <w:pStyle w:val="Style2"/>
        <w:numPr>
          <w:ilvl w:val="1"/>
          <w:numId w:val="7"/>
        </w:numPr>
        <w:shd w:val="clear" w:color="auto" w:fill="auto"/>
        <w:tabs>
          <w:tab w:val="left" w:pos="604"/>
        </w:tabs>
        <w:ind w:left="520" w:hanging="520"/>
      </w:pPr>
      <w:r>
        <w:t>Zhotovitel odpovídá za poškození nebo zničení Díla až do jeho převzetí Objednatelem.</w:t>
      </w:r>
    </w:p>
    <w:p w14:paraId="6DC4B6E5" w14:textId="77777777" w:rsidR="00506B7F" w:rsidRDefault="00775A8E">
      <w:pPr>
        <w:pStyle w:val="Style2"/>
        <w:numPr>
          <w:ilvl w:val="1"/>
          <w:numId w:val="7"/>
        </w:numPr>
        <w:shd w:val="clear" w:color="auto" w:fill="auto"/>
        <w:tabs>
          <w:tab w:val="left" w:pos="604"/>
        </w:tabs>
      </w:pPr>
      <w:r>
        <w:rPr>
          <w:u w:val="single"/>
        </w:rPr>
        <w:t>Objednatel se zavazuje</w:t>
      </w:r>
      <w:r>
        <w:t>:</w:t>
      </w:r>
    </w:p>
    <w:p w14:paraId="2EA966B4" w14:textId="77777777" w:rsidR="00506B7F" w:rsidRDefault="00775A8E">
      <w:pPr>
        <w:pStyle w:val="Style2"/>
        <w:numPr>
          <w:ilvl w:val="0"/>
          <w:numId w:val="9"/>
        </w:numPr>
        <w:shd w:val="clear" w:color="auto" w:fill="auto"/>
        <w:tabs>
          <w:tab w:val="left" w:pos="944"/>
        </w:tabs>
        <w:ind w:left="880" w:hanging="320"/>
        <w:jc w:val="both"/>
      </w:pPr>
      <w:r>
        <w:t xml:space="preserve">Zajistit přístupové cesty odpovídající rozměrům a </w:t>
      </w:r>
      <w:r>
        <w:t>hmotnosti dodávaných komponentů konstrukce.</w:t>
      </w:r>
    </w:p>
    <w:p w14:paraId="33D5D671" w14:textId="77777777" w:rsidR="00506B7F" w:rsidRDefault="00775A8E">
      <w:pPr>
        <w:pStyle w:val="Style2"/>
        <w:numPr>
          <w:ilvl w:val="0"/>
          <w:numId w:val="9"/>
        </w:numPr>
        <w:shd w:val="clear" w:color="auto" w:fill="auto"/>
        <w:tabs>
          <w:tab w:val="left" w:pos="944"/>
        </w:tabs>
        <w:ind w:left="880" w:hanging="320"/>
        <w:jc w:val="both"/>
      </w:pPr>
      <w:r>
        <w:t>Písemně informovat Zhotovitele o všech změnách týkajících se doby plnění dle čl. III. této Smlouvy,</w:t>
      </w:r>
    </w:p>
    <w:p w14:paraId="2D9078BB" w14:textId="77777777" w:rsidR="00506B7F" w:rsidRDefault="00775A8E">
      <w:pPr>
        <w:pStyle w:val="Style2"/>
        <w:numPr>
          <w:ilvl w:val="0"/>
          <w:numId w:val="9"/>
        </w:numPr>
        <w:shd w:val="clear" w:color="auto" w:fill="auto"/>
        <w:tabs>
          <w:tab w:val="left" w:pos="944"/>
        </w:tabs>
        <w:ind w:left="880" w:hanging="320"/>
        <w:jc w:val="both"/>
      </w:pPr>
      <w:r>
        <w:t>Umožnit Zhotoviteli vstup na Místo plnění a provádění prací dle potřeby Zhotovitele.</w:t>
      </w:r>
    </w:p>
    <w:p w14:paraId="1A7462F2" w14:textId="77777777" w:rsidR="00506B7F" w:rsidRDefault="00775A8E">
      <w:pPr>
        <w:pStyle w:val="Style2"/>
        <w:numPr>
          <w:ilvl w:val="0"/>
          <w:numId w:val="9"/>
        </w:numPr>
        <w:shd w:val="clear" w:color="auto" w:fill="auto"/>
        <w:tabs>
          <w:tab w:val="left" w:pos="944"/>
        </w:tabs>
        <w:spacing w:after="520"/>
        <w:ind w:left="880" w:hanging="320"/>
        <w:jc w:val="both"/>
      </w:pPr>
      <w:r>
        <w:t>Poskytnout Zhotoviteli souč</w:t>
      </w:r>
      <w:r>
        <w:t>innost v případě dotazů v rámci technické dokumentace díla.</w:t>
      </w:r>
    </w:p>
    <w:p w14:paraId="7E049C8D" w14:textId="77777777" w:rsidR="00506B7F" w:rsidRDefault="00775A8E">
      <w:pPr>
        <w:pStyle w:val="Style4"/>
        <w:keepNext/>
        <w:keepLines/>
        <w:shd w:val="clear" w:color="auto" w:fill="auto"/>
        <w:spacing w:line="233" w:lineRule="auto"/>
      </w:pPr>
      <w:bookmarkStart w:id="26" w:name="bookmark37"/>
      <w:r>
        <w:t>Článek XI.</w:t>
      </w:r>
      <w:bookmarkEnd w:id="26"/>
    </w:p>
    <w:p w14:paraId="11F6C7BC" w14:textId="77777777" w:rsidR="00506B7F" w:rsidRDefault="00775A8E">
      <w:pPr>
        <w:pStyle w:val="Style4"/>
        <w:keepNext/>
        <w:keepLines/>
        <w:shd w:val="clear" w:color="auto" w:fill="auto"/>
        <w:spacing w:line="233" w:lineRule="auto"/>
      </w:pPr>
      <w:bookmarkStart w:id="27" w:name="bookmark35"/>
      <w:bookmarkStart w:id="28" w:name="bookmark36"/>
      <w:bookmarkStart w:id="29" w:name="bookmark38"/>
      <w:r>
        <w:t>Odstoupení od Smlouvy a zajištění řádného plnění Smlouvy</w:t>
      </w:r>
      <w:bookmarkEnd w:id="27"/>
      <w:bookmarkEnd w:id="28"/>
      <w:bookmarkEnd w:id="29"/>
    </w:p>
    <w:p w14:paraId="43592A2C" w14:textId="77777777" w:rsidR="00506B7F" w:rsidRDefault="00775A8E">
      <w:pPr>
        <w:pStyle w:val="Style2"/>
        <w:numPr>
          <w:ilvl w:val="0"/>
          <w:numId w:val="10"/>
        </w:numPr>
        <w:shd w:val="clear" w:color="auto" w:fill="auto"/>
        <w:tabs>
          <w:tab w:val="left" w:pos="625"/>
        </w:tabs>
        <w:ind w:left="520" w:hanging="520"/>
      </w:pPr>
      <w:r>
        <w:t>Objednatel má právo odstoupit od této Smlouvy v případě, že Zhotovitel podstatným způsobem porušuje své závazky vůči Objednateli</w:t>
      </w:r>
      <w:r>
        <w:t>, zejména:</w:t>
      </w:r>
    </w:p>
    <w:p w14:paraId="4EB3C0A3" w14:textId="77777777" w:rsidR="00506B7F" w:rsidRDefault="00775A8E">
      <w:pPr>
        <w:pStyle w:val="Style2"/>
        <w:numPr>
          <w:ilvl w:val="0"/>
          <w:numId w:val="11"/>
        </w:numPr>
        <w:shd w:val="clear" w:color="auto" w:fill="auto"/>
        <w:tabs>
          <w:tab w:val="left" w:pos="944"/>
        </w:tabs>
        <w:ind w:firstLine="520"/>
      </w:pPr>
      <w:r>
        <w:t>při porušování technologických norem a postupů Zhotovitelem</w:t>
      </w:r>
    </w:p>
    <w:p w14:paraId="60F20135" w14:textId="77777777" w:rsidR="00506B7F" w:rsidRDefault="00775A8E">
      <w:pPr>
        <w:pStyle w:val="Style2"/>
        <w:numPr>
          <w:ilvl w:val="0"/>
          <w:numId w:val="11"/>
        </w:numPr>
        <w:shd w:val="clear" w:color="auto" w:fill="auto"/>
        <w:tabs>
          <w:tab w:val="left" w:pos="944"/>
        </w:tabs>
        <w:ind w:left="1060" w:hanging="500"/>
      </w:pPr>
      <w:r>
        <w:t>při prodlení Zhotovitele s plněním sjednaných termínů dle článku III. této Smlouvy delším než 30 kalendářních dní nebo</w:t>
      </w:r>
    </w:p>
    <w:p w14:paraId="3F253FD8" w14:textId="77777777" w:rsidR="00506B7F" w:rsidRDefault="00775A8E">
      <w:pPr>
        <w:pStyle w:val="Style2"/>
        <w:numPr>
          <w:ilvl w:val="0"/>
          <w:numId w:val="11"/>
        </w:numPr>
        <w:shd w:val="clear" w:color="auto" w:fill="auto"/>
        <w:tabs>
          <w:tab w:val="left" w:pos="944"/>
        </w:tabs>
        <w:ind w:firstLine="520"/>
      </w:pPr>
      <w:r>
        <w:t>při porušování závazků podle článku V. této Smlouvy.</w:t>
      </w:r>
      <w:r>
        <w:br w:type="page"/>
      </w:r>
    </w:p>
    <w:p w14:paraId="130F2966" w14:textId="77777777" w:rsidR="00506B7F" w:rsidRDefault="00775A8E">
      <w:pPr>
        <w:pStyle w:val="Style2"/>
        <w:numPr>
          <w:ilvl w:val="0"/>
          <w:numId w:val="10"/>
        </w:numPr>
        <w:shd w:val="clear" w:color="auto" w:fill="auto"/>
        <w:tabs>
          <w:tab w:val="left" w:pos="596"/>
        </w:tabs>
        <w:spacing w:line="240" w:lineRule="auto"/>
        <w:jc w:val="both"/>
      </w:pPr>
      <w:r>
        <w:lastRenderedPageBreak/>
        <w:t>Zhotovitel má právo odstoupit od Smlouvy v těchto případech:</w:t>
      </w:r>
    </w:p>
    <w:p w14:paraId="47B3DF0F" w14:textId="77777777" w:rsidR="00506B7F" w:rsidRDefault="00775A8E">
      <w:pPr>
        <w:pStyle w:val="Style2"/>
        <w:numPr>
          <w:ilvl w:val="0"/>
          <w:numId w:val="12"/>
        </w:numPr>
        <w:shd w:val="clear" w:color="auto" w:fill="auto"/>
        <w:tabs>
          <w:tab w:val="left" w:pos="1118"/>
        </w:tabs>
        <w:spacing w:line="240" w:lineRule="auto"/>
        <w:ind w:firstLine="560"/>
        <w:jc w:val="both"/>
      </w:pPr>
      <w:r>
        <w:t>bude-li Objednatel bránit provádění Díla, neumožní přístup na Místo plnění,</w:t>
      </w:r>
    </w:p>
    <w:p w14:paraId="5A811458" w14:textId="77777777" w:rsidR="00506B7F" w:rsidRDefault="00775A8E">
      <w:pPr>
        <w:pStyle w:val="Style2"/>
        <w:numPr>
          <w:ilvl w:val="0"/>
          <w:numId w:val="12"/>
        </w:numPr>
        <w:shd w:val="clear" w:color="auto" w:fill="auto"/>
        <w:tabs>
          <w:tab w:val="left" w:pos="1118"/>
        </w:tabs>
        <w:spacing w:line="240" w:lineRule="auto"/>
        <w:ind w:left="1180" w:hanging="580"/>
        <w:jc w:val="both"/>
      </w:pPr>
      <w:r>
        <w:t>v případě prodlení s platební povinností Objednatele delším než 30 kalendářních dní.</w:t>
      </w:r>
    </w:p>
    <w:p w14:paraId="24F66244" w14:textId="77777777" w:rsidR="00506B7F" w:rsidRDefault="00775A8E">
      <w:pPr>
        <w:pStyle w:val="Style2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560" w:hanging="560"/>
        <w:jc w:val="both"/>
      </w:pPr>
      <w:r>
        <w:t xml:space="preserve">Odstoupení od Smlouvy se nedotýká </w:t>
      </w:r>
      <w:r>
        <w:t>nároků odstupující Strany vzniklých do odstoupení.</w:t>
      </w:r>
    </w:p>
    <w:p w14:paraId="1B248C91" w14:textId="77777777" w:rsidR="00506B7F" w:rsidRDefault="00775A8E">
      <w:pPr>
        <w:pStyle w:val="Style2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560" w:hanging="560"/>
        <w:jc w:val="both"/>
      </w:pPr>
      <w:r>
        <w:t>V případě vad díla má Objednatel vedle zákonných práv též právo odstranit vady či dát odstranit vady na náklady Zhotovitele, pokud Zhotovitel vady neodstraní do 15 kalendářních dnů ode dne, kdy k jejich od</w:t>
      </w:r>
      <w:r>
        <w:t>stranění byl Objednatelem vyzván. Zhotovitel uhradí Objednateli náklady na odstranění vad do 10 dnů poté, co mu budou Objednateli vyúčtovány.</w:t>
      </w:r>
    </w:p>
    <w:p w14:paraId="6431638D" w14:textId="77777777" w:rsidR="00506B7F" w:rsidRDefault="00775A8E">
      <w:pPr>
        <w:pStyle w:val="Style2"/>
        <w:numPr>
          <w:ilvl w:val="0"/>
          <w:numId w:val="10"/>
        </w:numPr>
        <w:shd w:val="clear" w:color="auto" w:fill="auto"/>
        <w:tabs>
          <w:tab w:val="left" w:pos="601"/>
        </w:tabs>
        <w:spacing w:after="520" w:line="240" w:lineRule="auto"/>
        <w:ind w:left="560" w:hanging="560"/>
        <w:jc w:val="both"/>
      </w:pPr>
      <w:r>
        <w:t xml:space="preserve">V případě prodlení s provedením Díla má Objednatel právo na smluvní pokutu ve výši 0,1 % z celkové ceny Díla za </w:t>
      </w:r>
      <w:r>
        <w:t>každý započatý den prodlení, následující po sjednaném termínu předání Díla.</w:t>
      </w:r>
    </w:p>
    <w:p w14:paraId="55C4FFFF" w14:textId="77777777" w:rsidR="00506B7F" w:rsidRDefault="00775A8E">
      <w:pPr>
        <w:pStyle w:val="Style4"/>
        <w:keepNext/>
        <w:keepLines/>
        <w:shd w:val="clear" w:color="auto" w:fill="auto"/>
      </w:pPr>
      <w:bookmarkStart w:id="30" w:name="bookmark41"/>
      <w:r>
        <w:t>Článek XII.</w:t>
      </w:r>
      <w:bookmarkEnd w:id="30"/>
    </w:p>
    <w:p w14:paraId="019DC96F" w14:textId="77777777" w:rsidR="00506B7F" w:rsidRDefault="00775A8E">
      <w:pPr>
        <w:pStyle w:val="Style4"/>
        <w:keepNext/>
        <w:keepLines/>
        <w:shd w:val="clear" w:color="auto" w:fill="auto"/>
      </w:pPr>
      <w:bookmarkStart w:id="31" w:name="bookmark39"/>
      <w:bookmarkStart w:id="32" w:name="bookmark40"/>
      <w:bookmarkStart w:id="33" w:name="bookmark42"/>
      <w:r>
        <w:t>Závěrečná ustanovení</w:t>
      </w:r>
      <w:bookmarkEnd w:id="31"/>
      <w:bookmarkEnd w:id="32"/>
      <w:bookmarkEnd w:id="33"/>
    </w:p>
    <w:p w14:paraId="1D455B1A" w14:textId="77777777" w:rsidR="00506B7F" w:rsidRDefault="00775A8E">
      <w:pPr>
        <w:pStyle w:val="Style2"/>
        <w:numPr>
          <w:ilvl w:val="0"/>
          <w:numId w:val="13"/>
        </w:numPr>
        <w:shd w:val="clear" w:color="auto" w:fill="auto"/>
        <w:tabs>
          <w:tab w:val="left" w:pos="572"/>
        </w:tabs>
        <w:ind w:left="560" w:hanging="560"/>
        <w:jc w:val="both"/>
      </w:pPr>
      <w:r>
        <w:t>Práva a povinnosti smluvních stran, které nejsou výslovně upraveny touto smlouvou, se řídí ustanoveními občanského zákoníku.</w:t>
      </w:r>
    </w:p>
    <w:p w14:paraId="08C4BBA2" w14:textId="77777777" w:rsidR="00506B7F" w:rsidRDefault="00775A8E">
      <w:pPr>
        <w:pStyle w:val="Style2"/>
        <w:numPr>
          <w:ilvl w:val="0"/>
          <w:numId w:val="13"/>
        </w:numPr>
        <w:shd w:val="clear" w:color="auto" w:fill="auto"/>
        <w:tabs>
          <w:tab w:val="left" w:pos="572"/>
        </w:tabs>
        <w:ind w:left="560" w:hanging="560"/>
        <w:jc w:val="both"/>
      </w:pPr>
      <w:r>
        <w:t>Tato smlouva je vyhoto</w:t>
      </w:r>
      <w:r>
        <w:t xml:space="preserve">vena ve třech stejnopisech, z nichž Objednatel </w:t>
      </w:r>
      <w:proofErr w:type="gramStart"/>
      <w:r>
        <w:t>obdrží</w:t>
      </w:r>
      <w:proofErr w:type="gramEnd"/>
      <w:r>
        <w:t xml:space="preserve"> dvě a Zhotovitel jedno vyhotovení.</w:t>
      </w:r>
    </w:p>
    <w:p w14:paraId="7E5EE3E4" w14:textId="77777777" w:rsidR="00506B7F" w:rsidRDefault="00775A8E">
      <w:pPr>
        <w:pStyle w:val="Style2"/>
        <w:numPr>
          <w:ilvl w:val="0"/>
          <w:numId w:val="13"/>
        </w:numPr>
        <w:shd w:val="clear" w:color="auto" w:fill="auto"/>
        <w:tabs>
          <w:tab w:val="left" w:pos="577"/>
        </w:tabs>
        <w:ind w:left="560" w:hanging="560"/>
        <w:jc w:val="both"/>
      </w:pPr>
      <w:r>
        <w:t>Tuto smlouvu lze měnit a doplňovat pouze písemně, a to na základě vzestupně číslovaných písemných dodatků podepsaných oběma smluvními stranami na jedné listině.</w:t>
      </w:r>
    </w:p>
    <w:p w14:paraId="1959A691" w14:textId="77777777" w:rsidR="00506B7F" w:rsidRDefault="00775A8E">
      <w:pPr>
        <w:pStyle w:val="Style2"/>
        <w:numPr>
          <w:ilvl w:val="0"/>
          <w:numId w:val="13"/>
        </w:numPr>
        <w:shd w:val="clear" w:color="auto" w:fill="auto"/>
        <w:tabs>
          <w:tab w:val="left" w:pos="577"/>
        </w:tabs>
        <w:ind w:left="560" w:hanging="560"/>
        <w:jc w:val="both"/>
      </w:pPr>
      <w:r>
        <w:t>Obě sm</w:t>
      </w:r>
      <w:r>
        <w:t>luvní strany prohlašují, že jsou si vědomy skutečnosti, že tato smlouva nabývá platnosti dnem jejího podpisu, účinnosti nabude dnem jejího uveřejnění v Registru smluv v souladu se zákonem o registru smluv.</w:t>
      </w:r>
    </w:p>
    <w:p w14:paraId="1F57C6CB" w14:textId="77777777" w:rsidR="00506B7F" w:rsidRDefault="00775A8E">
      <w:pPr>
        <w:pStyle w:val="Style2"/>
        <w:numPr>
          <w:ilvl w:val="0"/>
          <w:numId w:val="13"/>
        </w:numPr>
        <w:shd w:val="clear" w:color="auto" w:fill="auto"/>
        <w:tabs>
          <w:tab w:val="left" w:pos="577"/>
        </w:tabs>
        <w:ind w:left="560" w:hanging="560"/>
        <w:jc w:val="both"/>
      </w:pPr>
      <w:r>
        <w:t>Smluvní strany prohlašují, že se zněním této smlou</w:t>
      </w:r>
      <w:r>
        <w:t>vy se podrobně seznámily, že tato smlouva je projevem jejich pravé a vážné vůle, důkaz čehož připojují své vlastnoruční podpisy. Dále prohlašují, že tuto smlouvu neuzavřeli v tísni za nápadně nevýhodných podmínek.</w:t>
      </w:r>
    </w:p>
    <w:p w14:paraId="0572237B" w14:textId="77777777" w:rsidR="00506B7F" w:rsidRDefault="00775A8E">
      <w:pPr>
        <w:pStyle w:val="Style2"/>
        <w:numPr>
          <w:ilvl w:val="0"/>
          <w:numId w:val="13"/>
        </w:numPr>
        <w:shd w:val="clear" w:color="auto" w:fill="auto"/>
        <w:tabs>
          <w:tab w:val="left" w:pos="577"/>
        </w:tabs>
        <w:jc w:val="both"/>
      </w:pPr>
      <w:r>
        <w:t xml:space="preserve">Nedílnou součást této smlouvy </w:t>
      </w:r>
      <w:proofErr w:type="gramStart"/>
      <w:r>
        <w:t>tvoří</w:t>
      </w:r>
      <w:proofErr w:type="gramEnd"/>
      <w:r>
        <w:t>:</w:t>
      </w:r>
    </w:p>
    <w:p w14:paraId="06C7CEF9" w14:textId="77777777" w:rsidR="00506B7F" w:rsidRDefault="00775A8E">
      <w:pPr>
        <w:pStyle w:val="Style2"/>
        <w:numPr>
          <w:ilvl w:val="0"/>
          <w:numId w:val="14"/>
        </w:numPr>
        <w:shd w:val="clear" w:color="auto" w:fill="auto"/>
        <w:tabs>
          <w:tab w:val="left" w:pos="1118"/>
        </w:tabs>
        <w:ind w:firstLine="560"/>
        <w:jc w:val="both"/>
      </w:pPr>
      <w:r>
        <w:t>Příloha č. 1 - Nabídka Zhotovitele</w:t>
      </w:r>
    </w:p>
    <w:p w14:paraId="3A5BDD28" w14:textId="77777777" w:rsidR="00506B7F" w:rsidRDefault="00775A8E">
      <w:pPr>
        <w:pStyle w:val="Style2"/>
        <w:numPr>
          <w:ilvl w:val="0"/>
          <w:numId w:val="14"/>
        </w:numPr>
        <w:shd w:val="clear" w:color="auto" w:fill="auto"/>
        <w:tabs>
          <w:tab w:val="left" w:pos="1118"/>
        </w:tabs>
        <w:ind w:left="1100" w:hanging="500"/>
        <w:jc w:val="both"/>
      </w:pPr>
      <w:r>
        <w:t>Příloha č. 2 - specifikace požadavků objednatele včetně technické dokumentace</w:t>
      </w:r>
    </w:p>
    <w:p w14:paraId="714011EF" w14:textId="77777777" w:rsidR="00506B7F" w:rsidRDefault="00775A8E">
      <w:pPr>
        <w:spacing w:line="1" w:lineRule="exact"/>
        <w:sectPr w:rsidR="00506B7F">
          <w:headerReference w:type="default" r:id="rId7"/>
          <w:footerReference w:type="default" r:id="rId8"/>
          <w:pgSz w:w="11952" w:h="16867"/>
          <w:pgMar w:top="1854" w:right="1740" w:bottom="1456" w:left="1452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54000" distB="338455" distL="0" distR="0" simplePos="0" relativeHeight="125829378" behindDoc="0" locked="0" layoutInCell="1" allowOverlap="1" wp14:anchorId="550FCE3E" wp14:editId="5A680826">
                <wp:simplePos x="0" y="0"/>
                <wp:positionH relativeFrom="page">
                  <wp:posOffset>929640</wp:posOffset>
                </wp:positionH>
                <wp:positionV relativeFrom="paragraph">
                  <wp:posOffset>254000</wp:posOffset>
                </wp:positionV>
                <wp:extent cx="2328545" cy="15271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52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B92B25" w14:textId="77777777" w:rsidR="00506B7F" w:rsidRDefault="00775A8E">
                            <w:pPr>
                              <w:pStyle w:val="Style2"/>
                              <w:shd w:val="clear" w:color="auto" w:fill="auto"/>
                              <w:tabs>
                                <w:tab w:val="left" w:pos="3581"/>
                              </w:tabs>
                              <w:spacing w:after="500" w:line="240" w:lineRule="auto"/>
                            </w:pPr>
                            <w:r>
                              <w:t>V Praze, dne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B90CF8" w14:textId="77777777" w:rsidR="00506B7F" w:rsidRDefault="00775A8E">
                            <w:pPr>
                              <w:pStyle w:val="Style4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jc w:val="left"/>
                            </w:pPr>
                            <w:bookmarkStart w:id="34" w:name="bookmark0"/>
                            <w:bookmarkStart w:id="35" w:name="bookmark1"/>
                            <w:bookmarkStart w:id="36" w:name="bookmark2"/>
                            <w:r>
                              <w:t>Zhotovitel:</w:t>
                            </w:r>
                            <w:bookmarkEnd w:id="34"/>
                            <w:bookmarkEnd w:id="35"/>
                            <w:bookmarkEnd w:id="36"/>
                          </w:p>
                          <w:p w14:paraId="73EF271A" w14:textId="77777777" w:rsidR="00506B7F" w:rsidRDefault="00775A8E">
                            <w:pPr>
                              <w:pStyle w:val="Style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40" w:line="240" w:lineRule="auto"/>
                            </w:pPr>
                            <w:r>
                              <w:t>Jiří Šilhánek, 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50FCE3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3.2pt;margin-top:20pt;width:183.35pt;height:120.25pt;z-index:125829378;visibility:visible;mso-wrap-style:square;mso-wrap-distance-left:0;mso-wrap-distance-top:20pt;mso-wrap-distance-right:0;mso-wrap-distance-bottom:26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" filled="f" stroked="f">
                <v:textbox inset="0,0,0,0">
                  <w:txbxContent>
                    <w:p w14:paraId="36B92B25" w14:textId="77777777" w:rsidR="00506B7F" w:rsidRDefault="00775A8E">
                      <w:pPr>
                        <w:pStyle w:val="Style2"/>
                        <w:shd w:val="clear" w:color="auto" w:fill="auto"/>
                        <w:tabs>
                          <w:tab w:val="left" w:pos="3581"/>
                        </w:tabs>
                        <w:spacing w:after="500" w:line="240" w:lineRule="auto"/>
                      </w:pPr>
                      <w:r>
                        <w:t>V Praze, dne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8B90CF8" w14:textId="77777777" w:rsidR="00506B7F" w:rsidRDefault="00775A8E">
                      <w:pPr>
                        <w:pStyle w:val="Style4"/>
                        <w:keepNext/>
                        <w:keepLines/>
                        <w:shd w:val="clear" w:color="auto" w:fill="auto"/>
                        <w:spacing w:line="240" w:lineRule="auto"/>
                        <w:jc w:val="left"/>
                      </w:pPr>
                      <w:bookmarkStart w:id="37" w:name="bookmark0"/>
                      <w:bookmarkStart w:id="38" w:name="bookmark1"/>
                      <w:bookmarkStart w:id="39" w:name="bookmark2"/>
                      <w:r>
                        <w:t>Zhotovitel:</w:t>
                      </w:r>
                      <w:bookmarkEnd w:id="37"/>
                      <w:bookmarkEnd w:id="38"/>
                      <w:bookmarkEnd w:id="39"/>
                    </w:p>
                    <w:p w14:paraId="73EF271A" w14:textId="77777777" w:rsidR="00506B7F" w:rsidRDefault="00775A8E">
                      <w:pPr>
                        <w:pStyle w:val="Style2"/>
                        <w:pBdr>
                          <w:top w:val="single" w:sz="4" w:space="0" w:color="auto"/>
                        </w:pBdr>
                        <w:shd w:val="clear" w:color="auto" w:fill="auto"/>
                        <w:spacing w:after="40" w:line="240" w:lineRule="auto"/>
                      </w:pPr>
                      <w:r>
                        <w:t>Jiří Šilhánek, 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7175" distB="0" distL="0" distR="0" simplePos="0" relativeHeight="125829380" behindDoc="0" locked="0" layoutInCell="1" allowOverlap="1" wp14:anchorId="640D7BA9" wp14:editId="744DE4C6">
                <wp:simplePos x="0" y="0"/>
                <wp:positionH relativeFrom="page">
                  <wp:posOffset>3943985</wp:posOffset>
                </wp:positionH>
                <wp:positionV relativeFrom="paragraph">
                  <wp:posOffset>257175</wp:posOffset>
                </wp:positionV>
                <wp:extent cx="2298065" cy="18624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1862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F77794" w14:textId="77777777" w:rsidR="00506B7F" w:rsidRDefault="00775A8E">
                            <w:pPr>
                              <w:pStyle w:val="Style2"/>
                              <w:shd w:val="clear" w:color="auto" w:fill="auto"/>
                              <w:tabs>
                                <w:tab w:val="left" w:pos="3552"/>
                              </w:tabs>
                              <w:spacing w:after="500"/>
                            </w:pPr>
                            <w:r>
                              <w:t>V Praze, dne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3B31977" w14:textId="77777777" w:rsidR="00506B7F" w:rsidRDefault="00775A8E">
                            <w:pPr>
                              <w:pStyle w:val="Style4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ind w:firstLine="660"/>
                              <w:jc w:val="left"/>
                            </w:pPr>
                            <w:bookmarkStart w:id="40" w:name="bookmark6"/>
                            <w:bookmarkStart w:id="41" w:name="bookmark7"/>
                            <w:bookmarkStart w:id="42" w:name="bookmark8"/>
                            <w:r>
                              <w:t>Objednatel:</w:t>
                            </w:r>
                            <w:bookmarkEnd w:id="40"/>
                            <w:bookmarkEnd w:id="41"/>
                            <w:bookmarkEnd w:id="42"/>
                          </w:p>
                          <w:p w14:paraId="15B2988E" w14:textId="77777777" w:rsidR="00506B7F" w:rsidRDefault="00775A8E">
                            <w:pPr>
                              <w:pStyle w:val="Style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120"/>
                              <w:ind w:left="660"/>
                            </w:pPr>
                            <w:r>
                              <w:t>Ing. Martin Souček, Ph.D. ředitel Odboru digitalizace a informačních systémů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0D7BA9" id="Shape 7" o:spid="_x0000_s1027" type="#_x0000_t202" style="position:absolute;margin-left:310.55pt;margin-top:20.25pt;width:180.95pt;height:146.65pt;z-index:125829380;visibility:visible;mso-wrap-style:square;mso-wrap-distance-left:0;mso-wrap-distance-top:20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" filled="f" stroked="f">
                <v:textbox inset="0,0,0,0">
                  <w:txbxContent>
                    <w:p w14:paraId="1FF77794" w14:textId="77777777" w:rsidR="00506B7F" w:rsidRDefault="00775A8E">
                      <w:pPr>
                        <w:pStyle w:val="Style2"/>
                        <w:shd w:val="clear" w:color="auto" w:fill="auto"/>
                        <w:tabs>
                          <w:tab w:val="left" w:pos="3552"/>
                        </w:tabs>
                        <w:spacing w:after="500"/>
                      </w:pPr>
                      <w:r>
                        <w:t>V Praze, dne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3B31977" w14:textId="77777777" w:rsidR="00506B7F" w:rsidRDefault="00775A8E">
                      <w:pPr>
                        <w:pStyle w:val="Style4"/>
                        <w:keepNext/>
                        <w:keepLines/>
                        <w:shd w:val="clear" w:color="auto" w:fill="auto"/>
                        <w:spacing w:line="240" w:lineRule="auto"/>
                        <w:ind w:firstLine="660"/>
                        <w:jc w:val="left"/>
                      </w:pPr>
                      <w:bookmarkStart w:id="43" w:name="bookmark6"/>
                      <w:bookmarkStart w:id="44" w:name="bookmark7"/>
                      <w:bookmarkStart w:id="45" w:name="bookmark8"/>
                      <w:r>
                        <w:t>Objednatel:</w:t>
                      </w:r>
                      <w:bookmarkEnd w:id="43"/>
                      <w:bookmarkEnd w:id="44"/>
                      <w:bookmarkEnd w:id="45"/>
                    </w:p>
                    <w:p w14:paraId="15B2988E" w14:textId="77777777" w:rsidR="00506B7F" w:rsidRDefault="00775A8E">
                      <w:pPr>
                        <w:pStyle w:val="Style2"/>
                        <w:pBdr>
                          <w:top w:val="single" w:sz="4" w:space="0" w:color="auto"/>
                        </w:pBdr>
                        <w:shd w:val="clear" w:color="auto" w:fill="auto"/>
                        <w:spacing w:after="120"/>
                        <w:ind w:left="660"/>
                      </w:pPr>
                      <w:r>
                        <w:t>Ing. Martin Souček, Ph.D. ředitel Odboru digitalizace a informačních systémů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CDB522" w14:textId="77777777" w:rsidR="00775A8E" w:rsidRDefault="00775A8E">
      <w:pPr>
        <w:pStyle w:val="Style26"/>
        <w:shd w:val="clear" w:color="auto" w:fill="auto"/>
        <w:spacing w:after="520" w:line="240" w:lineRule="auto"/>
        <w:jc w:val="both"/>
        <w:rPr>
          <w:b/>
          <w:bCs/>
          <w:lang w:val="en-US" w:eastAsia="en-US" w:bidi="en-US"/>
        </w:rPr>
      </w:pPr>
    </w:p>
    <w:p w14:paraId="77FDBD4A" w14:textId="77777777" w:rsidR="00775A8E" w:rsidRDefault="00775A8E">
      <w:pPr>
        <w:pStyle w:val="Style26"/>
        <w:shd w:val="clear" w:color="auto" w:fill="auto"/>
        <w:spacing w:after="520" w:line="240" w:lineRule="auto"/>
        <w:jc w:val="both"/>
        <w:rPr>
          <w:b/>
          <w:bCs/>
          <w:lang w:val="en-US" w:eastAsia="en-US" w:bidi="en-US"/>
        </w:rPr>
      </w:pPr>
    </w:p>
    <w:p w14:paraId="12D1EB31" w14:textId="77777777" w:rsidR="00775A8E" w:rsidRDefault="00775A8E">
      <w:pPr>
        <w:pStyle w:val="Style26"/>
        <w:shd w:val="clear" w:color="auto" w:fill="auto"/>
        <w:spacing w:after="520" w:line="240" w:lineRule="auto"/>
        <w:jc w:val="both"/>
        <w:rPr>
          <w:b/>
          <w:bCs/>
          <w:lang w:val="en-US" w:eastAsia="en-US" w:bidi="en-US"/>
        </w:rPr>
      </w:pPr>
    </w:p>
    <w:p w14:paraId="034900D6" w14:textId="77777777" w:rsidR="00775A8E" w:rsidRDefault="00775A8E">
      <w:pPr>
        <w:pStyle w:val="Style26"/>
        <w:shd w:val="clear" w:color="auto" w:fill="auto"/>
        <w:spacing w:after="520" w:line="240" w:lineRule="auto"/>
        <w:jc w:val="both"/>
        <w:rPr>
          <w:b/>
          <w:bCs/>
          <w:lang w:val="en-US" w:eastAsia="en-US" w:bidi="en-US"/>
        </w:rPr>
      </w:pPr>
    </w:p>
    <w:p w14:paraId="41FCE5D3" w14:textId="1A387764" w:rsidR="00506B7F" w:rsidRDefault="00775A8E">
      <w:pPr>
        <w:pStyle w:val="Style26"/>
        <w:shd w:val="clear" w:color="auto" w:fill="auto"/>
        <w:spacing w:after="520" w:line="240" w:lineRule="auto"/>
        <w:jc w:val="both"/>
      </w:pPr>
      <w:r>
        <w:rPr>
          <w:b/>
          <w:bCs/>
          <w:lang w:val="en-US" w:eastAsia="en-US" w:bidi="en-US"/>
        </w:rPr>
        <w:lastRenderedPageBreak/>
        <w:t xml:space="preserve">Pl - </w:t>
      </w:r>
      <w:r>
        <w:rPr>
          <w:b/>
          <w:bCs/>
        </w:rPr>
        <w:t>Specifikace veřejné zakázky č. 220149</w:t>
      </w:r>
    </w:p>
    <w:p w14:paraId="1E09ADFD" w14:textId="77777777" w:rsidR="00506B7F" w:rsidRDefault="00775A8E">
      <w:pPr>
        <w:pStyle w:val="Style26"/>
        <w:shd w:val="clear" w:color="auto" w:fill="auto"/>
        <w:jc w:val="both"/>
      </w:pPr>
      <w:r>
        <w:t xml:space="preserve">Poptáváme zhotovení konstrukce pro projekční stěnu, dle konstrukční dokumentace v příloze (P3a, b, </w:t>
      </w:r>
      <w:proofErr w:type="spellStart"/>
      <w:proofErr w:type="gramStart"/>
      <w:r>
        <w:rPr>
          <w:lang w:val="en-US" w:eastAsia="en-US" w:bidi="en-US"/>
        </w:rPr>
        <w:t>c</w:t>
      </w:r>
      <w:r>
        <w:rPr>
          <w:lang w:val="en-US" w:eastAsia="en-US" w:bidi="en-US"/>
        </w:rPr>
        <w:softHyphen/>
        <w:t>PS</w:t>
      </w:r>
      <w:proofErr w:type="spellEnd"/>
      <w:r>
        <w:t xml:space="preserve"> - V</w:t>
      </w:r>
      <w:r>
        <w:t>ýkresová</w:t>
      </w:r>
      <w:proofErr w:type="gramEnd"/>
      <w:r>
        <w:t xml:space="preserve"> dokumentace) s uvedenými rozměry. S osazenou konstrukcí musí být možné manipulovat ve dvou lidech.</w:t>
      </w:r>
    </w:p>
    <w:p w14:paraId="746490AF" w14:textId="77777777" w:rsidR="00506B7F" w:rsidRDefault="00775A8E">
      <w:pPr>
        <w:pStyle w:val="Style26"/>
        <w:shd w:val="clear" w:color="auto" w:fill="auto"/>
        <w:spacing w:line="290" w:lineRule="auto"/>
        <w:jc w:val="both"/>
      </w:pPr>
      <w:r>
        <w:t xml:space="preserve">Konstrukce musí být dostatečně tuhá, aby samostatně stála na dlouhé podstavě </w:t>
      </w:r>
      <w:r>
        <w:rPr>
          <w:lang w:val="en-US" w:eastAsia="en-US" w:bidi="en-US"/>
        </w:rPr>
        <w:t xml:space="preserve">(landscape) </w:t>
      </w:r>
      <w:r>
        <w:t xml:space="preserve">nebo na </w:t>
      </w:r>
      <w:proofErr w:type="spellStart"/>
      <w:r>
        <w:t>krátké-boční</w:t>
      </w:r>
      <w:proofErr w:type="spellEnd"/>
      <w:r>
        <w:t xml:space="preserve"> podstavě </w:t>
      </w:r>
      <w:r>
        <w:rPr>
          <w:lang w:val="en-US" w:eastAsia="en-US" w:bidi="en-US"/>
        </w:rPr>
        <w:t xml:space="preserve">(portrait) </w:t>
      </w:r>
      <w:r>
        <w:t>nebo visela za pří</w:t>
      </w:r>
      <w:r>
        <w:t>slušné body (oka) v rozích.</w:t>
      </w:r>
    </w:p>
    <w:p w14:paraId="510F783E" w14:textId="77777777" w:rsidR="00506B7F" w:rsidRDefault="00775A8E">
      <w:pPr>
        <w:pStyle w:val="Style26"/>
        <w:shd w:val="clear" w:color="auto" w:fill="auto"/>
        <w:jc w:val="both"/>
      </w:pPr>
      <w:r>
        <w:t xml:space="preserve">Přední stěna bude připravena pro napnutí projekční fólie </w:t>
      </w:r>
      <w:r>
        <w:rPr>
          <w:lang w:val="en-US" w:eastAsia="en-US" w:bidi="en-US"/>
        </w:rPr>
        <w:t xml:space="preserve">DARK PEARL </w:t>
      </w:r>
      <w:r>
        <w:t>(</w:t>
      </w:r>
      <w:r>
        <w:rPr>
          <w:u w:val="single"/>
        </w:rPr>
        <w:t>https.7/</w:t>
      </w:r>
      <w:hyperlink r:id="rId9" w:history="1">
        <w:r>
          <w:rPr>
            <w:u w:val="single"/>
          </w:rPr>
          <w:t>www.tuchler.net/cs/1004134-proiekcni-folie-dark-pearl.html</w:t>
        </w:r>
      </w:hyperlink>
      <w:r>
        <w:t>), která bude součástí dodávky a všechny ostatní stěny budou připraveny pro upevnění černých zákrytů (součást dodávky).</w:t>
      </w:r>
    </w:p>
    <w:p w14:paraId="5984C74D" w14:textId="77777777" w:rsidR="00506B7F" w:rsidRDefault="00775A8E">
      <w:pPr>
        <w:pStyle w:val="Style26"/>
        <w:shd w:val="clear" w:color="auto" w:fill="auto"/>
        <w:jc w:val="both"/>
      </w:pPr>
      <w:r>
        <w:t>Na dlouhé podstavě budou patky s otočnými kolečky pro přesun na krátkou vzd</w:t>
      </w:r>
      <w:r>
        <w:t>álenost (uvnitř budovy apod.) alternativně nožičkami pro dlouhodobější instalaci stěny. Konstrukce bude rozebíratelná za účelem přepravy na dva bloky 2x2x1 m.</w:t>
      </w:r>
    </w:p>
    <w:p w14:paraId="55DEBA93" w14:textId="77777777" w:rsidR="00506B7F" w:rsidRDefault="00775A8E">
      <w:pPr>
        <w:pStyle w:val="Style26"/>
        <w:shd w:val="clear" w:color="auto" w:fill="auto"/>
        <w:spacing w:line="290" w:lineRule="auto"/>
        <w:jc w:val="both"/>
      </w:pPr>
      <w:r>
        <w:t>Uvnitř boxu budou v obou krátkých podstavách variabilní úchyty pro dva projektory (projektory nej</w:t>
      </w:r>
      <w:r>
        <w:t xml:space="preserve">sou součástí dodávky) pro zadní projekci s možností otočení ve třech osách a posuvu ve dvou osách (horizontálně, vertikálně) o cca ±40 cm. Variabilita úchytů projektorů je míněna ve smyslu použití různých typů </w:t>
      </w:r>
      <w:proofErr w:type="gramStart"/>
      <w:r>
        <w:t>projektorů -je</w:t>
      </w:r>
      <w:proofErr w:type="gramEnd"/>
      <w:r>
        <w:t xml:space="preserve"> možné řešit pomocí některého ty</w:t>
      </w:r>
      <w:r>
        <w:t>pu hotového držáku dostupného na trhu.</w:t>
      </w:r>
    </w:p>
    <w:p w14:paraId="5CA87EEE" w14:textId="77777777" w:rsidR="00506B7F" w:rsidRDefault="00775A8E">
      <w:pPr>
        <w:pStyle w:val="Style26"/>
        <w:shd w:val="clear" w:color="auto" w:fill="auto"/>
        <w:spacing w:line="283" w:lineRule="auto"/>
        <w:jc w:val="both"/>
      </w:pPr>
      <w:r>
        <w:t>Upevnění projektorů musí být dostatečně odolné vůči otřesům při manipulaci s konstrukcí. Části konstrukce nesmí zasahovat do projekce žádného z obou projektorů.</w:t>
      </w:r>
    </w:p>
    <w:p w14:paraId="471A4F05" w14:textId="77777777" w:rsidR="00506B7F" w:rsidRDefault="00775A8E">
      <w:pPr>
        <w:pStyle w:val="Style26"/>
        <w:shd w:val="clear" w:color="auto" w:fill="auto"/>
        <w:spacing w:line="290" w:lineRule="auto"/>
        <w:jc w:val="both"/>
      </w:pPr>
      <w:r>
        <w:t xml:space="preserve">Dále ve vnitřním prostoru boxu bude univerzální úchyt pro počítač (počítač není součástí dodávky; rozměry CASE výška: 180-420 mm, šířka: 120-250 mm, hloubka: 120-350 mm, hmotnost: 5-7 kg) a univerzální úchyt pro </w:t>
      </w:r>
      <w:r>
        <w:rPr>
          <w:lang w:val="en-US" w:eastAsia="en-US" w:bidi="en-US"/>
        </w:rPr>
        <w:t xml:space="preserve">switch </w:t>
      </w:r>
      <w:r>
        <w:t>a drobné elektronické komponenty (roz</w:t>
      </w:r>
      <w:r>
        <w:t xml:space="preserve">měry plochy pro ostatní uvedené komponenty: cca </w:t>
      </w:r>
      <w:r>
        <w:rPr>
          <w:lang w:val="en-US" w:eastAsia="en-US" w:bidi="en-US"/>
        </w:rPr>
        <w:t xml:space="preserve">200x300mm). </w:t>
      </w:r>
      <w:r>
        <w:t>Úchyt pro počítač nesmí bránit připojení kabeláže k přední i zadní straně CASE počítače. Univerzalita úchytů je míněna jako možnost upnout CASE počítače a ostatní komponenty o různých rozměrech na</w:t>
      </w:r>
      <w:r>
        <w:t xml:space="preserve"> více místech v konstrukci.</w:t>
      </w:r>
    </w:p>
    <w:p w14:paraId="5756557F" w14:textId="77777777" w:rsidR="00506B7F" w:rsidRDefault="00775A8E">
      <w:pPr>
        <w:pStyle w:val="Style26"/>
        <w:shd w:val="clear" w:color="auto" w:fill="auto"/>
        <w:spacing w:line="290" w:lineRule="auto"/>
        <w:jc w:val="both"/>
        <w:sectPr w:rsidR="00506B7F">
          <w:headerReference w:type="default" r:id="rId10"/>
          <w:footerReference w:type="default" r:id="rId11"/>
          <w:type w:val="continuous"/>
          <w:pgSz w:w="11952" w:h="16867"/>
          <w:pgMar w:top="1854" w:right="1740" w:bottom="1456" w:left="1452" w:header="1426" w:footer="1028" w:gutter="0"/>
          <w:cols w:space="720"/>
          <w:noEndnote/>
          <w:docGrid w:linePitch="360"/>
        </w:sectPr>
      </w:pPr>
      <w:r>
        <w:t>Po celém obvodu projekční plochy, ale zejména ve středu spodní hrany a bočních hran konstrukce projekční plochy bude možné připevnit univerzální úchyt pro senzory (rozměry plochy úchytu; cca 50xl50mm)</w:t>
      </w:r>
      <w:r>
        <w:t>, tak aby senzor vždy viděl prostor před projekční plochou i v případě, kdy bude umístěn pod spodní hranu obrazu (dlouhou i krátkou).</w:t>
      </w:r>
    </w:p>
    <w:p w14:paraId="261ACB72" w14:textId="77777777" w:rsidR="00506B7F" w:rsidRDefault="00775A8E">
      <w:pPr>
        <w:pStyle w:val="Style26"/>
        <w:shd w:val="clear" w:color="auto" w:fill="auto"/>
        <w:spacing w:after="120" w:line="283" w:lineRule="auto"/>
      </w:pPr>
      <w:r>
        <w:rPr>
          <w:b/>
          <w:bCs/>
        </w:rPr>
        <w:lastRenderedPageBreak/>
        <w:t>Součástí požadované dodávky bude;</w:t>
      </w:r>
    </w:p>
    <w:p w14:paraId="6CFB93E0" w14:textId="77777777" w:rsidR="00506B7F" w:rsidRDefault="00775A8E">
      <w:pPr>
        <w:pStyle w:val="Style26"/>
        <w:numPr>
          <w:ilvl w:val="0"/>
          <w:numId w:val="15"/>
        </w:numPr>
        <w:shd w:val="clear" w:color="auto" w:fill="auto"/>
        <w:tabs>
          <w:tab w:val="left" w:pos="731"/>
        </w:tabs>
        <w:spacing w:after="0" w:line="283" w:lineRule="auto"/>
        <w:ind w:left="740" w:hanging="340"/>
      </w:pPr>
      <w:r>
        <w:t xml:space="preserve">Zhotovená konstrukce projekčního boxu s držáky pro dva projektory a kolečky a nožičkami </w:t>
      </w:r>
      <w:r>
        <w:t>sestavitelná na místě objednatele,</w:t>
      </w:r>
    </w:p>
    <w:p w14:paraId="0A64F2D0" w14:textId="77777777" w:rsidR="00506B7F" w:rsidRDefault="00775A8E">
      <w:pPr>
        <w:pStyle w:val="Style26"/>
        <w:numPr>
          <w:ilvl w:val="0"/>
          <w:numId w:val="15"/>
        </w:numPr>
        <w:shd w:val="clear" w:color="auto" w:fill="auto"/>
        <w:tabs>
          <w:tab w:val="left" w:pos="731"/>
        </w:tabs>
        <w:spacing w:after="0" w:line="283" w:lineRule="auto"/>
        <w:ind w:left="740" w:hanging="340"/>
      </w:pPr>
      <w:r>
        <w:t>projekční fólie pro čelní stěnu a černé výkryty pro zadní, boční, horní a spodní stěnu přizpůsobené k upevnění na konstrukci,</w:t>
      </w:r>
    </w:p>
    <w:p w14:paraId="5DC3C18B" w14:textId="77777777" w:rsidR="00506B7F" w:rsidRDefault="00775A8E">
      <w:pPr>
        <w:pStyle w:val="Style26"/>
        <w:numPr>
          <w:ilvl w:val="0"/>
          <w:numId w:val="15"/>
        </w:numPr>
        <w:shd w:val="clear" w:color="auto" w:fill="auto"/>
        <w:tabs>
          <w:tab w:val="left" w:pos="739"/>
        </w:tabs>
        <w:spacing w:after="0" w:line="283" w:lineRule="auto"/>
        <w:ind w:left="740" w:hanging="340"/>
      </w:pPr>
      <w:r>
        <w:t>úchyty pro počítač (</w:t>
      </w:r>
      <w:proofErr w:type="spellStart"/>
      <w:r>
        <w:t>Ix</w:t>
      </w:r>
      <w:proofErr w:type="spellEnd"/>
      <w:r>
        <w:t>), úchyty pro drobné elektronické komponenty (2x) a úchyty pro senzory (3</w:t>
      </w:r>
      <w:r>
        <w:t>x),</w:t>
      </w:r>
    </w:p>
    <w:p w14:paraId="39E4E33D" w14:textId="77777777" w:rsidR="00506B7F" w:rsidRDefault="00775A8E">
      <w:pPr>
        <w:pStyle w:val="Style26"/>
        <w:numPr>
          <w:ilvl w:val="0"/>
          <w:numId w:val="15"/>
        </w:numPr>
        <w:shd w:val="clear" w:color="auto" w:fill="auto"/>
        <w:tabs>
          <w:tab w:val="left" w:pos="731"/>
        </w:tabs>
        <w:spacing w:after="0" w:line="283" w:lineRule="auto"/>
        <w:ind w:firstLine="380"/>
      </w:pPr>
      <w:r>
        <w:t xml:space="preserve">digitální návrh konstrukce např. Ve </w:t>
      </w:r>
      <w:proofErr w:type="gramStart"/>
      <w:r>
        <w:t>STEP</w:t>
      </w:r>
      <w:proofErr w:type="gramEnd"/>
      <w:r>
        <w:t xml:space="preserve"> čí STL formátu.</w:t>
      </w:r>
    </w:p>
    <w:p w14:paraId="1CEE6AA9" w14:textId="77777777" w:rsidR="00506B7F" w:rsidRDefault="00775A8E">
      <w:pPr>
        <w:pStyle w:val="Style26"/>
        <w:numPr>
          <w:ilvl w:val="0"/>
          <w:numId w:val="15"/>
        </w:numPr>
        <w:shd w:val="clear" w:color="auto" w:fill="auto"/>
        <w:tabs>
          <w:tab w:val="left" w:pos="731"/>
        </w:tabs>
        <w:spacing w:after="460" w:line="283" w:lineRule="auto"/>
        <w:ind w:firstLine="380"/>
      </w:pPr>
      <w:r>
        <w:t>Montáž konstrukce a napnutí folie na požadovaném místě zadavatele.</w:t>
      </w:r>
    </w:p>
    <w:p w14:paraId="017EA486" w14:textId="77777777" w:rsidR="00506B7F" w:rsidRDefault="00775A8E">
      <w:pPr>
        <w:pStyle w:val="Style26"/>
        <w:shd w:val="clear" w:color="auto" w:fill="auto"/>
        <w:spacing w:after="460" w:line="283" w:lineRule="auto"/>
      </w:pPr>
      <w:r>
        <w:t>Záruka: Záruční doba je 24 měsíců.</w:t>
      </w:r>
    </w:p>
    <w:p w14:paraId="727A54F6" w14:textId="77777777" w:rsidR="00506B7F" w:rsidRDefault="00775A8E">
      <w:pPr>
        <w:pStyle w:val="Style26"/>
        <w:shd w:val="clear" w:color="auto" w:fill="auto"/>
        <w:spacing w:after="120" w:line="283" w:lineRule="auto"/>
      </w:pPr>
      <w:r>
        <w:rPr>
          <w:b/>
          <w:bCs/>
        </w:rPr>
        <w:t>Povinný rozsah Vaší nabídky:</w:t>
      </w:r>
    </w:p>
    <w:p w14:paraId="5A1A489E" w14:textId="77777777" w:rsidR="00506B7F" w:rsidRDefault="00775A8E">
      <w:pPr>
        <w:pStyle w:val="Style26"/>
        <w:shd w:val="clear" w:color="auto" w:fill="auto"/>
        <w:spacing w:after="120" w:line="283" w:lineRule="auto"/>
      </w:pPr>
      <w:r>
        <w:t>Odsouhlasený text tohoto dokumentu.</w:t>
      </w:r>
    </w:p>
    <w:p w14:paraId="3D60C651" w14:textId="77777777" w:rsidR="00506B7F" w:rsidRDefault="00775A8E">
      <w:pPr>
        <w:pStyle w:val="Style26"/>
        <w:shd w:val="clear" w:color="auto" w:fill="auto"/>
        <w:spacing w:after="120" w:line="283" w:lineRule="auto"/>
      </w:pPr>
      <w:r>
        <w:t xml:space="preserve">Nabídka s cenou bez DPH za </w:t>
      </w:r>
      <w:r>
        <w:t>realizaci.</w:t>
      </w:r>
    </w:p>
    <w:p w14:paraId="44A4E100" w14:textId="77777777" w:rsidR="00506B7F" w:rsidRDefault="00775A8E">
      <w:pPr>
        <w:pStyle w:val="Style26"/>
        <w:shd w:val="clear" w:color="auto" w:fill="auto"/>
        <w:spacing w:after="120" w:line="283" w:lineRule="auto"/>
      </w:pPr>
      <w:r>
        <w:t>Podepsaný stručný popis navrhovaného řešení předmětu plnění, požadavky na součinnost objednatele.</w:t>
      </w:r>
    </w:p>
    <w:p w14:paraId="04589319" w14:textId="77777777" w:rsidR="00506B7F" w:rsidRDefault="00775A8E">
      <w:pPr>
        <w:pStyle w:val="Style26"/>
        <w:shd w:val="clear" w:color="auto" w:fill="auto"/>
        <w:spacing w:after="120" w:line="290" w:lineRule="auto"/>
      </w:pPr>
      <w:r>
        <w:t>Případný návrh alternativních řešení vedoucích k finančním úsporám, zkrácení termínů, zjednodušení apod.</w:t>
      </w:r>
    </w:p>
    <w:sectPr w:rsidR="00506B7F">
      <w:pgSz w:w="12000" w:h="16901"/>
      <w:pgMar w:top="2975" w:right="2107" w:bottom="2975" w:left="1421" w:header="2547" w:footer="25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1DC7" w14:textId="77777777" w:rsidR="00000000" w:rsidRDefault="00775A8E">
      <w:r>
        <w:separator/>
      </w:r>
    </w:p>
  </w:endnote>
  <w:endnote w:type="continuationSeparator" w:id="0">
    <w:p w14:paraId="18E59AEF" w14:textId="77777777" w:rsidR="00000000" w:rsidRDefault="0077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F7FD" w14:textId="77777777" w:rsidR="00506B7F" w:rsidRDefault="00775A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55B2AC8" wp14:editId="6584E7B0">
              <wp:simplePos x="0" y="0"/>
              <wp:positionH relativeFrom="page">
                <wp:posOffset>3244850</wp:posOffset>
              </wp:positionH>
              <wp:positionV relativeFrom="page">
                <wp:posOffset>9867265</wp:posOffset>
              </wp:positionV>
              <wp:extent cx="90233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13782C" w14:textId="77777777" w:rsidR="00506B7F" w:rsidRDefault="00775A8E">
                          <w:pPr>
                            <w:pStyle w:val="Style1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5.5pt;margin-top:776.95000000000005pt;width:71.049999999999997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37CE" w14:textId="77777777" w:rsidR="00506B7F" w:rsidRDefault="00506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6CB9" w14:textId="77777777" w:rsidR="00506B7F" w:rsidRDefault="00506B7F"/>
  </w:footnote>
  <w:footnote w:type="continuationSeparator" w:id="0">
    <w:p w14:paraId="3D311FF6" w14:textId="77777777" w:rsidR="00506B7F" w:rsidRDefault="00506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4C53" w14:textId="77777777" w:rsidR="00506B7F" w:rsidRDefault="00775A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D7CB70D" wp14:editId="44874B29">
              <wp:simplePos x="0" y="0"/>
              <wp:positionH relativeFrom="page">
                <wp:posOffset>1038225</wp:posOffset>
              </wp:positionH>
              <wp:positionV relativeFrom="page">
                <wp:posOffset>775335</wp:posOffset>
              </wp:positionV>
              <wp:extent cx="238379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7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7AE552" w14:textId="77777777" w:rsidR="00506B7F" w:rsidRDefault="00775A8E">
                          <w:pPr>
                            <w:pStyle w:val="Style1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č.j. 2022/4458/NM, VZ č. 2022/4459/NM, VZ220149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75pt;margin-top:61.050000000000004pt;width:187.70000000000002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č.j. 2022/4458/NM, VZ č. 2022/4459/NM, VZ220149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1A7" w14:textId="77777777" w:rsidR="00506B7F" w:rsidRDefault="00506B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232"/>
    <w:multiLevelType w:val="multilevel"/>
    <w:tmpl w:val="DFDA58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A3AD0"/>
    <w:multiLevelType w:val="multilevel"/>
    <w:tmpl w:val="E31895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63BDE"/>
    <w:multiLevelType w:val="multilevel"/>
    <w:tmpl w:val="E4F403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1D4DEB"/>
    <w:multiLevelType w:val="multilevel"/>
    <w:tmpl w:val="E0EC753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F7DBC"/>
    <w:multiLevelType w:val="multilevel"/>
    <w:tmpl w:val="EADEE0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9E29FE"/>
    <w:multiLevelType w:val="multilevel"/>
    <w:tmpl w:val="6DCED2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D0BCF"/>
    <w:multiLevelType w:val="multilevel"/>
    <w:tmpl w:val="6AE676D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6707DF"/>
    <w:multiLevelType w:val="multilevel"/>
    <w:tmpl w:val="70D630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9979AA"/>
    <w:multiLevelType w:val="multilevel"/>
    <w:tmpl w:val="8F0EB7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1B6ADF"/>
    <w:multiLevelType w:val="multilevel"/>
    <w:tmpl w:val="52760FDE"/>
    <w:lvl w:ilvl="0">
      <w:start w:val="4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164028"/>
    <w:multiLevelType w:val="multilevel"/>
    <w:tmpl w:val="EE4806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D14A0B"/>
    <w:multiLevelType w:val="multilevel"/>
    <w:tmpl w:val="8376AD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D016D3"/>
    <w:multiLevelType w:val="multilevel"/>
    <w:tmpl w:val="A6A6C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53380D"/>
    <w:multiLevelType w:val="multilevel"/>
    <w:tmpl w:val="F73088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084681"/>
    <w:multiLevelType w:val="multilevel"/>
    <w:tmpl w:val="F6BC10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12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7F"/>
    <w:rsid w:val="00506B7F"/>
    <w:rsid w:val="0077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CDA9"/>
  <w15:docId w15:val="{7AD06782-B78D-42F7-AB9B-4F599229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5">
    <w:name w:val="Char Style 15"/>
    <w:basedOn w:val="Standardnpsmoodstavce"/>
    <w:link w:val="Style1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Char Style 18"/>
    <w:basedOn w:val="Standardnpsmoodstavce"/>
    <w:link w:val="Style1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Char Style 21"/>
    <w:basedOn w:val="Standardnpsmoodstavce"/>
    <w:link w:val="Style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52" w:lineRule="auto"/>
    </w:pPr>
    <w:rPr>
      <w:sz w:val="22"/>
      <w:szCs w:val="2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30" w:lineRule="auto"/>
      <w:jc w:val="center"/>
      <w:outlineLvl w:val="2"/>
    </w:pPr>
    <w:rPr>
      <w:b/>
      <w:bCs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80" w:line="223" w:lineRule="auto"/>
      <w:ind w:left="520"/>
      <w:jc w:val="right"/>
    </w:pPr>
    <w:rPr>
      <w:rFonts w:ascii="Arial" w:eastAsia="Arial" w:hAnsi="Arial" w:cs="Arial"/>
      <w:sz w:val="16"/>
      <w:szCs w:val="16"/>
    </w:rPr>
  </w:style>
  <w:style w:type="paragraph" w:customStyle="1" w:styleId="Style8">
    <w:name w:val="Style 8"/>
    <w:basedOn w:val="Normln"/>
    <w:link w:val="CharStyle9"/>
    <w:pPr>
      <w:shd w:val="clear" w:color="auto" w:fill="FFFFFF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11" w:lineRule="auto"/>
      <w:jc w:val="center"/>
      <w:outlineLvl w:val="0"/>
    </w:pPr>
    <w:rPr>
      <w:b/>
      <w:bCs/>
      <w:sz w:val="26"/>
      <w:szCs w:val="26"/>
    </w:rPr>
  </w:style>
  <w:style w:type="paragraph" w:customStyle="1" w:styleId="Style14">
    <w:name w:val="Style 14"/>
    <w:basedOn w:val="Normln"/>
    <w:link w:val="CharStyle15"/>
    <w:pPr>
      <w:shd w:val="clear" w:color="auto" w:fill="FFFFFF"/>
    </w:pPr>
    <w:rPr>
      <w:sz w:val="20"/>
      <w:szCs w:val="20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252" w:lineRule="auto"/>
    </w:pPr>
    <w:rPr>
      <w:sz w:val="22"/>
      <w:szCs w:val="22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line="252" w:lineRule="auto"/>
    </w:pPr>
    <w:rPr>
      <w:sz w:val="22"/>
      <w:szCs w:val="22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after="100" w:line="288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uchler.net/cs/1004134-proiekcni-folie-dark-pearl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1" ma:contentTypeDescription="Vytvoří nový dokument" ma:contentTypeScope="" ma:versionID="9545ad7cc81a4bcbbe8bb697ca33a61a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3af1f43452aba1d90ada20f0791b1034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1D66C-E526-4F6D-BFCA-E28DCA6015DC}"/>
</file>

<file path=customXml/itemProps2.xml><?xml version="1.0" encoding="utf-8"?>
<ds:datastoreItem xmlns:ds="http://schemas.openxmlformats.org/officeDocument/2006/customXml" ds:itemID="{E4CF3E4F-93B1-4B79-B03E-364AFAEC1CC2}"/>
</file>

<file path=customXml/itemProps3.xml><?xml version="1.0" encoding="utf-8"?>
<ds:datastoreItem xmlns:ds="http://schemas.openxmlformats.org/officeDocument/2006/customXml" ds:itemID="{AD95A612-5C1E-4E29-A02F-C5F4ACF54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1804</Words>
  <Characters>10646</Characters>
  <Application>Microsoft Office Word</Application>
  <DocSecurity>4</DocSecurity>
  <Lines>88</Lines>
  <Paragraphs>24</Paragraphs>
  <ScaleCrop>false</ScaleCrop>
  <Company>Národní muzeum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Tousson Jolana</dc:creator>
  <cp:lastModifiedBy>Tousson Jolana</cp:lastModifiedBy>
  <cp:revision>2</cp:revision>
  <dcterms:created xsi:type="dcterms:W3CDTF">2022-10-24T11:20:00Z</dcterms:created>
  <dcterms:modified xsi:type="dcterms:W3CDTF">2022-10-24T11:20:00Z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