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981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10"/>
      </w:tblGrid>
      <w:tr w:rsidR="00CD4081" w:rsidRPr="006E4B92" w14:paraId="16D48EA1" w14:textId="77777777" w:rsidTr="00CD4081">
        <w:tc>
          <w:tcPr>
            <w:tcW w:w="9810" w:type="dxa"/>
          </w:tcPr>
          <w:p w14:paraId="23B48E81" w14:textId="0CC4D43C" w:rsidR="00AA4E6F" w:rsidRPr="006E4B92" w:rsidRDefault="00CD4081" w:rsidP="00F735F7">
            <w:pPr>
              <w:spacing w:before="240" w:after="120" w:line="300" w:lineRule="atLeast"/>
              <w:jc w:val="center"/>
              <w:outlineLvl w:val="2"/>
              <w:rPr>
                <w:rFonts w:cs="Segoe Script"/>
                <w:b/>
                <w:caps/>
                <w:lang w:val="cs-CZ"/>
              </w:rPr>
            </w:pPr>
            <w:r w:rsidRPr="006E4B92">
              <w:rPr>
                <w:rFonts w:cs="Segoe Script"/>
                <w:b/>
                <w:caps/>
                <w:lang w:val="cs-CZ"/>
              </w:rPr>
              <w:t xml:space="preserve">Dodatek </w:t>
            </w:r>
            <w:r w:rsidR="001A4E23" w:rsidRPr="006E4B92">
              <w:rPr>
                <w:rFonts w:cs="Segoe Script"/>
                <w:b/>
                <w:caps/>
                <w:lang w:val="cs-CZ"/>
              </w:rPr>
              <w:t>č</w:t>
            </w:r>
            <w:r w:rsidR="00AA4E6F" w:rsidRPr="006E4B92">
              <w:rPr>
                <w:rFonts w:cs="Segoe Script"/>
                <w:b/>
                <w:caps/>
                <w:lang w:val="cs-CZ"/>
              </w:rPr>
              <w:t>. 6</w:t>
            </w:r>
            <w:r w:rsidR="001A4E23" w:rsidRPr="006E4B92">
              <w:rPr>
                <w:rFonts w:cs="Segoe Script"/>
                <w:b/>
                <w:caps/>
                <w:lang w:val="cs-CZ"/>
              </w:rPr>
              <w:t xml:space="preserve"> </w:t>
            </w:r>
            <w:r w:rsidRPr="006E4B92">
              <w:rPr>
                <w:rFonts w:cs="Segoe Script"/>
                <w:b/>
                <w:caps/>
                <w:lang w:val="cs-CZ"/>
              </w:rPr>
              <w:t>ke smlouvě</w:t>
            </w:r>
            <w:r w:rsidR="001A4E23" w:rsidRPr="006E4B92">
              <w:rPr>
                <w:rFonts w:cs="Segoe Script"/>
                <w:b/>
                <w:caps/>
                <w:lang w:val="cs-CZ"/>
              </w:rPr>
              <w:t xml:space="preserve"> </w:t>
            </w:r>
          </w:p>
          <w:p w14:paraId="7955F936" w14:textId="72CFEB4A" w:rsidR="00CD4081" w:rsidRPr="006E4B92" w:rsidRDefault="00AA4E6F" w:rsidP="00F735F7">
            <w:pPr>
              <w:spacing w:before="240" w:after="120" w:line="300" w:lineRule="atLeast"/>
              <w:jc w:val="center"/>
              <w:outlineLvl w:val="2"/>
              <w:rPr>
                <w:rFonts w:cs="Segoe Script"/>
                <w:b/>
                <w:caps/>
                <w:lang w:val="cs-CZ"/>
              </w:rPr>
            </w:pPr>
            <w:r w:rsidRPr="006E4B92">
              <w:rPr>
                <w:rFonts w:cs="Segoe Script"/>
                <w:b/>
                <w:caps/>
                <w:lang w:val="cs-CZ"/>
              </w:rPr>
              <w:t>ze dne 23.5.1996</w:t>
            </w:r>
          </w:p>
          <w:p w14:paraId="724687CC" w14:textId="77777777" w:rsidR="00CD4081" w:rsidRPr="006E4B92" w:rsidRDefault="00CD4081" w:rsidP="00F735F7">
            <w:pPr>
              <w:pStyle w:val="AONormal"/>
              <w:jc w:val="center"/>
              <w:rPr>
                <w:lang w:val="cs-CZ"/>
              </w:rPr>
            </w:pPr>
            <w:r w:rsidRPr="006E4B92">
              <w:rPr>
                <w:lang w:val="cs-CZ"/>
              </w:rPr>
              <w:t>(dále jen „</w:t>
            </w:r>
            <w:r w:rsidRPr="006E4B92">
              <w:rPr>
                <w:b/>
                <w:lang w:val="cs-CZ"/>
              </w:rPr>
              <w:t>Dodatek</w:t>
            </w:r>
            <w:r w:rsidRPr="006E4B92">
              <w:rPr>
                <w:lang w:val="cs-CZ"/>
              </w:rPr>
              <w:t>“)</w:t>
            </w:r>
          </w:p>
        </w:tc>
      </w:tr>
      <w:tr w:rsidR="00CD4081" w:rsidRPr="006E4B92" w14:paraId="3BB1EDFD" w14:textId="77777777" w:rsidTr="00CD4081">
        <w:tc>
          <w:tcPr>
            <w:tcW w:w="9810" w:type="dxa"/>
          </w:tcPr>
          <w:p w14:paraId="73707128" w14:textId="77777777" w:rsidR="00CD4081" w:rsidRPr="006E4B92" w:rsidRDefault="00CD4081" w:rsidP="00F735F7">
            <w:pPr>
              <w:spacing w:before="240" w:after="120" w:line="300" w:lineRule="atLeast"/>
              <w:outlineLvl w:val="2"/>
              <w:rPr>
                <w:rFonts w:cs="Segoe Script"/>
                <w:b/>
                <w:caps/>
                <w:lang w:val="cs-CZ"/>
              </w:rPr>
            </w:pPr>
            <w:r w:rsidRPr="006E4B92">
              <w:rPr>
                <w:lang w:val="cs-CZ"/>
              </w:rPr>
              <w:t>Smluvní strany:</w:t>
            </w:r>
          </w:p>
        </w:tc>
      </w:tr>
      <w:tr w:rsidR="00CD4081" w:rsidRPr="006E4B92" w14:paraId="34132A19" w14:textId="77777777" w:rsidTr="00CD4081">
        <w:tc>
          <w:tcPr>
            <w:tcW w:w="9810" w:type="dxa"/>
          </w:tcPr>
          <w:p w14:paraId="67205875" w14:textId="77777777" w:rsidR="00B05B68" w:rsidRDefault="00CD4081" w:rsidP="00B05B68">
            <w:pPr>
              <w:pStyle w:val="AO1"/>
              <w:spacing w:before="0" w:line="276" w:lineRule="auto"/>
              <w:rPr>
                <w:lang w:val="cs-CZ"/>
              </w:rPr>
            </w:pPr>
            <w:proofErr w:type="spellStart"/>
            <w:r w:rsidRPr="006E4B92">
              <w:rPr>
                <w:b/>
                <w:lang w:val="cs-CZ"/>
              </w:rPr>
              <w:t>Flaga</w:t>
            </w:r>
            <w:proofErr w:type="spellEnd"/>
            <w:r w:rsidRPr="006E4B92">
              <w:rPr>
                <w:b/>
                <w:lang w:val="cs-CZ"/>
              </w:rPr>
              <w:t xml:space="preserve"> s.r.o.</w:t>
            </w:r>
            <w:r w:rsidRPr="006E4B92">
              <w:rPr>
                <w:lang w:val="cs-CZ"/>
              </w:rPr>
              <w:t xml:space="preserve">, </w:t>
            </w:r>
          </w:p>
          <w:p w14:paraId="6DBF47DE" w14:textId="33C23A8C" w:rsidR="00B05B68" w:rsidRDefault="00B05B68" w:rsidP="00B05B68">
            <w:pPr>
              <w:pStyle w:val="AO1"/>
              <w:numPr>
                <w:ilvl w:val="0"/>
                <w:numId w:val="0"/>
              </w:numPr>
              <w:spacing w:before="0" w:line="276" w:lineRule="auto"/>
              <w:ind w:left="720"/>
              <w:rPr>
                <w:lang w:val="cs-CZ"/>
              </w:rPr>
            </w:pPr>
            <w:r>
              <w:rPr>
                <w:b/>
                <w:lang w:val="cs-CZ"/>
              </w:rPr>
              <w:t>IČO:</w:t>
            </w:r>
            <w:r>
              <w:rPr>
                <w:lang w:val="cs-CZ"/>
              </w:rPr>
              <w:t xml:space="preserve"> 479 17 091</w:t>
            </w:r>
          </w:p>
          <w:p w14:paraId="4BE56AC6" w14:textId="77777777" w:rsidR="00B05B68" w:rsidRDefault="00CD4081" w:rsidP="00B05B68">
            <w:pPr>
              <w:pStyle w:val="AO1"/>
              <w:numPr>
                <w:ilvl w:val="0"/>
                <w:numId w:val="0"/>
              </w:numPr>
              <w:spacing w:before="0" w:line="276" w:lineRule="auto"/>
              <w:ind w:left="720"/>
              <w:rPr>
                <w:lang w:val="cs-CZ"/>
              </w:rPr>
            </w:pPr>
            <w:r w:rsidRPr="00B05B68">
              <w:rPr>
                <w:lang w:val="cs-CZ"/>
              </w:rPr>
              <w:t>se sídlem Nádražní 564/47</w:t>
            </w:r>
            <w:r w:rsidR="00CE4F8E" w:rsidRPr="00B05B68">
              <w:rPr>
                <w:lang w:val="cs-CZ"/>
              </w:rPr>
              <w:t>,</w:t>
            </w:r>
            <w:r w:rsidRPr="00B05B68">
              <w:rPr>
                <w:lang w:val="cs-CZ"/>
              </w:rPr>
              <w:t xml:space="preserve"> 693 01 Hustopeče, </w:t>
            </w:r>
          </w:p>
          <w:p w14:paraId="6DE6D9A2" w14:textId="39952031" w:rsidR="00871961" w:rsidRDefault="00CD4081" w:rsidP="00871961">
            <w:pPr>
              <w:pStyle w:val="AO1"/>
              <w:numPr>
                <w:ilvl w:val="0"/>
                <w:numId w:val="0"/>
              </w:numPr>
              <w:spacing w:before="0" w:line="276" w:lineRule="auto"/>
              <w:ind w:left="720"/>
              <w:rPr>
                <w:lang w:val="cs-CZ"/>
              </w:rPr>
            </w:pPr>
            <w:r w:rsidRPr="00B05B68">
              <w:rPr>
                <w:lang w:val="cs-CZ"/>
              </w:rPr>
              <w:t xml:space="preserve">zapsaná v obchodním rejstříku vedeném Krajským soudem v Brně, spisová značka C10448, </w:t>
            </w:r>
            <w:r w:rsidR="003011A6" w:rsidRPr="00B05B68">
              <w:rPr>
                <w:lang w:val="cs-CZ"/>
              </w:rPr>
              <w:br/>
            </w:r>
            <w:r w:rsidR="003011A6" w:rsidRPr="00B05B68">
              <w:rPr>
                <w:bCs/>
                <w:lang w:val="cs-CZ"/>
              </w:rPr>
              <w:t>z</w:t>
            </w:r>
            <w:r w:rsidR="00877B52" w:rsidRPr="00B05B68">
              <w:rPr>
                <w:bCs/>
                <w:lang w:val="cs-CZ"/>
              </w:rPr>
              <w:t>astoupena</w:t>
            </w:r>
            <w:r w:rsidR="00B05B68" w:rsidRPr="00B05B68">
              <w:rPr>
                <w:bCs/>
                <w:lang w:val="cs-CZ"/>
              </w:rPr>
              <w:t xml:space="preserve"> </w:t>
            </w:r>
          </w:p>
          <w:p w14:paraId="5728118B" w14:textId="756833B8" w:rsidR="00871961" w:rsidRDefault="00CD4081" w:rsidP="00871961">
            <w:pPr>
              <w:pStyle w:val="AO1"/>
              <w:numPr>
                <w:ilvl w:val="0"/>
                <w:numId w:val="0"/>
              </w:numPr>
              <w:spacing w:before="0" w:line="276" w:lineRule="auto"/>
              <w:ind w:left="720"/>
              <w:rPr>
                <w:lang w:val="cs-CZ"/>
              </w:rPr>
            </w:pPr>
            <w:r w:rsidRPr="006E4B92">
              <w:rPr>
                <w:lang w:val="cs-CZ"/>
              </w:rPr>
              <w:t>zákaznická telefonní linka:</w:t>
            </w:r>
          </w:p>
          <w:p w14:paraId="55E61653" w14:textId="57F1E197" w:rsidR="00871961" w:rsidRDefault="00CD4081" w:rsidP="00871961">
            <w:pPr>
              <w:pStyle w:val="AO1"/>
              <w:numPr>
                <w:ilvl w:val="0"/>
                <w:numId w:val="0"/>
              </w:numPr>
              <w:spacing w:before="0" w:line="276" w:lineRule="auto"/>
              <w:ind w:left="720"/>
              <w:rPr>
                <w:lang w:val="cs-CZ"/>
              </w:rPr>
            </w:pPr>
            <w:r w:rsidRPr="006E4B92">
              <w:rPr>
                <w:lang w:val="cs-CZ"/>
              </w:rPr>
              <w:t xml:space="preserve">e-mail: </w:t>
            </w:r>
          </w:p>
          <w:p w14:paraId="54FAC98E" w14:textId="3FCDDF07" w:rsidR="00CD4081" w:rsidRPr="006E4B92" w:rsidRDefault="00CD4081" w:rsidP="00871961">
            <w:pPr>
              <w:pStyle w:val="AO1"/>
              <w:numPr>
                <w:ilvl w:val="0"/>
                <w:numId w:val="0"/>
              </w:numPr>
              <w:spacing w:before="0" w:line="276" w:lineRule="auto"/>
              <w:ind w:left="720"/>
              <w:jc w:val="left"/>
              <w:rPr>
                <w:lang w:val="cs-CZ"/>
              </w:rPr>
            </w:pPr>
            <w:r w:rsidRPr="006E4B92">
              <w:rPr>
                <w:lang w:val="cs-CZ"/>
              </w:rPr>
              <w:t>web:</w:t>
            </w:r>
            <w:r w:rsidR="00871961">
              <w:rPr>
                <w:lang w:val="cs-CZ"/>
              </w:rPr>
              <w:t xml:space="preserve"> </w:t>
            </w:r>
            <w:r w:rsidRPr="006E4B92">
              <w:rPr>
                <w:lang w:val="cs-CZ"/>
              </w:rPr>
              <w:br/>
              <w:t>(dále jen „</w:t>
            </w:r>
            <w:proofErr w:type="spellStart"/>
            <w:r w:rsidRPr="006E4B92">
              <w:rPr>
                <w:b/>
                <w:lang w:val="cs-CZ"/>
              </w:rPr>
              <w:t>Flaga</w:t>
            </w:r>
            <w:proofErr w:type="spellEnd"/>
            <w:r w:rsidRPr="006E4B92">
              <w:rPr>
                <w:lang w:val="cs-CZ"/>
              </w:rPr>
              <w:t>“)</w:t>
            </w:r>
          </w:p>
        </w:tc>
      </w:tr>
      <w:tr w:rsidR="00CD4081" w:rsidRPr="006E4B92" w14:paraId="3A047DAA" w14:textId="77777777" w:rsidTr="00CD4081">
        <w:tc>
          <w:tcPr>
            <w:tcW w:w="9810" w:type="dxa"/>
          </w:tcPr>
          <w:p w14:paraId="44097619" w14:textId="3DD9E2BB" w:rsidR="00CD4081" w:rsidRPr="006E4B92" w:rsidRDefault="00CD4081" w:rsidP="003011A6">
            <w:pPr>
              <w:pStyle w:val="AO1"/>
              <w:spacing w:line="300" w:lineRule="atLeast"/>
              <w:jc w:val="left"/>
              <w:rPr>
                <w:lang w:val="cs-CZ"/>
              </w:rPr>
            </w:pPr>
            <w:r w:rsidRPr="006E4B92">
              <w:rPr>
                <w:lang w:val="cs-CZ"/>
              </w:rPr>
              <w:t xml:space="preserve">společnost </w:t>
            </w:r>
            <w:r w:rsidR="00263B35" w:rsidRPr="006E4B92">
              <w:rPr>
                <w:rFonts w:ascii="Verdana" w:hAnsi="Verdana"/>
                <w:b/>
                <w:bCs/>
                <w:sz w:val="18"/>
                <w:szCs w:val="18"/>
                <w:lang w:val="cs-CZ"/>
              </w:rPr>
              <w:t>Domov pro seniory Chvalkov</w:t>
            </w:r>
            <w:r w:rsidRPr="006E4B92">
              <w:rPr>
                <w:lang w:val="cs-CZ"/>
              </w:rPr>
              <w:br/>
              <w:t xml:space="preserve">IČO / </w:t>
            </w:r>
            <w:r w:rsidR="006E6174" w:rsidRPr="006E4B92">
              <w:rPr>
                <w:rFonts w:ascii="Verdana" w:hAnsi="Verdana"/>
                <w:sz w:val="18"/>
                <w:szCs w:val="18"/>
                <w:lang w:val="cs-CZ"/>
              </w:rPr>
              <w:t>00666246</w:t>
            </w:r>
            <w:r w:rsidRPr="006E4B92">
              <w:rPr>
                <w:lang w:val="cs-CZ"/>
              </w:rPr>
              <w:br/>
              <w:t xml:space="preserve">se sídlem </w:t>
            </w:r>
            <w:r w:rsidR="006E6174" w:rsidRPr="006E4B92">
              <w:rPr>
                <w:rFonts w:ascii="Verdana" w:hAnsi="Verdana"/>
                <w:sz w:val="18"/>
                <w:szCs w:val="18"/>
                <w:lang w:val="cs-CZ"/>
              </w:rPr>
              <w:t>Chvalkov 41,</w:t>
            </w:r>
            <w:r w:rsidR="00B71B5F" w:rsidRPr="006E4B92">
              <w:rPr>
                <w:rFonts w:ascii="Verdana" w:hAnsi="Verdana"/>
                <w:sz w:val="18"/>
                <w:szCs w:val="18"/>
                <w:lang w:val="cs-CZ"/>
              </w:rPr>
              <w:t xml:space="preserve"> 374 01 Trhové</w:t>
            </w:r>
            <w:r w:rsidR="001A4E23" w:rsidRPr="006E4B92">
              <w:rPr>
                <w:rFonts w:ascii="Verdana" w:hAnsi="Verdana"/>
                <w:sz w:val="18"/>
                <w:szCs w:val="18"/>
                <w:lang w:val="cs-CZ"/>
              </w:rPr>
              <w:t xml:space="preserve"> </w:t>
            </w:r>
            <w:r w:rsidR="00B71B5F" w:rsidRPr="006E4B92">
              <w:rPr>
                <w:rFonts w:ascii="Verdana" w:hAnsi="Verdana"/>
                <w:sz w:val="18"/>
                <w:szCs w:val="18"/>
                <w:lang w:val="cs-CZ"/>
              </w:rPr>
              <w:t>Sviny</w:t>
            </w:r>
            <w:r w:rsidR="003011A6" w:rsidRPr="006E4B92">
              <w:rPr>
                <w:lang w:val="cs-CZ"/>
              </w:rPr>
              <w:br/>
            </w:r>
            <w:r w:rsidR="00877B52" w:rsidRPr="006E4B92">
              <w:rPr>
                <w:lang w:val="cs-CZ"/>
              </w:rPr>
              <w:t xml:space="preserve">zastoupena Janou Zadražilovou, </w:t>
            </w:r>
            <w:r w:rsidR="003011A6" w:rsidRPr="006E4B92">
              <w:rPr>
                <w:lang w:val="cs-CZ"/>
              </w:rPr>
              <w:t>pověřenou vedením organizace</w:t>
            </w:r>
            <w:r w:rsidRPr="006E4B92">
              <w:rPr>
                <w:lang w:val="cs-CZ"/>
              </w:rPr>
              <w:br/>
              <w:t>tel.:</w:t>
            </w:r>
            <w:r w:rsidR="00515CA4" w:rsidRPr="006E4B92">
              <w:rPr>
                <w:lang w:val="cs-CZ"/>
              </w:rPr>
              <w:t xml:space="preserve"> </w:t>
            </w:r>
            <w:r w:rsidRPr="006E4B92">
              <w:rPr>
                <w:lang w:val="cs-CZ"/>
              </w:rPr>
              <w:br/>
              <w:t>e-mail:</w:t>
            </w:r>
            <w:r w:rsidR="00FA7A0B" w:rsidRPr="006E4B92">
              <w:rPr>
                <w:lang w:val="cs-CZ"/>
              </w:rPr>
              <w:t xml:space="preserve"> </w:t>
            </w:r>
            <w:r w:rsidRPr="006E4B92">
              <w:rPr>
                <w:lang w:val="cs-CZ"/>
              </w:rPr>
              <w:br/>
              <w:t>(dále jen „</w:t>
            </w:r>
            <w:r w:rsidRPr="006E4B92">
              <w:rPr>
                <w:b/>
                <w:lang w:val="cs-CZ"/>
              </w:rPr>
              <w:t>Partner</w:t>
            </w:r>
            <w:r w:rsidRPr="006E4B92">
              <w:rPr>
                <w:lang w:val="cs-CZ"/>
              </w:rPr>
              <w:t>“)</w:t>
            </w:r>
          </w:p>
        </w:tc>
      </w:tr>
      <w:tr w:rsidR="00CD4081" w:rsidRPr="006E4B92" w14:paraId="49F76255" w14:textId="77777777" w:rsidTr="00CD4081">
        <w:tc>
          <w:tcPr>
            <w:tcW w:w="9810" w:type="dxa"/>
          </w:tcPr>
          <w:p w14:paraId="5955C1C4" w14:textId="77777777" w:rsidR="00CD4081" w:rsidRPr="006E4B92" w:rsidRDefault="00CD4081" w:rsidP="00F735F7">
            <w:pPr>
              <w:pStyle w:val="AODocTxt"/>
              <w:rPr>
                <w:sz w:val="24"/>
                <w:szCs w:val="24"/>
                <w:lang w:val="cs-CZ"/>
              </w:rPr>
            </w:pPr>
            <w:r w:rsidRPr="006E4B92">
              <w:rPr>
                <w:lang w:val="cs-CZ"/>
              </w:rPr>
              <w:t>(</w:t>
            </w:r>
            <w:proofErr w:type="spellStart"/>
            <w:r w:rsidRPr="006E4B92">
              <w:rPr>
                <w:lang w:val="cs-CZ"/>
              </w:rPr>
              <w:t>Flaga</w:t>
            </w:r>
            <w:proofErr w:type="spellEnd"/>
            <w:r w:rsidRPr="006E4B92">
              <w:rPr>
                <w:lang w:val="cs-CZ"/>
              </w:rPr>
              <w:t xml:space="preserve"> společně s Partnerem dále jen „</w:t>
            </w:r>
            <w:r w:rsidRPr="006E4B92">
              <w:rPr>
                <w:b/>
                <w:lang w:val="cs-CZ"/>
              </w:rPr>
              <w:t>Strany</w:t>
            </w:r>
            <w:r w:rsidRPr="006E4B92">
              <w:rPr>
                <w:lang w:val="cs-CZ"/>
              </w:rPr>
              <w:t>“ a jednotlivě „</w:t>
            </w:r>
            <w:r w:rsidRPr="006E4B92">
              <w:rPr>
                <w:b/>
                <w:lang w:val="cs-CZ"/>
              </w:rPr>
              <w:t>Strana</w:t>
            </w:r>
            <w:r w:rsidRPr="006E4B92">
              <w:rPr>
                <w:lang w:val="cs-CZ"/>
              </w:rPr>
              <w:t>“)</w:t>
            </w:r>
          </w:p>
        </w:tc>
      </w:tr>
      <w:tr w:rsidR="00CD4081" w:rsidRPr="006E4B92" w14:paraId="11DE1095" w14:textId="77777777" w:rsidTr="00CD4081">
        <w:tc>
          <w:tcPr>
            <w:tcW w:w="9810" w:type="dxa"/>
          </w:tcPr>
          <w:p w14:paraId="32842076" w14:textId="77777777" w:rsidR="00CD4081" w:rsidRPr="006E4B92" w:rsidRDefault="00CD4081" w:rsidP="00F735F7">
            <w:pPr>
              <w:pStyle w:val="AODocTxt"/>
              <w:rPr>
                <w:b/>
                <w:lang w:val="cs-CZ"/>
              </w:rPr>
            </w:pPr>
            <w:r w:rsidRPr="006E4B92">
              <w:rPr>
                <w:b/>
                <w:lang w:val="cs-CZ"/>
              </w:rPr>
              <w:t>VZHLEDEM K TOMU, ŽE</w:t>
            </w:r>
          </w:p>
        </w:tc>
      </w:tr>
      <w:tr w:rsidR="00CD4081" w:rsidRPr="006E4B92" w14:paraId="14C9F332" w14:textId="77777777" w:rsidTr="00CD4081">
        <w:tc>
          <w:tcPr>
            <w:tcW w:w="9810" w:type="dxa"/>
          </w:tcPr>
          <w:p w14:paraId="0F2EE312" w14:textId="6E76C6A3" w:rsidR="00CD4081" w:rsidRPr="006E4B92" w:rsidRDefault="00CD4081" w:rsidP="00FC4BF3">
            <w:pPr>
              <w:pStyle w:val="AOA"/>
              <w:numPr>
                <w:ilvl w:val="0"/>
                <w:numId w:val="0"/>
              </w:numPr>
              <w:ind w:left="747" w:hanging="605"/>
              <w:rPr>
                <w:lang w:val="cs-CZ"/>
              </w:rPr>
            </w:pPr>
            <w:r w:rsidRPr="006E4B92">
              <w:rPr>
                <w:lang w:val="cs-CZ"/>
              </w:rPr>
              <w:t xml:space="preserve">(A)   </w:t>
            </w:r>
            <w:proofErr w:type="spellStart"/>
            <w:r w:rsidRPr="006E4B92">
              <w:rPr>
                <w:lang w:val="cs-CZ"/>
              </w:rPr>
              <w:t>Flaga</w:t>
            </w:r>
            <w:proofErr w:type="spellEnd"/>
            <w:r w:rsidRPr="006E4B92">
              <w:rPr>
                <w:lang w:val="cs-CZ"/>
              </w:rPr>
              <w:t xml:space="preserve"> na základě smlouvy</w:t>
            </w:r>
            <w:r w:rsidR="00823073" w:rsidRPr="006E4B92">
              <w:rPr>
                <w:lang w:val="cs-CZ"/>
              </w:rPr>
              <w:t xml:space="preserve"> </w:t>
            </w:r>
            <w:r w:rsidR="00B05B68">
              <w:rPr>
                <w:lang w:val="cs-CZ"/>
              </w:rPr>
              <w:t>č. 1170/96</w:t>
            </w:r>
            <w:r w:rsidRPr="006E4B92">
              <w:rPr>
                <w:lang w:val="cs-CZ"/>
              </w:rPr>
              <w:t xml:space="preserve"> uzavřené s</w:t>
            </w:r>
            <w:r w:rsidR="00823073" w:rsidRPr="006E4B92">
              <w:rPr>
                <w:lang w:val="cs-CZ"/>
              </w:rPr>
              <w:t xml:space="preserve"> </w:t>
            </w:r>
            <w:r w:rsidRPr="006E4B92">
              <w:rPr>
                <w:lang w:val="cs-CZ"/>
              </w:rPr>
              <w:t>Partnerem (dále všechna dosavadní smluvní ujednání jen jako „</w:t>
            </w:r>
            <w:r w:rsidRPr="006E4B92">
              <w:rPr>
                <w:b/>
                <w:lang w:val="cs-CZ"/>
              </w:rPr>
              <w:t>Smlouva</w:t>
            </w:r>
            <w:r w:rsidRPr="006E4B92">
              <w:rPr>
                <w:lang w:val="cs-CZ"/>
              </w:rPr>
              <w:t>“), jejíž nedílnou součástí jsou její veškeré případné pozdější písemné dodatky uzavřené mezi Stranami a obchodní podmínky Flagy vztahující se ke Smlouvě (dále jen „</w:t>
            </w:r>
            <w:r w:rsidRPr="006E4B92">
              <w:rPr>
                <w:b/>
                <w:lang w:val="cs-CZ"/>
              </w:rPr>
              <w:t>Obchodní podmínky</w:t>
            </w:r>
            <w:r w:rsidRPr="006E4B92">
              <w:rPr>
                <w:lang w:val="cs-CZ"/>
              </w:rPr>
              <w:t>“), dodává Partnerovi zkapalněný ropný plyn (dále jen „</w:t>
            </w:r>
            <w:r w:rsidRPr="006E4B92">
              <w:rPr>
                <w:b/>
                <w:lang w:val="cs-CZ"/>
              </w:rPr>
              <w:t>LPG</w:t>
            </w:r>
            <w:r w:rsidRPr="006E4B92">
              <w:rPr>
                <w:lang w:val="cs-CZ"/>
              </w:rPr>
              <w:t>“) do zásobníku(ů) (dále společně jen „</w:t>
            </w:r>
            <w:r w:rsidRPr="006E4B92">
              <w:rPr>
                <w:b/>
                <w:lang w:val="cs-CZ"/>
              </w:rPr>
              <w:t>Zásobník</w:t>
            </w:r>
            <w:r w:rsidRPr="006E4B92">
              <w:rPr>
                <w:lang w:val="cs-CZ"/>
              </w:rPr>
              <w:t>“) v místě sjednaném s Partnerem, a to na základě dílčích</w:t>
            </w:r>
            <w:r w:rsidR="00823073" w:rsidRPr="006E4B92">
              <w:rPr>
                <w:lang w:val="cs-CZ"/>
              </w:rPr>
              <w:t xml:space="preserve"> </w:t>
            </w:r>
            <w:r w:rsidRPr="006E4B92">
              <w:rPr>
                <w:lang w:val="cs-CZ"/>
              </w:rPr>
              <w:t>objednávek Partnera a/anebo</w:t>
            </w:r>
            <w:r w:rsidR="00823073" w:rsidRPr="006E4B92">
              <w:rPr>
                <w:lang w:val="cs-CZ"/>
              </w:rPr>
              <w:t xml:space="preserve"> </w:t>
            </w:r>
            <w:r w:rsidRPr="006E4B92">
              <w:rPr>
                <w:lang w:val="cs-CZ"/>
              </w:rPr>
              <w:t>domluvených automatických závozů.</w:t>
            </w:r>
          </w:p>
        </w:tc>
      </w:tr>
      <w:tr w:rsidR="00CD4081" w:rsidRPr="006E4B92" w14:paraId="2BE578A7" w14:textId="77777777" w:rsidTr="00155A88">
        <w:trPr>
          <w:trHeight w:val="878"/>
        </w:trPr>
        <w:tc>
          <w:tcPr>
            <w:tcW w:w="9810" w:type="dxa"/>
          </w:tcPr>
          <w:p w14:paraId="22838DD9" w14:textId="77777777" w:rsidR="00CD4081" w:rsidRPr="006E4B92" w:rsidRDefault="00CD4081" w:rsidP="00155A88">
            <w:pPr>
              <w:pStyle w:val="AOA"/>
              <w:numPr>
                <w:ilvl w:val="0"/>
                <w:numId w:val="0"/>
              </w:numPr>
              <w:ind w:left="747" w:hanging="605"/>
              <w:rPr>
                <w:lang w:val="cs-CZ"/>
              </w:rPr>
            </w:pPr>
            <w:r w:rsidRPr="006E4B92">
              <w:rPr>
                <w:lang w:val="cs-CZ"/>
              </w:rPr>
              <w:t>(B)    Společnost</w:t>
            </w:r>
            <w:r w:rsidRPr="006E4B92">
              <w:rPr>
                <w:lang w:val="cs-CZ" w:bidi="cs-CZ"/>
              </w:rPr>
              <w:t xml:space="preserve"> </w:t>
            </w:r>
            <w:proofErr w:type="spellStart"/>
            <w:r w:rsidRPr="006E4B92">
              <w:rPr>
                <w:lang w:val="cs-CZ" w:bidi="cs-CZ"/>
              </w:rPr>
              <w:t>Flaga</w:t>
            </w:r>
            <w:proofErr w:type="spellEnd"/>
            <w:r w:rsidRPr="006E4B92">
              <w:rPr>
                <w:lang w:val="cs-CZ" w:bidi="cs-CZ"/>
              </w:rPr>
              <w:t xml:space="preserve"> nabídla Partnerovi možnost fixace výše kupní ceny LPG na určitou dobu, pokud se</w:t>
            </w:r>
            <w:r w:rsidR="00823073" w:rsidRPr="006E4B92">
              <w:rPr>
                <w:lang w:val="cs-CZ" w:bidi="cs-CZ"/>
              </w:rPr>
              <w:t xml:space="preserve"> </w:t>
            </w:r>
            <w:r w:rsidRPr="006E4B92">
              <w:rPr>
                <w:lang w:val="cs-CZ" w:bidi="cs-CZ"/>
              </w:rPr>
              <w:t>Partner zaváže k odebrání určitých objemů LPG od Flagy během této doby</w:t>
            </w:r>
            <w:r w:rsidR="00155A88" w:rsidRPr="006E4B92">
              <w:rPr>
                <w:lang w:val="cs-CZ" w:bidi="cs-CZ"/>
              </w:rPr>
              <w:t>.</w:t>
            </w:r>
          </w:p>
        </w:tc>
      </w:tr>
      <w:tr w:rsidR="00CD4081" w:rsidRPr="006E4B92" w14:paraId="7D87602F" w14:textId="77777777" w:rsidTr="00CD4081">
        <w:tc>
          <w:tcPr>
            <w:tcW w:w="9810" w:type="dxa"/>
          </w:tcPr>
          <w:p w14:paraId="1D5268B3" w14:textId="42586750" w:rsidR="00CD4081" w:rsidRPr="006E4B92" w:rsidRDefault="00CD4081" w:rsidP="00FC4BF3">
            <w:pPr>
              <w:pStyle w:val="AOA"/>
              <w:numPr>
                <w:ilvl w:val="0"/>
                <w:numId w:val="0"/>
              </w:numPr>
              <w:ind w:left="747" w:hanging="605"/>
              <w:rPr>
                <w:lang w:val="cs-CZ"/>
              </w:rPr>
            </w:pPr>
            <w:r w:rsidRPr="006E4B92">
              <w:rPr>
                <w:lang w:val="cs-CZ"/>
              </w:rPr>
              <w:t xml:space="preserve">(C)    </w:t>
            </w:r>
            <w:r w:rsidRPr="006E4B92">
              <w:rPr>
                <w:lang w:val="cs-CZ" w:bidi="cs-CZ"/>
              </w:rPr>
              <w:t>Strany tak mají zájem tímto Dodatkem ke Smlouvě upravit stávající ujednání pro dodávky LPG do</w:t>
            </w:r>
            <w:r w:rsidR="00823073" w:rsidRPr="006E4B92">
              <w:rPr>
                <w:lang w:val="cs-CZ" w:bidi="cs-CZ"/>
              </w:rPr>
              <w:t xml:space="preserve"> </w:t>
            </w:r>
            <w:r w:rsidRPr="006E4B92">
              <w:rPr>
                <w:lang w:val="cs-CZ" w:bidi="cs-CZ"/>
              </w:rPr>
              <w:t>Zásobníku, jak jsou sjednány ve Smlouvě, a to způsobem stanoveným v tomto Dodatku.</w:t>
            </w:r>
          </w:p>
        </w:tc>
      </w:tr>
      <w:tr w:rsidR="00CD4081" w:rsidRPr="006E4B92" w14:paraId="0A2F0B82" w14:textId="77777777" w:rsidTr="00CD4081">
        <w:tc>
          <w:tcPr>
            <w:tcW w:w="9810" w:type="dxa"/>
          </w:tcPr>
          <w:p w14:paraId="4D81DE04" w14:textId="77777777" w:rsidR="00CD4081" w:rsidRPr="006E4B92" w:rsidRDefault="00CD4081" w:rsidP="00F735F7">
            <w:pPr>
              <w:pStyle w:val="AODocTxt"/>
              <w:rPr>
                <w:rFonts w:cs="Segoe Script"/>
                <w:b/>
                <w:caps/>
                <w:lang w:val="cs-CZ"/>
              </w:rPr>
            </w:pPr>
            <w:r w:rsidRPr="006E4B92">
              <w:rPr>
                <w:b/>
                <w:lang w:val="cs-CZ"/>
              </w:rPr>
              <w:t>SE STRANY DOHODLY TAKTO:</w:t>
            </w:r>
          </w:p>
        </w:tc>
      </w:tr>
      <w:tr w:rsidR="00CD4081" w:rsidRPr="006E4B92" w14:paraId="2DD4ABE1" w14:textId="77777777" w:rsidTr="00CD4081">
        <w:tc>
          <w:tcPr>
            <w:tcW w:w="9810" w:type="dxa"/>
          </w:tcPr>
          <w:p w14:paraId="49D93BB7" w14:textId="77777777" w:rsidR="00CD4081" w:rsidRPr="006E4B92" w:rsidRDefault="00CD4081" w:rsidP="00CD4081">
            <w:pPr>
              <w:pStyle w:val="AOAltHead1"/>
              <w:spacing w:line="300" w:lineRule="atLeast"/>
              <w:rPr>
                <w:b/>
                <w:lang w:val="cs-CZ"/>
              </w:rPr>
            </w:pPr>
            <w:r w:rsidRPr="006E4B92">
              <w:rPr>
                <w:b/>
                <w:lang w:val="cs-CZ" w:bidi="cs-CZ"/>
              </w:rPr>
              <w:t>GARANTOVANÁ CENA LPG</w:t>
            </w:r>
          </w:p>
        </w:tc>
      </w:tr>
      <w:tr w:rsidR="00CD4081" w:rsidRPr="006E4B92" w14:paraId="773A5608" w14:textId="77777777" w:rsidTr="00CD4081">
        <w:tc>
          <w:tcPr>
            <w:tcW w:w="9810" w:type="dxa"/>
          </w:tcPr>
          <w:p w14:paraId="52D2ACC1" w14:textId="77777777" w:rsidR="00CD4081" w:rsidRPr="006E4B92" w:rsidRDefault="00CD4081" w:rsidP="00CD4081">
            <w:pPr>
              <w:pStyle w:val="AOAltHead2"/>
              <w:spacing w:line="300" w:lineRule="atLeast"/>
              <w:rPr>
                <w:lang w:val="cs-CZ"/>
              </w:rPr>
            </w:pPr>
            <w:proofErr w:type="spellStart"/>
            <w:r w:rsidRPr="006E4B92">
              <w:rPr>
                <w:lang w:val="cs-CZ" w:bidi="cs-CZ"/>
              </w:rPr>
              <w:t>Flaga</w:t>
            </w:r>
            <w:proofErr w:type="spellEnd"/>
            <w:r w:rsidRPr="006E4B92">
              <w:rPr>
                <w:lang w:val="cs-CZ" w:bidi="cs-CZ"/>
              </w:rPr>
              <w:t xml:space="preserve"> se zavazuje dodávat Partnerovi LPG za fixní garantovanou cenu ve výši</w:t>
            </w:r>
            <w:r w:rsidR="00DD1332" w:rsidRPr="006E4B92">
              <w:rPr>
                <w:lang w:val="cs-CZ" w:bidi="cs-CZ"/>
              </w:rPr>
              <w:t xml:space="preserve"> 1</w:t>
            </w:r>
            <w:r w:rsidR="00F84AA6" w:rsidRPr="006E4B92">
              <w:rPr>
                <w:lang w:val="cs-CZ" w:bidi="cs-CZ"/>
              </w:rPr>
              <w:t>8,6</w:t>
            </w:r>
            <w:r w:rsidR="00DD1332" w:rsidRPr="006E4B92">
              <w:rPr>
                <w:lang w:val="cs-CZ" w:bidi="cs-CZ"/>
              </w:rPr>
              <w:t>0</w:t>
            </w:r>
            <w:r w:rsidRPr="006E4B92">
              <w:rPr>
                <w:lang w:val="cs-CZ" w:bidi="cs-CZ"/>
              </w:rPr>
              <w:t xml:space="preserve"> Kč plus DPH v zákonné výši za </w:t>
            </w:r>
            <w:r w:rsidR="00823073" w:rsidRPr="006E4B92">
              <w:rPr>
                <w:lang w:val="cs-CZ" w:bidi="cs-CZ"/>
              </w:rPr>
              <w:t xml:space="preserve">1 </w:t>
            </w:r>
            <w:r w:rsidR="003C2C5C" w:rsidRPr="006E4B92">
              <w:rPr>
                <w:lang w:val="cs-CZ" w:bidi="cs-CZ"/>
              </w:rPr>
              <w:t>litr</w:t>
            </w:r>
            <w:r w:rsidRPr="006E4B92">
              <w:rPr>
                <w:lang w:val="cs-CZ" w:bidi="cs-CZ"/>
              </w:rPr>
              <w:t xml:space="preserve"> (dále jen “</w:t>
            </w:r>
            <w:r w:rsidRPr="006E4B92">
              <w:rPr>
                <w:b/>
                <w:lang w:val="cs-CZ" w:bidi="cs-CZ"/>
              </w:rPr>
              <w:t>Garantovaná cena</w:t>
            </w:r>
            <w:r w:rsidRPr="006E4B92">
              <w:rPr>
                <w:lang w:val="cs-CZ" w:bidi="cs-CZ"/>
              </w:rPr>
              <w:t>”).</w:t>
            </w:r>
          </w:p>
        </w:tc>
      </w:tr>
      <w:tr w:rsidR="00CD4081" w:rsidRPr="006E4B92" w14:paraId="6006544C" w14:textId="77777777" w:rsidTr="00CD4081">
        <w:tc>
          <w:tcPr>
            <w:tcW w:w="9810" w:type="dxa"/>
          </w:tcPr>
          <w:p w14:paraId="14035CA8" w14:textId="77777777" w:rsidR="00CD4081" w:rsidRPr="006E4B92" w:rsidRDefault="00CD4081" w:rsidP="00CD4081">
            <w:pPr>
              <w:pStyle w:val="AOAltHead2"/>
              <w:spacing w:line="300" w:lineRule="atLeast"/>
              <w:rPr>
                <w:lang w:val="cs-CZ"/>
              </w:rPr>
            </w:pPr>
            <w:r w:rsidRPr="006E4B92">
              <w:rPr>
                <w:lang w:val="cs-CZ" w:bidi="cs-CZ"/>
              </w:rPr>
              <w:lastRenderedPageBreak/>
              <w:t>Garantovaná cena je platná pouze po dobu stanovenou tímto Dodatkem a pouze ve vztahu k odběru omezeného množství LPG dále stanoveného tímto Dodatkem. Použití Garantované ceny je také předmětem dalších podmínek tohoto Dodatku.</w:t>
            </w:r>
          </w:p>
        </w:tc>
      </w:tr>
      <w:tr w:rsidR="00CD4081" w:rsidRPr="006E4B92" w14:paraId="4CDB9D93" w14:textId="77777777" w:rsidTr="00CD4081">
        <w:tc>
          <w:tcPr>
            <w:tcW w:w="9810" w:type="dxa"/>
          </w:tcPr>
          <w:p w14:paraId="6DDCDB72" w14:textId="77777777" w:rsidR="00CD4081" w:rsidRPr="006E4B92" w:rsidRDefault="00CD4081" w:rsidP="00CD4081">
            <w:pPr>
              <w:pStyle w:val="AOAltHead2"/>
              <w:spacing w:line="300" w:lineRule="atLeast"/>
              <w:rPr>
                <w:lang w:val="cs-CZ"/>
              </w:rPr>
            </w:pPr>
            <w:r w:rsidRPr="006E4B92">
              <w:rPr>
                <w:lang w:val="cs-CZ" w:bidi="cs-CZ"/>
              </w:rPr>
              <w:t>V tomto uvedeném rozsahu Garantovaná cena nahradí (v příslušném objemu a po příslušnou dobu) kupní cenu stanovenou Smlouvou (vyjma tohoto Dodatku, dále jen “</w:t>
            </w:r>
            <w:r w:rsidRPr="006E4B92">
              <w:rPr>
                <w:b/>
                <w:lang w:val="cs-CZ" w:bidi="cs-CZ"/>
              </w:rPr>
              <w:t>Původní cena</w:t>
            </w:r>
            <w:r w:rsidRPr="006E4B92">
              <w:rPr>
                <w:lang w:val="cs-CZ" w:bidi="cs-CZ"/>
              </w:rPr>
              <w:t>”).</w:t>
            </w:r>
          </w:p>
        </w:tc>
      </w:tr>
      <w:tr w:rsidR="00CD4081" w:rsidRPr="006E4B92" w14:paraId="40DB7114" w14:textId="77777777" w:rsidTr="00CD4081">
        <w:tc>
          <w:tcPr>
            <w:tcW w:w="9810" w:type="dxa"/>
          </w:tcPr>
          <w:p w14:paraId="2038DF4E" w14:textId="77777777" w:rsidR="00CD4081" w:rsidRPr="006E4B92" w:rsidRDefault="00CD4081" w:rsidP="00CD4081">
            <w:pPr>
              <w:pStyle w:val="AOAltHead2"/>
              <w:spacing w:line="300" w:lineRule="atLeast"/>
              <w:rPr>
                <w:lang w:val="cs-CZ"/>
              </w:rPr>
            </w:pPr>
            <w:r w:rsidRPr="006E4B92">
              <w:rPr>
                <w:lang w:val="cs-CZ" w:bidi="cs-CZ"/>
              </w:rPr>
              <w:t xml:space="preserve">Garantovaná cena je platná výlučně pro dodávky LPG učiněné </w:t>
            </w:r>
            <w:proofErr w:type="spellStart"/>
            <w:r w:rsidRPr="006E4B92">
              <w:rPr>
                <w:lang w:val="cs-CZ" w:bidi="cs-CZ"/>
              </w:rPr>
              <w:t>Flagou</w:t>
            </w:r>
            <w:proofErr w:type="spellEnd"/>
            <w:r w:rsidRPr="006E4B92">
              <w:rPr>
                <w:lang w:val="cs-CZ" w:bidi="cs-CZ"/>
              </w:rPr>
              <w:t xml:space="preserve"> do Zásobníku.</w:t>
            </w:r>
          </w:p>
        </w:tc>
      </w:tr>
      <w:tr w:rsidR="00CD4081" w:rsidRPr="006E4B92" w14:paraId="05DE8136" w14:textId="77777777" w:rsidTr="00CD4081">
        <w:tc>
          <w:tcPr>
            <w:tcW w:w="9810" w:type="dxa"/>
          </w:tcPr>
          <w:p w14:paraId="3D8DD984" w14:textId="77777777" w:rsidR="00CD4081" w:rsidRPr="006E4B92" w:rsidRDefault="00CD4081" w:rsidP="00CD4081">
            <w:pPr>
              <w:pStyle w:val="AOAltHead1"/>
              <w:spacing w:line="300" w:lineRule="atLeast"/>
              <w:rPr>
                <w:lang w:val="cs-CZ"/>
              </w:rPr>
            </w:pPr>
            <w:r w:rsidRPr="006E4B92">
              <w:rPr>
                <w:b/>
                <w:lang w:val="cs-CZ" w:bidi="cs-CZ"/>
              </w:rPr>
              <w:t>DOBA TRVÁNÍ</w:t>
            </w:r>
          </w:p>
        </w:tc>
      </w:tr>
      <w:tr w:rsidR="00CD4081" w:rsidRPr="006E4B92" w14:paraId="27E43011" w14:textId="77777777" w:rsidTr="00CD4081">
        <w:tc>
          <w:tcPr>
            <w:tcW w:w="9810" w:type="dxa"/>
          </w:tcPr>
          <w:p w14:paraId="440FA971" w14:textId="77777777" w:rsidR="00CD4081" w:rsidRPr="006E4B92" w:rsidRDefault="00CD4081" w:rsidP="00CD4081">
            <w:pPr>
              <w:pStyle w:val="AOAltHead2"/>
              <w:spacing w:line="300" w:lineRule="atLeast"/>
              <w:rPr>
                <w:lang w:val="cs-CZ"/>
              </w:rPr>
            </w:pPr>
            <w:r w:rsidRPr="006E4B92">
              <w:rPr>
                <w:lang w:val="cs-CZ" w:bidi="cs-CZ"/>
              </w:rPr>
              <w:t xml:space="preserve">Závazek dle článku </w:t>
            </w:r>
            <w:r w:rsidR="00AB2DBF" w:rsidRPr="006E4B92">
              <w:rPr>
                <w:lang w:val="cs-CZ" w:bidi="cs-CZ"/>
              </w:rPr>
              <w:t>1</w:t>
            </w:r>
            <w:r w:rsidRPr="006E4B92">
              <w:rPr>
                <w:lang w:val="cs-CZ" w:bidi="cs-CZ"/>
              </w:rPr>
              <w:t xml:space="preserve"> výše vstupuje v platnost a účinnost ke dni </w:t>
            </w:r>
            <w:r w:rsidR="008329CE" w:rsidRPr="006E4B92">
              <w:rPr>
                <w:b/>
                <w:bCs/>
                <w:lang w:val="cs-CZ" w:bidi="cs-CZ"/>
              </w:rPr>
              <w:t>1.</w:t>
            </w:r>
            <w:r w:rsidR="003C2C5C" w:rsidRPr="006E4B92">
              <w:rPr>
                <w:b/>
                <w:bCs/>
                <w:lang w:val="cs-CZ" w:bidi="cs-CZ"/>
              </w:rPr>
              <w:t>1</w:t>
            </w:r>
            <w:r w:rsidR="008329CE" w:rsidRPr="006E4B92">
              <w:rPr>
                <w:b/>
                <w:bCs/>
                <w:lang w:val="cs-CZ" w:bidi="cs-CZ"/>
              </w:rPr>
              <w:t>0</w:t>
            </w:r>
            <w:r w:rsidR="003C2C5C" w:rsidRPr="006E4B92">
              <w:rPr>
                <w:b/>
                <w:bCs/>
                <w:lang w:val="cs-CZ" w:bidi="cs-CZ"/>
              </w:rPr>
              <w:t>.202</w:t>
            </w:r>
            <w:r w:rsidR="002B297E" w:rsidRPr="006E4B92">
              <w:rPr>
                <w:b/>
                <w:bCs/>
                <w:lang w:val="cs-CZ" w:bidi="cs-CZ"/>
              </w:rPr>
              <w:t>2</w:t>
            </w:r>
            <w:r w:rsidRPr="006E4B92">
              <w:rPr>
                <w:lang w:val="cs-CZ" w:bidi="cs-CZ"/>
              </w:rPr>
              <w:t xml:space="preserve"> (dále jen “</w:t>
            </w:r>
            <w:r w:rsidRPr="006E4B92">
              <w:rPr>
                <w:b/>
                <w:lang w:val="cs-CZ" w:bidi="cs-CZ"/>
              </w:rPr>
              <w:t>Datum účinnosti</w:t>
            </w:r>
            <w:r w:rsidRPr="006E4B92">
              <w:rPr>
                <w:lang w:val="cs-CZ" w:bidi="cs-CZ"/>
              </w:rPr>
              <w:t>”) a zaniká ke dni</w:t>
            </w:r>
            <w:r w:rsidR="00367C1D" w:rsidRPr="006E4B92">
              <w:rPr>
                <w:lang w:val="cs-CZ" w:bidi="cs-CZ"/>
              </w:rPr>
              <w:t xml:space="preserve"> </w:t>
            </w:r>
            <w:r w:rsidR="003C2C5C" w:rsidRPr="006E4B92">
              <w:rPr>
                <w:b/>
                <w:bCs/>
                <w:lang w:val="cs-CZ" w:bidi="cs-CZ"/>
              </w:rPr>
              <w:t>30.9.202</w:t>
            </w:r>
            <w:r w:rsidR="00F84AA6" w:rsidRPr="006E4B92">
              <w:rPr>
                <w:b/>
                <w:bCs/>
                <w:lang w:val="cs-CZ" w:bidi="cs-CZ"/>
              </w:rPr>
              <w:t>4</w:t>
            </w:r>
            <w:r w:rsidRPr="006E4B92">
              <w:rPr>
                <w:lang w:val="cs-CZ" w:bidi="cs-CZ"/>
              </w:rPr>
              <w:t xml:space="preserve"> (dále jen “</w:t>
            </w:r>
            <w:r w:rsidRPr="006E4B92">
              <w:rPr>
                <w:b/>
                <w:lang w:val="cs-CZ" w:bidi="cs-CZ"/>
              </w:rPr>
              <w:t>Datum ukončení</w:t>
            </w:r>
            <w:r w:rsidRPr="006E4B92">
              <w:rPr>
                <w:lang w:val="cs-CZ" w:bidi="cs-CZ"/>
              </w:rPr>
              <w:t xml:space="preserve">”). </w:t>
            </w:r>
          </w:p>
        </w:tc>
      </w:tr>
      <w:tr w:rsidR="00CD4081" w:rsidRPr="006E4B92" w14:paraId="4CF3E7B8" w14:textId="77777777" w:rsidTr="00CD4081">
        <w:trPr>
          <w:trHeight w:val="512"/>
        </w:trPr>
        <w:tc>
          <w:tcPr>
            <w:tcW w:w="9810" w:type="dxa"/>
          </w:tcPr>
          <w:p w14:paraId="7814B1BF" w14:textId="77777777" w:rsidR="00CD4081" w:rsidRPr="006E4B92" w:rsidRDefault="00CD4081" w:rsidP="00CD4081">
            <w:pPr>
              <w:pStyle w:val="AOAltHead1"/>
              <w:spacing w:line="300" w:lineRule="atLeast"/>
              <w:rPr>
                <w:lang w:val="cs-CZ"/>
              </w:rPr>
            </w:pPr>
            <w:r w:rsidRPr="006E4B92">
              <w:rPr>
                <w:b/>
                <w:lang w:val="cs-CZ" w:bidi="cs-CZ"/>
              </w:rPr>
              <w:t>ZÁVAZEK OBJEMU LPG</w:t>
            </w:r>
          </w:p>
        </w:tc>
      </w:tr>
      <w:tr w:rsidR="00CD4081" w:rsidRPr="006E4B92" w14:paraId="4ED2A748" w14:textId="77777777" w:rsidTr="00CD4081">
        <w:trPr>
          <w:trHeight w:val="512"/>
        </w:trPr>
        <w:tc>
          <w:tcPr>
            <w:tcW w:w="9810" w:type="dxa"/>
          </w:tcPr>
          <w:p w14:paraId="440D5715" w14:textId="77777777" w:rsidR="00CD4081" w:rsidRPr="006E4B92" w:rsidRDefault="00CD4081" w:rsidP="00CD4081">
            <w:pPr>
              <w:pStyle w:val="AOAltHead2"/>
              <w:spacing w:line="300" w:lineRule="atLeast"/>
              <w:rPr>
                <w:lang w:val="cs-CZ"/>
              </w:rPr>
            </w:pPr>
            <w:r w:rsidRPr="006E4B92">
              <w:rPr>
                <w:lang w:val="cs-CZ" w:bidi="cs-CZ"/>
              </w:rPr>
              <w:t xml:space="preserve">S ohledem na tolerance sjednané článkem </w:t>
            </w:r>
            <w:r w:rsidR="00AB2DBF" w:rsidRPr="006E4B92">
              <w:rPr>
                <w:lang w:val="cs-CZ" w:bidi="cs-CZ"/>
              </w:rPr>
              <w:t>3.2</w:t>
            </w:r>
            <w:r w:rsidRPr="006E4B92">
              <w:rPr>
                <w:lang w:val="cs-CZ" w:bidi="cs-CZ"/>
              </w:rPr>
              <w:t xml:space="preserve"> níže se Partner zavazuje odebrat alespoň následující objemy LPG od společnosti </w:t>
            </w:r>
            <w:proofErr w:type="spellStart"/>
            <w:r w:rsidRPr="006E4B92">
              <w:rPr>
                <w:lang w:val="cs-CZ" w:bidi="cs-CZ"/>
              </w:rPr>
              <w:t>Flaga</w:t>
            </w:r>
            <w:proofErr w:type="spellEnd"/>
            <w:r w:rsidRPr="006E4B92">
              <w:rPr>
                <w:lang w:val="cs-CZ" w:bidi="cs-CZ"/>
              </w:rPr>
              <w:t xml:space="preserve"> během každého jednotlivého období uvedeného níže (dále jednotlivě jen “</w:t>
            </w:r>
            <w:r w:rsidRPr="006E4B92">
              <w:rPr>
                <w:b/>
                <w:lang w:val="cs-CZ" w:bidi="cs-CZ"/>
              </w:rPr>
              <w:t>Období</w:t>
            </w:r>
            <w:r w:rsidRPr="006E4B92">
              <w:rPr>
                <w:lang w:val="cs-CZ" w:bidi="cs-CZ"/>
              </w:rPr>
              <w:t>”):</w:t>
            </w:r>
          </w:p>
        </w:tc>
      </w:tr>
      <w:tr w:rsidR="00CD4081" w:rsidRPr="006E4B92" w14:paraId="1F704D66" w14:textId="77777777" w:rsidTr="00CD4081">
        <w:trPr>
          <w:trHeight w:val="512"/>
        </w:trPr>
        <w:tc>
          <w:tcPr>
            <w:tcW w:w="9810" w:type="dxa"/>
          </w:tcPr>
          <w:p w14:paraId="02684928" w14:textId="77777777" w:rsidR="00996247" w:rsidRPr="006E4B92" w:rsidRDefault="00996247" w:rsidP="00996247">
            <w:pPr>
              <w:rPr>
                <w:lang w:val="cs-CZ"/>
              </w:rPr>
            </w:pPr>
            <w:r w:rsidRPr="006E4B92">
              <w:rPr>
                <w:lang w:val="cs-CZ"/>
              </w:rPr>
              <w:t xml:space="preserve">    </w:t>
            </w:r>
          </w:p>
          <w:p w14:paraId="75CB2865" w14:textId="77777777" w:rsidR="00996247" w:rsidRPr="006E4B92" w:rsidRDefault="00996247" w:rsidP="00996247">
            <w:pPr>
              <w:rPr>
                <w:lang w:val="cs-CZ"/>
              </w:rPr>
            </w:pPr>
            <w:r w:rsidRPr="006E4B92">
              <w:rPr>
                <w:lang w:val="cs-CZ"/>
              </w:rPr>
              <w:t>(1.11-30.11.2022)-(</w:t>
            </w:r>
            <w:r w:rsidR="00C20475" w:rsidRPr="006E4B92">
              <w:rPr>
                <w:lang w:val="cs-CZ"/>
              </w:rPr>
              <w:t>6</w:t>
            </w:r>
            <w:r w:rsidRPr="006E4B92">
              <w:rPr>
                <w:lang w:val="cs-CZ"/>
              </w:rPr>
              <w:t> 000)litrů LPG</w:t>
            </w:r>
          </w:p>
          <w:p w14:paraId="0DD9929F" w14:textId="77777777" w:rsidR="00996247" w:rsidRPr="006E4B92" w:rsidRDefault="00996247" w:rsidP="00996247">
            <w:pPr>
              <w:rPr>
                <w:lang w:val="cs-CZ"/>
              </w:rPr>
            </w:pPr>
            <w:r w:rsidRPr="006E4B92">
              <w:rPr>
                <w:lang w:val="cs-CZ"/>
              </w:rPr>
              <w:t>(1.12.-31.12.2022)-( </w:t>
            </w:r>
            <w:r w:rsidR="00C20475" w:rsidRPr="006E4B92">
              <w:rPr>
                <w:lang w:val="cs-CZ"/>
              </w:rPr>
              <w:t>6</w:t>
            </w:r>
            <w:r w:rsidRPr="006E4B92">
              <w:rPr>
                <w:lang w:val="cs-CZ"/>
              </w:rPr>
              <w:t xml:space="preserve">000)litrů LPG    </w:t>
            </w:r>
          </w:p>
          <w:p w14:paraId="6EDAA5C4" w14:textId="77777777" w:rsidR="00996247" w:rsidRPr="006E4B92" w:rsidRDefault="00996247" w:rsidP="00996247">
            <w:pPr>
              <w:rPr>
                <w:lang w:val="cs-CZ"/>
              </w:rPr>
            </w:pPr>
            <w:r w:rsidRPr="006E4B92">
              <w:rPr>
                <w:lang w:val="cs-CZ"/>
              </w:rPr>
              <w:t>(1.2.-28.2.2023)-(</w:t>
            </w:r>
            <w:r w:rsidR="00C72D92" w:rsidRPr="006E4B92">
              <w:rPr>
                <w:lang w:val="cs-CZ"/>
              </w:rPr>
              <w:t>6</w:t>
            </w:r>
            <w:r w:rsidRPr="006E4B92">
              <w:rPr>
                <w:lang w:val="cs-CZ"/>
              </w:rPr>
              <w:t xml:space="preserve"> 000) litrů LPG       </w:t>
            </w:r>
          </w:p>
          <w:p w14:paraId="55163F65" w14:textId="77777777" w:rsidR="00996247" w:rsidRPr="006E4B92" w:rsidRDefault="00996247" w:rsidP="00996247">
            <w:pPr>
              <w:rPr>
                <w:lang w:val="cs-CZ"/>
              </w:rPr>
            </w:pPr>
            <w:r w:rsidRPr="006E4B92">
              <w:rPr>
                <w:lang w:val="cs-CZ"/>
              </w:rPr>
              <w:t>(1.3.-31.3.2023)-(</w:t>
            </w:r>
            <w:r w:rsidR="00C72D92" w:rsidRPr="006E4B92">
              <w:rPr>
                <w:lang w:val="cs-CZ"/>
              </w:rPr>
              <w:t>6</w:t>
            </w:r>
            <w:r w:rsidRPr="006E4B92">
              <w:rPr>
                <w:lang w:val="cs-CZ"/>
              </w:rPr>
              <w:t xml:space="preserve"> 000)litrů LPG   </w:t>
            </w:r>
          </w:p>
          <w:p w14:paraId="518AF4CF" w14:textId="77777777" w:rsidR="00996247" w:rsidRPr="006E4B92" w:rsidRDefault="00996247" w:rsidP="00996247">
            <w:pPr>
              <w:rPr>
                <w:lang w:val="cs-CZ"/>
              </w:rPr>
            </w:pPr>
            <w:r w:rsidRPr="006E4B92">
              <w:rPr>
                <w:lang w:val="cs-CZ"/>
              </w:rPr>
              <w:t>(1.4.-30.4.2023)- (</w:t>
            </w:r>
            <w:r w:rsidR="00236276" w:rsidRPr="006E4B92">
              <w:rPr>
                <w:lang w:val="cs-CZ"/>
              </w:rPr>
              <w:t>6</w:t>
            </w:r>
            <w:r w:rsidRPr="006E4B92">
              <w:rPr>
                <w:lang w:val="cs-CZ"/>
              </w:rPr>
              <w:t xml:space="preserve"> 000)litrů LPG </w:t>
            </w:r>
          </w:p>
          <w:p w14:paraId="5ADE9159" w14:textId="77777777" w:rsidR="00996247" w:rsidRPr="006E4B92" w:rsidRDefault="00996247" w:rsidP="00996247">
            <w:pPr>
              <w:rPr>
                <w:lang w:val="cs-CZ"/>
              </w:rPr>
            </w:pPr>
            <w:r w:rsidRPr="006E4B92">
              <w:rPr>
                <w:lang w:val="cs-CZ"/>
              </w:rPr>
              <w:t>(1.9.-30.9.2023)-(</w:t>
            </w:r>
            <w:r w:rsidR="00236276" w:rsidRPr="006E4B92">
              <w:rPr>
                <w:lang w:val="cs-CZ"/>
              </w:rPr>
              <w:t>6</w:t>
            </w:r>
            <w:r w:rsidRPr="006E4B92">
              <w:rPr>
                <w:lang w:val="cs-CZ"/>
              </w:rPr>
              <w:t xml:space="preserve">000)litrů LPG            </w:t>
            </w:r>
          </w:p>
          <w:p w14:paraId="277AEF9B" w14:textId="77777777" w:rsidR="00996247" w:rsidRPr="006E4B92" w:rsidRDefault="00996247" w:rsidP="00996247">
            <w:pPr>
              <w:rPr>
                <w:lang w:val="cs-CZ"/>
              </w:rPr>
            </w:pPr>
            <w:r w:rsidRPr="006E4B92">
              <w:rPr>
                <w:lang w:val="cs-CZ"/>
              </w:rPr>
              <w:t>(1.11-30.11.2023)-(</w:t>
            </w:r>
            <w:r w:rsidR="00810CB4" w:rsidRPr="006E4B92">
              <w:rPr>
                <w:lang w:val="cs-CZ"/>
              </w:rPr>
              <w:t>8</w:t>
            </w:r>
            <w:r w:rsidRPr="006E4B92">
              <w:rPr>
                <w:lang w:val="cs-CZ"/>
              </w:rPr>
              <w:t> 000)litrů LPG</w:t>
            </w:r>
          </w:p>
          <w:p w14:paraId="3246D2D8" w14:textId="77777777" w:rsidR="00996247" w:rsidRPr="006E4B92" w:rsidRDefault="00996247" w:rsidP="00996247">
            <w:pPr>
              <w:rPr>
                <w:lang w:val="cs-CZ"/>
              </w:rPr>
            </w:pPr>
            <w:r w:rsidRPr="006E4B92">
              <w:rPr>
                <w:lang w:val="cs-CZ"/>
              </w:rPr>
              <w:t>(1.1.-31.1.2024)-(</w:t>
            </w:r>
            <w:r w:rsidR="00534709" w:rsidRPr="006E4B92">
              <w:rPr>
                <w:lang w:val="cs-CZ"/>
              </w:rPr>
              <w:t>8</w:t>
            </w:r>
            <w:r w:rsidRPr="006E4B92">
              <w:rPr>
                <w:lang w:val="cs-CZ"/>
              </w:rPr>
              <w:t xml:space="preserve"> 000) litrů LPG   </w:t>
            </w:r>
          </w:p>
          <w:p w14:paraId="62137186" w14:textId="77777777" w:rsidR="00996247" w:rsidRPr="006E4B92" w:rsidRDefault="00996247" w:rsidP="00996247">
            <w:pPr>
              <w:rPr>
                <w:lang w:val="cs-CZ"/>
              </w:rPr>
            </w:pPr>
            <w:r w:rsidRPr="006E4B92">
              <w:rPr>
                <w:lang w:val="cs-CZ"/>
              </w:rPr>
              <w:t>(1.2.-28.2.2024)-(</w:t>
            </w:r>
            <w:r w:rsidR="00534709" w:rsidRPr="006E4B92">
              <w:rPr>
                <w:lang w:val="cs-CZ"/>
              </w:rPr>
              <w:t>6</w:t>
            </w:r>
            <w:r w:rsidRPr="006E4B92">
              <w:rPr>
                <w:lang w:val="cs-CZ"/>
              </w:rPr>
              <w:t xml:space="preserve"> 000) litrů LPG       </w:t>
            </w:r>
          </w:p>
          <w:p w14:paraId="1EF6FF58" w14:textId="77777777" w:rsidR="00996247" w:rsidRPr="006E4B92" w:rsidRDefault="00996247" w:rsidP="00996247">
            <w:pPr>
              <w:rPr>
                <w:lang w:val="cs-CZ"/>
              </w:rPr>
            </w:pPr>
            <w:r w:rsidRPr="006E4B92">
              <w:rPr>
                <w:lang w:val="cs-CZ"/>
              </w:rPr>
              <w:t>(1.3.-31.3.2024)-(</w:t>
            </w:r>
            <w:r w:rsidR="00534709" w:rsidRPr="006E4B92">
              <w:rPr>
                <w:lang w:val="cs-CZ"/>
              </w:rPr>
              <w:t>6</w:t>
            </w:r>
            <w:r w:rsidRPr="006E4B92">
              <w:rPr>
                <w:lang w:val="cs-CZ"/>
              </w:rPr>
              <w:t xml:space="preserve"> 000)litrů LPG   </w:t>
            </w:r>
          </w:p>
          <w:p w14:paraId="04AE8866" w14:textId="77777777" w:rsidR="00996247" w:rsidRPr="006E4B92" w:rsidRDefault="00996247" w:rsidP="00996247">
            <w:pPr>
              <w:rPr>
                <w:lang w:val="cs-CZ"/>
              </w:rPr>
            </w:pPr>
            <w:r w:rsidRPr="006E4B92">
              <w:rPr>
                <w:lang w:val="cs-CZ"/>
              </w:rPr>
              <w:t>(1.4.-30.4.2024)- (</w:t>
            </w:r>
            <w:r w:rsidR="00534709" w:rsidRPr="006E4B92">
              <w:rPr>
                <w:lang w:val="cs-CZ"/>
              </w:rPr>
              <w:t>6</w:t>
            </w:r>
            <w:r w:rsidRPr="006E4B92">
              <w:rPr>
                <w:lang w:val="cs-CZ"/>
              </w:rPr>
              <w:t xml:space="preserve"> 000)litrů LPG  </w:t>
            </w:r>
          </w:p>
          <w:p w14:paraId="36B351B9" w14:textId="77777777" w:rsidR="00996247" w:rsidRPr="006E4B92" w:rsidRDefault="00996247" w:rsidP="00996247">
            <w:pPr>
              <w:rPr>
                <w:lang w:val="cs-CZ"/>
              </w:rPr>
            </w:pPr>
            <w:r w:rsidRPr="006E4B92">
              <w:rPr>
                <w:lang w:val="cs-CZ"/>
              </w:rPr>
              <w:t>(1.9.-30.9.2024)-(</w:t>
            </w:r>
            <w:r w:rsidR="00DC4E84" w:rsidRPr="006E4B92">
              <w:rPr>
                <w:lang w:val="cs-CZ"/>
              </w:rPr>
              <w:t>6</w:t>
            </w:r>
            <w:r w:rsidRPr="006E4B92">
              <w:rPr>
                <w:lang w:val="cs-CZ"/>
              </w:rPr>
              <w:t>000)litrů LPG         </w:t>
            </w:r>
          </w:p>
          <w:p w14:paraId="1853078B" w14:textId="77777777" w:rsidR="00010FC2" w:rsidRPr="006E4B92" w:rsidRDefault="00010FC2" w:rsidP="00010FC2">
            <w:pPr>
              <w:rPr>
                <w:lang w:val="cs-CZ"/>
              </w:rPr>
            </w:pPr>
            <w:r w:rsidRPr="006E4B92">
              <w:rPr>
                <w:lang w:val="cs-CZ"/>
              </w:rPr>
              <w:t>     </w:t>
            </w:r>
          </w:p>
          <w:tbl>
            <w:tblPr>
              <w:tblStyle w:val="TableGrid1"/>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10"/>
            </w:tblGrid>
            <w:tr w:rsidR="00C10075" w:rsidRPr="006E4B92" w14:paraId="0E7DCF5E" w14:textId="77777777" w:rsidTr="00BD2F62">
              <w:trPr>
                <w:trHeight w:val="512"/>
              </w:trPr>
              <w:tc>
                <w:tcPr>
                  <w:tcW w:w="9810" w:type="dxa"/>
                </w:tcPr>
                <w:p w14:paraId="44551119" w14:textId="77777777" w:rsidR="00C10075" w:rsidRPr="006E4B92" w:rsidRDefault="00C10075" w:rsidP="005D2D5D">
                  <w:pPr>
                    <w:rPr>
                      <w:lang w:val="cs-CZ"/>
                    </w:rPr>
                  </w:pPr>
                  <w:r w:rsidRPr="006E4B92">
                    <w:rPr>
                      <w:lang w:val="cs-CZ"/>
                    </w:rPr>
                    <w:t>        </w:t>
                  </w:r>
                </w:p>
              </w:tc>
            </w:tr>
          </w:tbl>
          <w:p w14:paraId="0B88F01D" w14:textId="77777777" w:rsidR="008329CE" w:rsidRPr="006E4B92" w:rsidRDefault="008329CE" w:rsidP="000B3F7D">
            <w:pPr>
              <w:pStyle w:val="AONormal"/>
              <w:rPr>
                <w:lang w:val="cs-CZ" w:bidi="cs-CZ"/>
              </w:rPr>
            </w:pPr>
          </w:p>
        </w:tc>
      </w:tr>
      <w:tr w:rsidR="00CD4081" w:rsidRPr="006E4B92" w14:paraId="264ED8DD" w14:textId="77777777" w:rsidTr="00CD4081">
        <w:trPr>
          <w:trHeight w:val="512"/>
        </w:trPr>
        <w:tc>
          <w:tcPr>
            <w:tcW w:w="9810" w:type="dxa"/>
          </w:tcPr>
          <w:p w14:paraId="3255F2C2" w14:textId="77777777" w:rsidR="00CD4081" w:rsidRPr="006E4B92" w:rsidRDefault="00CD4081" w:rsidP="00CD4081">
            <w:pPr>
              <w:pStyle w:val="AOAltHead2"/>
              <w:spacing w:line="300" w:lineRule="atLeast"/>
              <w:rPr>
                <w:lang w:val="cs-CZ"/>
              </w:rPr>
            </w:pPr>
            <w:r w:rsidRPr="006E4B92">
              <w:rPr>
                <w:lang w:val="cs-CZ" w:bidi="cs-CZ"/>
              </w:rPr>
              <w:t>Strany se dohodly, že množství stanovené článkem</w:t>
            </w:r>
            <w:r w:rsidR="00AB2DBF" w:rsidRPr="006E4B92">
              <w:rPr>
                <w:lang w:val="cs-CZ" w:bidi="cs-CZ"/>
              </w:rPr>
              <w:t xml:space="preserve"> 3.1 </w:t>
            </w:r>
            <w:r w:rsidRPr="006E4B92">
              <w:rPr>
                <w:lang w:val="cs-CZ" w:bidi="cs-CZ"/>
              </w:rPr>
              <w:t xml:space="preserve">výše podléhají toleranci 10 %. S ohledem na uvedené může Partner: </w:t>
            </w:r>
          </w:p>
        </w:tc>
      </w:tr>
      <w:tr w:rsidR="00CD4081" w:rsidRPr="006E4B92" w14:paraId="3EBDAFC1" w14:textId="77777777" w:rsidTr="00CD4081">
        <w:trPr>
          <w:trHeight w:val="512"/>
        </w:trPr>
        <w:tc>
          <w:tcPr>
            <w:tcW w:w="9810" w:type="dxa"/>
          </w:tcPr>
          <w:p w14:paraId="39E26EB4" w14:textId="77777777" w:rsidR="00CD4081" w:rsidRPr="006E4B92" w:rsidRDefault="00CD4081" w:rsidP="00CD4081">
            <w:pPr>
              <w:pStyle w:val="AOHead3"/>
              <w:spacing w:line="300" w:lineRule="atLeast"/>
              <w:rPr>
                <w:lang w:val="cs-CZ"/>
              </w:rPr>
            </w:pPr>
            <w:r w:rsidRPr="006E4B92">
              <w:rPr>
                <w:lang w:val="cs-CZ" w:bidi="cs-CZ"/>
              </w:rPr>
              <w:t xml:space="preserve">od Flagy odebrat v každém jednotlivém Období LPG o objemu o </w:t>
            </w:r>
            <w:r w:rsidRPr="006E4B92">
              <w:rPr>
                <w:b/>
                <w:lang w:val="cs-CZ" w:bidi="cs-CZ"/>
              </w:rPr>
              <w:t>10 % nižším</w:t>
            </w:r>
            <w:r w:rsidRPr="006E4B92">
              <w:rPr>
                <w:lang w:val="cs-CZ" w:bidi="cs-CZ"/>
              </w:rPr>
              <w:t xml:space="preserve"> než původní množství stanovené pro dané Období článkem</w:t>
            </w:r>
            <w:r w:rsidR="00AB2DBF" w:rsidRPr="006E4B92">
              <w:rPr>
                <w:lang w:val="cs-CZ" w:bidi="cs-CZ"/>
              </w:rPr>
              <w:t xml:space="preserve"> 3.1</w:t>
            </w:r>
            <w:r w:rsidRPr="006E4B92">
              <w:rPr>
                <w:lang w:val="cs-CZ" w:bidi="cs-CZ"/>
              </w:rPr>
              <w:t xml:space="preserve"> výše, přičemž snížení v rámci této tolerance nebude mít za následek uplatnění žádné sankce ani smluvní pokuty dle tohoto Dodatku vůči Partnerovi; a</w:t>
            </w:r>
          </w:p>
        </w:tc>
      </w:tr>
      <w:tr w:rsidR="00CD4081" w:rsidRPr="006E4B92" w14:paraId="0AE87860" w14:textId="77777777" w:rsidTr="00CD4081">
        <w:trPr>
          <w:trHeight w:val="512"/>
        </w:trPr>
        <w:tc>
          <w:tcPr>
            <w:tcW w:w="9810" w:type="dxa"/>
          </w:tcPr>
          <w:p w14:paraId="0E0C5A14" w14:textId="77777777" w:rsidR="00CD4081" w:rsidRPr="006E4B92" w:rsidRDefault="00CD4081" w:rsidP="00CD4081">
            <w:pPr>
              <w:pStyle w:val="AOHead3"/>
              <w:spacing w:line="300" w:lineRule="atLeast"/>
              <w:rPr>
                <w:lang w:val="cs-CZ"/>
              </w:rPr>
            </w:pPr>
            <w:r w:rsidRPr="006E4B92">
              <w:rPr>
                <w:lang w:val="cs-CZ" w:bidi="cs-CZ"/>
              </w:rPr>
              <w:t xml:space="preserve">od Flagy odebrat v každém jednotlivém Období LPG o objemu o </w:t>
            </w:r>
            <w:r w:rsidRPr="006E4B92">
              <w:rPr>
                <w:b/>
                <w:lang w:val="cs-CZ" w:bidi="cs-CZ"/>
              </w:rPr>
              <w:t xml:space="preserve">10 % vyšším </w:t>
            </w:r>
            <w:r w:rsidRPr="006E4B92">
              <w:rPr>
                <w:lang w:val="cs-CZ" w:bidi="cs-CZ"/>
              </w:rPr>
              <w:t>než původní množství stanovené pro dané Období článkem</w:t>
            </w:r>
            <w:r w:rsidR="00AB2DBF" w:rsidRPr="006E4B92">
              <w:rPr>
                <w:lang w:val="cs-CZ" w:bidi="cs-CZ"/>
              </w:rPr>
              <w:t xml:space="preserve"> 3.1</w:t>
            </w:r>
            <w:r w:rsidRPr="006E4B92">
              <w:rPr>
                <w:lang w:val="cs-CZ" w:bidi="cs-CZ"/>
              </w:rPr>
              <w:t xml:space="preserve"> výše, přičemž takový objem navíc v rámci uvedené tolerance bude Partnerovi prodán za Garantovanou cenu. </w:t>
            </w:r>
          </w:p>
        </w:tc>
      </w:tr>
      <w:tr w:rsidR="00CD4081" w:rsidRPr="006E4B92" w14:paraId="347E4B69" w14:textId="77777777" w:rsidTr="00CD4081">
        <w:trPr>
          <w:trHeight w:val="512"/>
        </w:trPr>
        <w:tc>
          <w:tcPr>
            <w:tcW w:w="9810" w:type="dxa"/>
          </w:tcPr>
          <w:p w14:paraId="135EBCD1" w14:textId="77777777" w:rsidR="00CD4081" w:rsidRPr="006E4B92" w:rsidRDefault="00CD4081" w:rsidP="00CD4081">
            <w:pPr>
              <w:pStyle w:val="AOAltHead2"/>
              <w:spacing w:line="300" w:lineRule="atLeast"/>
              <w:rPr>
                <w:lang w:val="cs-CZ"/>
              </w:rPr>
            </w:pPr>
            <w:r w:rsidRPr="006E4B92">
              <w:rPr>
                <w:lang w:val="cs-CZ" w:bidi="cs-CZ"/>
              </w:rPr>
              <w:lastRenderedPageBreak/>
              <w:t xml:space="preserve">Uvedená 10% tolerance bude počítána zvlášť pro každé Období. Mezi jednotlivými Obdobími nelze pro tyto účely převádět žádná množství LPG. </w:t>
            </w:r>
          </w:p>
        </w:tc>
      </w:tr>
      <w:tr w:rsidR="00CD4081" w:rsidRPr="006E4B92" w14:paraId="17F36A7F" w14:textId="77777777" w:rsidTr="00CD4081">
        <w:trPr>
          <w:trHeight w:val="512"/>
        </w:trPr>
        <w:tc>
          <w:tcPr>
            <w:tcW w:w="9810" w:type="dxa"/>
          </w:tcPr>
          <w:p w14:paraId="6C1FB86F" w14:textId="77777777" w:rsidR="00CD4081" w:rsidRPr="006E4B92" w:rsidRDefault="00CD4081" w:rsidP="00CD4081">
            <w:pPr>
              <w:pStyle w:val="AOAltHead2"/>
              <w:spacing w:line="300" w:lineRule="atLeast"/>
              <w:rPr>
                <w:lang w:val="cs-CZ"/>
              </w:rPr>
            </w:pPr>
            <w:r w:rsidRPr="006E4B92">
              <w:rPr>
                <w:lang w:val="cs-CZ" w:bidi="cs-CZ"/>
              </w:rPr>
              <w:t xml:space="preserve">Pro určení příslušného Období, do kterého konkrétní množství LPG spadá, bude rozhodné datum uskutečnění dodávky příslušného LPG společností </w:t>
            </w:r>
            <w:proofErr w:type="spellStart"/>
            <w:r w:rsidRPr="006E4B92">
              <w:rPr>
                <w:lang w:val="cs-CZ" w:bidi="cs-CZ"/>
              </w:rPr>
              <w:t>Flaga</w:t>
            </w:r>
            <w:proofErr w:type="spellEnd"/>
            <w:r w:rsidRPr="006E4B92">
              <w:rPr>
                <w:lang w:val="cs-CZ" w:bidi="cs-CZ"/>
              </w:rPr>
              <w:t xml:space="preserve"> do Zásobníku. </w:t>
            </w:r>
          </w:p>
        </w:tc>
      </w:tr>
      <w:tr w:rsidR="00CD4081" w:rsidRPr="006E4B92" w14:paraId="4454C724" w14:textId="77777777" w:rsidTr="00CD4081">
        <w:trPr>
          <w:trHeight w:val="512"/>
        </w:trPr>
        <w:tc>
          <w:tcPr>
            <w:tcW w:w="9810" w:type="dxa"/>
          </w:tcPr>
          <w:p w14:paraId="70493A76" w14:textId="77777777" w:rsidR="00CD4081" w:rsidRPr="006E4B92" w:rsidRDefault="00CD4081" w:rsidP="00CD4081">
            <w:pPr>
              <w:pStyle w:val="AOAltHead1"/>
              <w:spacing w:line="300" w:lineRule="atLeast"/>
              <w:rPr>
                <w:lang w:val="cs-CZ"/>
              </w:rPr>
            </w:pPr>
            <w:r w:rsidRPr="006E4B92">
              <w:rPr>
                <w:b/>
                <w:lang w:val="cs-CZ" w:bidi="cs-CZ"/>
              </w:rPr>
              <w:t xml:space="preserve">PŘEKROČENÍ SPOTŘEBY </w:t>
            </w:r>
          </w:p>
        </w:tc>
      </w:tr>
      <w:tr w:rsidR="00CD4081" w:rsidRPr="006E4B92" w14:paraId="55414D2D" w14:textId="77777777" w:rsidTr="00CD4081">
        <w:trPr>
          <w:hidden/>
        </w:trPr>
        <w:tc>
          <w:tcPr>
            <w:tcW w:w="9810" w:type="dxa"/>
          </w:tcPr>
          <w:p w14:paraId="036876BD" w14:textId="77777777" w:rsidR="00C378F5" w:rsidRPr="006E4B92" w:rsidRDefault="00C378F5" w:rsidP="00C378F5">
            <w:pPr>
              <w:pStyle w:val="Odstavecseseznamem"/>
              <w:numPr>
                <w:ilvl w:val="0"/>
                <w:numId w:val="3"/>
              </w:numPr>
              <w:spacing w:before="240" w:line="260" w:lineRule="atLeast"/>
              <w:contextualSpacing w:val="0"/>
              <w:rPr>
                <w:vanish/>
                <w:lang w:val="cs-CZ" w:bidi="cs-CZ"/>
              </w:rPr>
            </w:pPr>
          </w:p>
          <w:p w14:paraId="599FEF26" w14:textId="77777777" w:rsidR="00C378F5" w:rsidRPr="006E4B92" w:rsidRDefault="00C378F5" w:rsidP="00C378F5">
            <w:pPr>
              <w:pStyle w:val="Odstavecseseznamem"/>
              <w:numPr>
                <w:ilvl w:val="0"/>
                <w:numId w:val="3"/>
              </w:numPr>
              <w:spacing w:before="240" w:line="260" w:lineRule="atLeast"/>
              <w:contextualSpacing w:val="0"/>
              <w:rPr>
                <w:vanish/>
                <w:lang w:val="cs-CZ" w:bidi="cs-CZ"/>
              </w:rPr>
            </w:pPr>
          </w:p>
          <w:p w14:paraId="67A67160" w14:textId="77777777" w:rsidR="00C378F5" w:rsidRPr="006E4B92" w:rsidRDefault="00C378F5" w:rsidP="00C378F5">
            <w:pPr>
              <w:pStyle w:val="Odstavecseseznamem"/>
              <w:numPr>
                <w:ilvl w:val="0"/>
                <w:numId w:val="3"/>
              </w:numPr>
              <w:spacing w:before="240" w:line="260" w:lineRule="atLeast"/>
              <w:contextualSpacing w:val="0"/>
              <w:rPr>
                <w:vanish/>
                <w:lang w:val="cs-CZ" w:bidi="cs-CZ"/>
              </w:rPr>
            </w:pPr>
          </w:p>
          <w:p w14:paraId="77585147" w14:textId="77777777" w:rsidR="00C378F5" w:rsidRPr="006E4B92" w:rsidRDefault="00C378F5" w:rsidP="00C378F5">
            <w:pPr>
              <w:pStyle w:val="Odstavecseseznamem"/>
              <w:numPr>
                <w:ilvl w:val="0"/>
                <w:numId w:val="3"/>
              </w:numPr>
              <w:spacing w:before="240" w:line="260" w:lineRule="atLeast"/>
              <w:contextualSpacing w:val="0"/>
              <w:rPr>
                <w:vanish/>
                <w:lang w:val="cs-CZ" w:bidi="cs-CZ"/>
              </w:rPr>
            </w:pPr>
          </w:p>
          <w:p w14:paraId="12331618" w14:textId="77777777" w:rsidR="00CD4081" w:rsidRPr="006E4B92" w:rsidRDefault="00CD4081" w:rsidP="00C378F5">
            <w:pPr>
              <w:pStyle w:val="AOGenNum3List"/>
              <w:rPr>
                <w:lang w:val="cs-CZ"/>
              </w:rPr>
            </w:pPr>
            <w:r w:rsidRPr="006E4B92">
              <w:rPr>
                <w:lang w:val="cs-CZ" w:bidi="cs-CZ"/>
              </w:rPr>
              <w:t xml:space="preserve">V případě, že </w:t>
            </w:r>
            <w:proofErr w:type="spellStart"/>
            <w:r w:rsidRPr="006E4B92">
              <w:rPr>
                <w:lang w:val="cs-CZ" w:bidi="cs-CZ"/>
              </w:rPr>
              <w:t>Flaga</w:t>
            </w:r>
            <w:proofErr w:type="spellEnd"/>
            <w:r w:rsidRPr="006E4B92">
              <w:rPr>
                <w:lang w:val="cs-CZ" w:bidi="cs-CZ"/>
              </w:rPr>
              <w:t xml:space="preserve"> dodá LPG do Zásobníku v určitém Období a celkové množství LPG dodané do Zásobníku za dané Období (po zohlednění příslušných pře</w:t>
            </w:r>
            <w:r w:rsidR="00367C1D" w:rsidRPr="006E4B92">
              <w:rPr>
                <w:lang w:val="cs-CZ" w:bidi="cs-CZ"/>
              </w:rPr>
              <w:t>d</w:t>
            </w:r>
            <w:r w:rsidRPr="006E4B92">
              <w:rPr>
                <w:lang w:val="cs-CZ" w:bidi="cs-CZ"/>
              </w:rPr>
              <w:t xml:space="preserve">chozích objednávek) překročí objem stanovený článkem </w:t>
            </w:r>
            <w:r w:rsidR="00AB2DBF" w:rsidRPr="006E4B92">
              <w:rPr>
                <w:lang w:val="cs-CZ" w:bidi="cs-CZ"/>
              </w:rPr>
              <w:t>3.1</w:t>
            </w:r>
            <w:r w:rsidRPr="006E4B92">
              <w:rPr>
                <w:lang w:val="cs-CZ" w:bidi="cs-CZ"/>
              </w:rPr>
              <w:t xml:space="preserve"> výše (i s ohledem na 10% toleranci sjednanou článkem </w:t>
            </w:r>
            <w:r w:rsidR="00AB2DBF" w:rsidRPr="006E4B92">
              <w:rPr>
                <w:lang w:val="cs-CZ" w:bidi="cs-CZ"/>
              </w:rPr>
              <w:t>3.2(b)</w:t>
            </w:r>
            <w:r w:rsidRPr="006E4B92">
              <w:rPr>
                <w:lang w:val="cs-CZ" w:bidi="cs-CZ"/>
              </w:rPr>
              <w:t xml:space="preserve"> výše) (dále jen “</w:t>
            </w:r>
            <w:r w:rsidRPr="006E4B92">
              <w:rPr>
                <w:b/>
                <w:lang w:val="cs-CZ" w:bidi="cs-CZ"/>
              </w:rPr>
              <w:t>Limit</w:t>
            </w:r>
            <w:r w:rsidRPr="006E4B92">
              <w:rPr>
                <w:lang w:val="cs-CZ" w:bidi="cs-CZ"/>
              </w:rPr>
              <w:t>”), pak bude kupní cena za množství LPG přesahující Limit stanovena jako:</w:t>
            </w:r>
          </w:p>
          <w:p w14:paraId="4CE34F97" w14:textId="77777777" w:rsidR="00CD4081" w:rsidRPr="006E4B92" w:rsidRDefault="00CD4081" w:rsidP="00CD4081">
            <w:pPr>
              <w:pStyle w:val="AOGenNum3List"/>
              <w:numPr>
                <w:ilvl w:val="3"/>
                <w:numId w:val="3"/>
              </w:numPr>
              <w:spacing w:line="300" w:lineRule="atLeast"/>
              <w:rPr>
                <w:lang w:val="cs-CZ"/>
              </w:rPr>
            </w:pPr>
            <w:r w:rsidRPr="006E4B92">
              <w:rPr>
                <w:lang w:val="cs-CZ" w:bidi="cs-CZ"/>
              </w:rPr>
              <w:t>Původní cena, nebo</w:t>
            </w:r>
          </w:p>
          <w:p w14:paraId="47712886" w14:textId="77777777" w:rsidR="00CD4081" w:rsidRPr="006E4B92" w:rsidRDefault="00CD4081" w:rsidP="00CD4081">
            <w:pPr>
              <w:pStyle w:val="AOGenNum3List"/>
              <w:numPr>
                <w:ilvl w:val="3"/>
                <w:numId w:val="3"/>
              </w:numPr>
              <w:spacing w:line="300" w:lineRule="atLeast"/>
              <w:rPr>
                <w:lang w:val="cs-CZ"/>
              </w:rPr>
            </w:pPr>
            <w:r w:rsidRPr="006E4B92">
              <w:rPr>
                <w:lang w:val="cs-CZ" w:bidi="cs-CZ"/>
              </w:rPr>
              <w:t>Garantovaná cena,</w:t>
            </w:r>
          </w:p>
          <w:p w14:paraId="5B2C8042" w14:textId="77777777" w:rsidR="00CD4081" w:rsidRPr="006E4B92" w:rsidRDefault="00CD4081" w:rsidP="00F735F7">
            <w:pPr>
              <w:pStyle w:val="AOAltHead2"/>
              <w:numPr>
                <w:ilvl w:val="0"/>
                <w:numId w:val="0"/>
              </w:numPr>
              <w:ind w:left="720"/>
              <w:rPr>
                <w:lang w:val="cs-CZ"/>
              </w:rPr>
            </w:pPr>
            <w:r w:rsidRPr="006E4B92">
              <w:rPr>
                <w:lang w:val="cs-CZ" w:bidi="cs-CZ"/>
              </w:rPr>
              <w:t>podle toho, která je v den dodání předmětného LPG do Zásobníku vyšší (tj. platí vyšší z uvedených cen).</w:t>
            </w:r>
          </w:p>
        </w:tc>
      </w:tr>
      <w:tr w:rsidR="00CD4081" w:rsidRPr="006E4B92" w14:paraId="73032E8E" w14:textId="77777777" w:rsidTr="00CD4081">
        <w:tc>
          <w:tcPr>
            <w:tcW w:w="9810" w:type="dxa"/>
          </w:tcPr>
          <w:p w14:paraId="453A9216" w14:textId="77777777" w:rsidR="00CD4081" w:rsidRPr="006E4B92" w:rsidRDefault="00CD4081" w:rsidP="00CD4081">
            <w:pPr>
              <w:pStyle w:val="AOAltHead1"/>
              <w:spacing w:line="300" w:lineRule="atLeast"/>
              <w:rPr>
                <w:lang w:val="cs-CZ"/>
              </w:rPr>
            </w:pPr>
            <w:bookmarkStart w:id="0" w:name="_Ref36990664"/>
            <w:r w:rsidRPr="006E4B92">
              <w:rPr>
                <w:b/>
                <w:lang w:val="cs-CZ" w:bidi="cs-CZ"/>
              </w:rPr>
              <w:t>NIŽŠÍ SPOTŘEBA</w:t>
            </w:r>
          </w:p>
        </w:tc>
        <w:bookmarkEnd w:id="0"/>
      </w:tr>
      <w:tr w:rsidR="00CD4081" w:rsidRPr="006E4B92" w14:paraId="3C60EEEB" w14:textId="77777777" w:rsidTr="00CD4081">
        <w:trPr>
          <w:hidden/>
        </w:trPr>
        <w:tc>
          <w:tcPr>
            <w:tcW w:w="9810" w:type="dxa"/>
          </w:tcPr>
          <w:p w14:paraId="5C1DF23F" w14:textId="77777777" w:rsidR="00C378F5" w:rsidRPr="006E4B92" w:rsidRDefault="00C378F5" w:rsidP="00C378F5">
            <w:pPr>
              <w:pStyle w:val="Odstavecseseznamem"/>
              <w:numPr>
                <w:ilvl w:val="0"/>
                <w:numId w:val="3"/>
              </w:numPr>
              <w:spacing w:before="240" w:line="260" w:lineRule="atLeast"/>
              <w:contextualSpacing w:val="0"/>
              <w:rPr>
                <w:vanish/>
                <w:lang w:val="cs-CZ" w:bidi="cs-CZ"/>
              </w:rPr>
            </w:pPr>
            <w:bookmarkStart w:id="1" w:name="_Ref38276135"/>
          </w:p>
          <w:p w14:paraId="03E3540D" w14:textId="77777777" w:rsidR="00CD4081" w:rsidRPr="006E4B92" w:rsidRDefault="00CD4081" w:rsidP="00C378F5">
            <w:pPr>
              <w:pStyle w:val="AOGenNum3List"/>
              <w:rPr>
                <w:b/>
                <w:caps/>
                <w:lang w:val="cs-CZ" w:bidi="en-US"/>
              </w:rPr>
            </w:pPr>
            <w:r w:rsidRPr="006E4B92">
              <w:rPr>
                <w:lang w:val="cs-CZ" w:bidi="cs-CZ"/>
              </w:rPr>
              <w:t xml:space="preserve">V případě porušení závazku Partnera stanoveného článkem </w:t>
            </w:r>
            <w:r w:rsidR="00AB2DBF" w:rsidRPr="006E4B92">
              <w:rPr>
                <w:lang w:val="cs-CZ" w:bidi="cs-CZ"/>
              </w:rPr>
              <w:t>3.1</w:t>
            </w:r>
            <w:r w:rsidRPr="006E4B92">
              <w:rPr>
                <w:lang w:val="cs-CZ" w:bidi="cs-CZ"/>
              </w:rPr>
              <w:t xml:space="preserve"> výše ohledně odebrání příslušného objemu LPG od společnosti </w:t>
            </w:r>
            <w:proofErr w:type="spellStart"/>
            <w:r w:rsidRPr="006E4B92">
              <w:rPr>
                <w:lang w:val="cs-CZ" w:bidi="cs-CZ"/>
              </w:rPr>
              <w:t>Flaga</w:t>
            </w:r>
            <w:proofErr w:type="spellEnd"/>
            <w:r w:rsidRPr="006E4B92">
              <w:rPr>
                <w:lang w:val="cs-CZ" w:bidi="cs-CZ"/>
              </w:rPr>
              <w:t xml:space="preserve"> v jakémkoliv Období (s ohledem na toleranci sjednanou článkem </w:t>
            </w:r>
            <w:r w:rsidR="00AB2DBF" w:rsidRPr="006E4B92">
              <w:rPr>
                <w:lang w:val="cs-CZ" w:bidi="cs-CZ"/>
              </w:rPr>
              <w:t>3.2(a)</w:t>
            </w:r>
            <w:r w:rsidRPr="006E4B92">
              <w:rPr>
                <w:lang w:val="cs-CZ" w:bidi="cs-CZ"/>
              </w:rPr>
              <w:t xml:space="preserve"> výše) a pokud to bude </w:t>
            </w:r>
            <w:proofErr w:type="spellStart"/>
            <w:r w:rsidRPr="006E4B92">
              <w:rPr>
                <w:lang w:val="cs-CZ" w:bidi="cs-CZ"/>
              </w:rPr>
              <w:t>Flaga</w:t>
            </w:r>
            <w:proofErr w:type="spellEnd"/>
            <w:r w:rsidRPr="006E4B92">
              <w:rPr>
                <w:lang w:val="cs-CZ" w:bidi="cs-CZ"/>
              </w:rPr>
              <w:t xml:space="preserve"> požadovat, bude Partner povinen za každé takové Období uhradit poplatek (tzv. “</w:t>
            </w:r>
            <w:r w:rsidRPr="006E4B92">
              <w:rPr>
                <w:b/>
                <w:lang w:val="cs-CZ" w:bidi="cs-CZ"/>
              </w:rPr>
              <w:t xml:space="preserve">poplatek </w:t>
            </w:r>
            <w:proofErr w:type="spellStart"/>
            <w:r w:rsidRPr="006E4B92">
              <w:rPr>
                <w:b/>
                <w:lang w:val="cs-CZ" w:bidi="cs-CZ"/>
              </w:rPr>
              <w:t>take-or-pay</w:t>
            </w:r>
            <w:proofErr w:type="spellEnd"/>
            <w:r w:rsidRPr="006E4B92">
              <w:rPr>
                <w:lang w:val="cs-CZ" w:bidi="cs-CZ"/>
              </w:rPr>
              <w:t xml:space="preserve">”) ve výši vypočtené v Kč dle následujícího vzorce: </w:t>
            </w:r>
          </w:p>
          <w:p w14:paraId="431C1F2F" w14:textId="77777777" w:rsidR="00CD4081" w:rsidRPr="006E4B92" w:rsidRDefault="00CD4081" w:rsidP="00F735F7">
            <w:pPr>
              <w:pStyle w:val="AOGenNum3List"/>
              <w:numPr>
                <w:ilvl w:val="0"/>
                <w:numId w:val="0"/>
              </w:numPr>
              <w:ind w:left="720"/>
              <w:jc w:val="center"/>
              <w:rPr>
                <w:lang w:val="cs-CZ"/>
              </w:rPr>
            </w:pPr>
            <w:r w:rsidRPr="006E4B92">
              <w:rPr>
                <w:lang w:val="cs-CZ" w:bidi="cs-CZ"/>
              </w:rPr>
              <w:t>Poplatek = CHO * GC</w:t>
            </w:r>
          </w:p>
          <w:p w14:paraId="28E52B36" w14:textId="77777777" w:rsidR="00CD4081" w:rsidRPr="006E4B92" w:rsidRDefault="00CD4081" w:rsidP="00F735F7">
            <w:pPr>
              <w:pStyle w:val="AOGenNum3List"/>
              <w:numPr>
                <w:ilvl w:val="0"/>
                <w:numId w:val="0"/>
              </w:numPr>
              <w:ind w:left="720"/>
              <w:rPr>
                <w:lang w:val="cs-CZ"/>
              </w:rPr>
            </w:pPr>
            <w:r w:rsidRPr="006E4B92">
              <w:rPr>
                <w:lang w:val="cs-CZ" w:bidi="cs-CZ"/>
              </w:rPr>
              <w:t xml:space="preserve">kde </w:t>
            </w:r>
          </w:p>
          <w:p w14:paraId="7AB787FC" w14:textId="77777777" w:rsidR="00CD4081" w:rsidRPr="006E4B92" w:rsidRDefault="00CD4081" w:rsidP="00F735F7">
            <w:pPr>
              <w:pStyle w:val="AOGenNum3List"/>
              <w:numPr>
                <w:ilvl w:val="0"/>
                <w:numId w:val="0"/>
              </w:numPr>
              <w:ind w:left="720"/>
              <w:rPr>
                <w:lang w:val="cs-CZ"/>
              </w:rPr>
            </w:pPr>
            <w:r w:rsidRPr="006E4B92">
              <w:rPr>
                <w:b/>
                <w:lang w:val="cs-CZ" w:bidi="cs-CZ"/>
              </w:rPr>
              <w:t>Poplatek</w:t>
            </w:r>
            <w:r w:rsidRPr="006E4B92">
              <w:rPr>
                <w:lang w:val="cs-CZ" w:bidi="cs-CZ"/>
              </w:rPr>
              <w:t xml:space="preserve"> znamená poplatek </w:t>
            </w:r>
            <w:proofErr w:type="spellStart"/>
            <w:r w:rsidRPr="006E4B92">
              <w:rPr>
                <w:lang w:val="cs-CZ" w:bidi="cs-CZ"/>
              </w:rPr>
              <w:t>take-or-pay</w:t>
            </w:r>
            <w:proofErr w:type="spellEnd"/>
            <w:r w:rsidRPr="006E4B92">
              <w:rPr>
                <w:lang w:val="cs-CZ" w:bidi="cs-CZ"/>
              </w:rPr>
              <w:t xml:space="preserve"> za konkrétní Období, kdy nebyl závazek dodržen;</w:t>
            </w:r>
          </w:p>
          <w:p w14:paraId="6DE8D8C9" w14:textId="77777777" w:rsidR="00CD4081" w:rsidRPr="006E4B92" w:rsidRDefault="00CD4081" w:rsidP="00F735F7">
            <w:pPr>
              <w:pStyle w:val="AOGenNum3List"/>
              <w:numPr>
                <w:ilvl w:val="0"/>
                <w:numId w:val="0"/>
              </w:numPr>
              <w:ind w:left="720"/>
              <w:rPr>
                <w:lang w:val="cs-CZ"/>
              </w:rPr>
            </w:pPr>
            <w:r w:rsidRPr="006E4B92">
              <w:rPr>
                <w:b/>
                <w:lang w:val="cs-CZ" w:bidi="cs-CZ"/>
              </w:rPr>
              <w:t>CHO</w:t>
            </w:r>
            <w:r w:rsidR="00367C1D" w:rsidRPr="006E4B92">
              <w:rPr>
                <w:b/>
                <w:lang w:val="cs-CZ" w:bidi="cs-CZ"/>
              </w:rPr>
              <w:t xml:space="preserve"> </w:t>
            </w:r>
            <w:r w:rsidRPr="006E4B92">
              <w:rPr>
                <w:lang w:val="cs-CZ" w:bidi="cs-CZ"/>
              </w:rPr>
              <w:t xml:space="preserve">(chybějící objem) znamená počet </w:t>
            </w:r>
            <w:r w:rsidR="000A6247" w:rsidRPr="006E4B92">
              <w:rPr>
                <w:lang w:val="cs-CZ" w:bidi="cs-CZ"/>
              </w:rPr>
              <w:t xml:space="preserve">litrů / kg/ </w:t>
            </w:r>
            <w:r w:rsidRPr="006E4B92">
              <w:rPr>
                <w:lang w:val="cs-CZ" w:bidi="cs-CZ"/>
              </w:rPr>
              <w:t>tun LPG chybějící v daném Období ke splnění limitu minimálního odběru LPG ze strany Partnera za dané Období, jak je tento stanoven článkem</w:t>
            </w:r>
            <w:r w:rsidR="00AB2DBF" w:rsidRPr="006E4B92">
              <w:rPr>
                <w:lang w:val="cs-CZ" w:bidi="cs-CZ"/>
              </w:rPr>
              <w:t xml:space="preserve"> 3.1</w:t>
            </w:r>
            <w:r w:rsidRPr="006E4B92">
              <w:rPr>
                <w:lang w:val="cs-CZ" w:bidi="cs-CZ"/>
              </w:rPr>
              <w:t xml:space="preserve"> výše (s ohledem na 10% toleranci sjednanou článkem </w:t>
            </w:r>
            <w:r w:rsidR="00AB2DBF" w:rsidRPr="006E4B92">
              <w:rPr>
                <w:lang w:val="cs-CZ" w:bidi="cs-CZ"/>
              </w:rPr>
              <w:t xml:space="preserve">3.2(a) </w:t>
            </w:r>
            <w:r w:rsidRPr="006E4B92">
              <w:rPr>
                <w:lang w:val="cs-CZ" w:bidi="cs-CZ"/>
              </w:rPr>
              <w:t>výše), a</w:t>
            </w:r>
          </w:p>
          <w:p w14:paraId="18D19C2B" w14:textId="77777777" w:rsidR="00CD4081" w:rsidRPr="006E4B92" w:rsidRDefault="00CD4081" w:rsidP="00F735F7">
            <w:pPr>
              <w:pStyle w:val="AOAltHead2"/>
              <w:numPr>
                <w:ilvl w:val="0"/>
                <w:numId w:val="0"/>
              </w:numPr>
              <w:ind w:left="720"/>
              <w:rPr>
                <w:lang w:val="cs-CZ"/>
              </w:rPr>
            </w:pPr>
            <w:r w:rsidRPr="006E4B92">
              <w:rPr>
                <w:b/>
                <w:lang w:val="cs-CZ" w:bidi="cs-CZ"/>
              </w:rPr>
              <w:t>GC</w:t>
            </w:r>
            <w:r w:rsidR="00367C1D" w:rsidRPr="006E4B92">
              <w:rPr>
                <w:b/>
                <w:lang w:val="cs-CZ" w:bidi="cs-CZ"/>
              </w:rPr>
              <w:t xml:space="preserve"> </w:t>
            </w:r>
            <w:r w:rsidRPr="006E4B92">
              <w:rPr>
                <w:lang w:val="cs-CZ" w:bidi="cs-CZ"/>
              </w:rPr>
              <w:t xml:space="preserve">znamená Garantovanou cenu za </w:t>
            </w:r>
            <w:r w:rsidR="000A6247" w:rsidRPr="006E4B92">
              <w:rPr>
                <w:lang w:val="cs-CZ" w:bidi="cs-CZ"/>
              </w:rPr>
              <w:t xml:space="preserve">litr / kg / </w:t>
            </w:r>
            <w:r w:rsidRPr="006E4B92">
              <w:rPr>
                <w:lang w:val="cs-CZ" w:bidi="cs-CZ"/>
              </w:rPr>
              <w:t xml:space="preserve">tunu LPG stanovenou článkem </w:t>
            </w:r>
            <w:r w:rsidR="00AB2DBF" w:rsidRPr="006E4B92">
              <w:rPr>
                <w:lang w:val="cs-CZ" w:bidi="cs-CZ"/>
              </w:rPr>
              <w:t>1.1</w:t>
            </w:r>
            <w:r w:rsidRPr="006E4B92">
              <w:rPr>
                <w:lang w:val="cs-CZ" w:bidi="cs-CZ"/>
              </w:rPr>
              <w:t xml:space="preserve"> výše.</w:t>
            </w:r>
          </w:p>
        </w:tc>
        <w:bookmarkEnd w:id="1"/>
      </w:tr>
      <w:tr w:rsidR="00CD4081" w:rsidRPr="006E4B92" w14:paraId="4BAC89DD" w14:textId="77777777" w:rsidTr="00CD4081">
        <w:trPr>
          <w:hidden/>
        </w:trPr>
        <w:tc>
          <w:tcPr>
            <w:tcW w:w="9810" w:type="dxa"/>
          </w:tcPr>
          <w:p w14:paraId="6DBA8A48" w14:textId="77777777" w:rsidR="00CD4081" w:rsidRPr="006E4B92" w:rsidRDefault="00CD4081" w:rsidP="00CD4081">
            <w:pPr>
              <w:pStyle w:val="Odstavecseseznamem"/>
              <w:keepNext/>
              <w:numPr>
                <w:ilvl w:val="1"/>
                <w:numId w:val="1"/>
              </w:numPr>
              <w:spacing w:before="240"/>
              <w:contextualSpacing w:val="0"/>
              <w:outlineLvl w:val="1"/>
              <w:rPr>
                <w:b/>
                <w:vanish/>
                <w:lang w:val="cs-CZ" w:bidi="cs-CZ"/>
              </w:rPr>
            </w:pPr>
            <w:bookmarkStart w:id="2" w:name="_Ref38276151"/>
          </w:p>
          <w:p w14:paraId="2857CEFD" w14:textId="77777777" w:rsidR="00CD4081" w:rsidRPr="006E4B92" w:rsidRDefault="00CD4081" w:rsidP="00CD4081">
            <w:pPr>
              <w:pStyle w:val="AOHead2"/>
              <w:spacing w:line="300" w:lineRule="atLeast"/>
              <w:rPr>
                <w:b w:val="0"/>
                <w:lang w:val="cs-CZ"/>
              </w:rPr>
            </w:pPr>
            <w:r w:rsidRPr="006E4B92">
              <w:rPr>
                <w:b w:val="0"/>
                <w:lang w:val="cs-CZ" w:bidi="cs-CZ"/>
              </w:rPr>
              <w:t xml:space="preserve">Každý poplatek </w:t>
            </w:r>
            <w:proofErr w:type="spellStart"/>
            <w:r w:rsidRPr="006E4B92">
              <w:rPr>
                <w:b w:val="0"/>
                <w:lang w:val="cs-CZ" w:bidi="cs-CZ"/>
              </w:rPr>
              <w:t>take-or-pay</w:t>
            </w:r>
            <w:proofErr w:type="spellEnd"/>
            <w:r w:rsidRPr="006E4B92">
              <w:rPr>
                <w:b w:val="0"/>
                <w:lang w:val="cs-CZ" w:bidi="cs-CZ"/>
              </w:rPr>
              <w:t xml:space="preserve"> je splatný do 14</w:t>
            </w:r>
            <w:r w:rsidR="00367C1D" w:rsidRPr="006E4B92">
              <w:rPr>
                <w:b w:val="0"/>
                <w:lang w:val="cs-CZ" w:bidi="cs-CZ"/>
              </w:rPr>
              <w:t xml:space="preserve"> </w:t>
            </w:r>
            <w:r w:rsidRPr="006E4B92">
              <w:rPr>
                <w:b w:val="0"/>
                <w:lang w:val="cs-CZ" w:bidi="cs-CZ"/>
              </w:rPr>
              <w:t xml:space="preserve">dní od data písemné výzvy učiněné </w:t>
            </w:r>
            <w:proofErr w:type="spellStart"/>
            <w:r w:rsidRPr="006E4B92">
              <w:rPr>
                <w:b w:val="0"/>
                <w:lang w:val="cs-CZ" w:bidi="cs-CZ"/>
              </w:rPr>
              <w:t>Flagou</w:t>
            </w:r>
            <w:proofErr w:type="spellEnd"/>
            <w:r w:rsidRPr="006E4B92">
              <w:rPr>
                <w:b w:val="0"/>
                <w:lang w:val="cs-CZ" w:bidi="cs-CZ"/>
              </w:rPr>
              <w:t xml:space="preserve"> Partnerovi (přičemž taková výzva může také být v podobě vrubopisu resp. faktury nebo jakékoliv jiné formě v souladu se zákonnými předpisy). </w:t>
            </w:r>
          </w:p>
        </w:tc>
        <w:bookmarkEnd w:id="2"/>
      </w:tr>
      <w:tr w:rsidR="00CD4081" w:rsidRPr="006E4B92" w14:paraId="51CC53CD" w14:textId="77777777" w:rsidTr="00CD4081">
        <w:tc>
          <w:tcPr>
            <w:tcW w:w="9810" w:type="dxa"/>
          </w:tcPr>
          <w:p w14:paraId="3531C7D7" w14:textId="77777777" w:rsidR="00CD4081" w:rsidRPr="006E4B92" w:rsidRDefault="00CD4081" w:rsidP="00CD4081">
            <w:pPr>
              <w:pStyle w:val="AOAltHead1"/>
              <w:spacing w:line="300" w:lineRule="atLeast"/>
              <w:rPr>
                <w:lang w:val="cs-CZ"/>
              </w:rPr>
            </w:pPr>
            <w:r w:rsidRPr="006E4B92">
              <w:rPr>
                <w:b/>
                <w:lang w:val="cs-CZ" w:bidi="cs-CZ"/>
              </w:rPr>
              <w:t>AUTOMATICKÉ PLNĚNÍ</w:t>
            </w:r>
          </w:p>
        </w:tc>
      </w:tr>
      <w:tr w:rsidR="00CD4081" w:rsidRPr="006E4B92" w14:paraId="74E7BA38" w14:textId="77777777" w:rsidTr="00CD4081">
        <w:tc>
          <w:tcPr>
            <w:tcW w:w="9810" w:type="dxa"/>
          </w:tcPr>
          <w:p w14:paraId="26B7D15E" w14:textId="77777777" w:rsidR="00CD4081" w:rsidRPr="006E4B92" w:rsidRDefault="00CD4081" w:rsidP="00CD4081">
            <w:pPr>
              <w:pStyle w:val="AOAltHead2"/>
              <w:spacing w:line="300" w:lineRule="atLeast"/>
              <w:rPr>
                <w:lang w:val="cs-CZ"/>
              </w:rPr>
            </w:pPr>
            <w:r w:rsidRPr="006E4B92">
              <w:rPr>
                <w:lang w:val="cs-CZ" w:bidi="cs-CZ"/>
              </w:rPr>
              <w:t xml:space="preserve">V případě, že se Partner a </w:t>
            </w:r>
            <w:proofErr w:type="spellStart"/>
            <w:r w:rsidRPr="006E4B92">
              <w:rPr>
                <w:lang w:val="cs-CZ" w:bidi="cs-CZ"/>
              </w:rPr>
              <w:t>Flaga</w:t>
            </w:r>
            <w:proofErr w:type="spellEnd"/>
            <w:r w:rsidRPr="006E4B92">
              <w:rPr>
                <w:lang w:val="cs-CZ" w:bidi="cs-CZ"/>
              </w:rPr>
              <w:t xml:space="preserve"> ve Smlouvě dohodli na tzv. automatickém plnění, tj. dodávkách LPG na základě údajů z technického zařízení vysílajícího informace o aktuálním množství LPG v Zásobníku (dále jen “</w:t>
            </w:r>
            <w:r w:rsidRPr="006E4B92">
              <w:rPr>
                <w:b/>
                <w:lang w:val="cs-CZ" w:bidi="cs-CZ"/>
              </w:rPr>
              <w:t>Telemetrické zařízení</w:t>
            </w:r>
            <w:r w:rsidRPr="006E4B92">
              <w:rPr>
                <w:lang w:val="cs-CZ" w:bidi="cs-CZ"/>
              </w:rPr>
              <w:t xml:space="preserve">”), pak se Strany dohodly, že Garantovaná cena bude platná (s ohledem na podmínky sjednané tímto Dodatkem) také pro dodávky LPG učiněné </w:t>
            </w:r>
            <w:proofErr w:type="spellStart"/>
            <w:r w:rsidRPr="006E4B92">
              <w:rPr>
                <w:lang w:val="cs-CZ" w:bidi="cs-CZ"/>
              </w:rPr>
              <w:t>Flagou</w:t>
            </w:r>
            <w:proofErr w:type="spellEnd"/>
            <w:r w:rsidRPr="006E4B92">
              <w:rPr>
                <w:lang w:val="cs-CZ" w:bidi="cs-CZ"/>
              </w:rPr>
              <w:t xml:space="preserve"> podle Telemetrického zařízení. </w:t>
            </w:r>
          </w:p>
        </w:tc>
      </w:tr>
      <w:tr w:rsidR="00CD4081" w:rsidRPr="006E4B92" w14:paraId="402AEB67" w14:textId="77777777" w:rsidTr="00CD4081">
        <w:tc>
          <w:tcPr>
            <w:tcW w:w="9810" w:type="dxa"/>
          </w:tcPr>
          <w:p w14:paraId="78DFE396" w14:textId="77777777" w:rsidR="00CD4081" w:rsidRPr="006E4B92" w:rsidRDefault="00CD4081" w:rsidP="00CD4081">
            <w:pPr>
              <w:pStyle w:val="AOAltHead1"/>
              <w:spacing w:line="300" w:lineRule="atLeast"/>
              <w:rPr>
                <w:lang w:val="cs-CZ"/>
              </w:rPr>
            </w:pPr>
            <w:r w:rsidRPr="006E4B92">
              <w:rPr>
                <w:b/>
                <w:lang w:val="cs-CZ" w:bidi="cs-CZ"/>
              </w:rPr>
              <w:lastRenderedPageBreak/>
              <w:t>SOUBĚH ZÁVAZKŮ</w:t>
            </w:r>
          </w:p>
        </w:tc>
      </w:tr>
      <w:tr w:rsidR="00CD4081" w:rsidRPr="006E4B92" w14:paraId="0AB2DCB1" w14:textId="77777777" w:rsidTr="00CD4081">
        <w:tc>
          <w:tcPr>
            <w:tcW w:w="9810" w:type="dxa"/>
          </w:tcPr>
          <w:p w14:paraId="49959646" w14:textId="77777777" w:rsidR="00CD4081" w:rsidRPr="006E4B92" w:rsidRDefault="00CD4081" w:rsidP="00CD4081">
            <w:pPr>
              <w:pStyle w:val="AOAltHead2"/>
              <w:spacing w:line="300" w:lineRule="atLeast"/>
              <w:rPr>
                <w:lang w:val="cs-CZ"/>
              </w:rPr>
            </w:pPr>
            <w:r w:rsidRPr="006E4B92">
              <w:rPr>
                <w:lang w:val="cs-CZ" w:bidi="cs-CZ"/>
              </w:rPr>
              <w:t xml:space="preserve">V případě, že je Partner dle Smlouvy (vyjma tohoto Dodatku) povinen odebrat od společnosti </w:t>
            </w:r>
            <w:proofErr w:type="spellStart"/>
            <w:r w:rsidRPr="006E4B92">
              <w:rPr>
                <w:lang w:val="cs-CZ" w:bidi="cs-CZ"/>
              </w:rPr>
              <w:t>Flaga</w:t>
            </w:r>
            <w:proofErr w:type="spellEnd"/>
            <w:r w:rsidRPr="006E4B92">
              <w:rPr>
                <w:lang w:val="cs-CZ" w:bidi="cs-CZ"/>
              </w:rPr>
              <w:t xml:space="preserve"> určité množství LPG za určitou dobu, pak množství LPG odebrané Partnerem během příslušného období za Garantovanou cenu dle tohoto Dodatku nebude započítáno pro účely plnění objemového závazku Partnera dle Smlouvy (vyjma tohoto Dodatku) za takové období. </w:t>
            </w:r>
          </w:p>
        </w:tc>
      </w:tr>
      <w:tr w:rsidR="00CD4081" w:rsidRPr="006E4B92" w14:paraId="6067E439" w14:textId="77777777" w:rsidTr="00CD4081">
        <w:tc>
          <w:tcPr>
            <w:tcW w:w="9810" w:type="dxa"/>
          </w:tcPr>
          <w:p w14:paraId="0AC91CF0" w14:textId="77777777" w:rsidR="00CD4081" w:rsidRPr="006E4B92" w:rsidRDefault="00CD4081" w:rsidP="00CD4081">
            <w:pPr>
              <w:pStyle w:val="AOAltHead2"/>
              <w:spacing w:line="300" w:lineRule="atLeast"/>
              <w:rPr>
                <w:lang w:val="cs-CZ"/>
              </w:rPr>
            </w:pPr>
            <w:r w:rsidRPr="006E4B92">
              <w:rPr>
                <w:lang w:val="cs-CZ" w:bidi="cs-CZ"/>
              </w:rPr>
              <w:t xml:space="preserve">Žádný poplatek, sankce ani pokuta splatná dle tohoto Dodatku nemá vliv na žádnou smluvní pokutu, sankci nebo poplatek sjednaný Stranami ve Smlouvě (vyjma tohoto Dodatku). </w:t>
            </w:r>
          </w:p>
        </w:tc>
      </w:tr>
      <w:tr w:rsidR="00CD4081" w:rsidRPr="006E4B92" w14:paraId="23767890" w14:textId="77777777" w:rsidTr="00CD4081">
        <w:tc>
          <w:tcPr>
            <w:tcW w:w="9810" w:type="dxa"/>
          </w:tcPr>
          <w:p w14:paraId="0CAB5206" w14:textId="77777777" w:rsidR="00CD4081" w:rsidRPr="006E4B92" w:rsidRDefault="00CD4081" w:rsidP="00CD4081">
            <w:pPr>
              <w:pStyle w:val="AOAltHead1"/>
              <w:spacing w:line="300" w:lineRule="atLeast"/>
              <w:rPr>
                <w:lang w:val="cs-CZ"/>
              </w:rPr>
            </w:pPr>
            <w:r w:rsidRPr="006E4B92">
              <w:rPr>
                <w:b/>
                <w:lang w:val="cs-CZ" w:bidi="cs-CZ"/>
              </w:rPr>
              <w:t xml:space="preserve">STANDARDNÍ CENA LPG </w:t>
            </w:r>
          </w:p>
        </w:tc>
      </w:tr>
      <w:tr w:rsidR="00CD4081" w:rsidRPr="006E4B92" w14:paraId="66713B46" w14:textId="77777777" w:rsidTr="00CD4081">
        <w:tc>
          <w:tcPr>
            <w:tcW w:w="9810" w:type="dxa"/>
          </w:tcPr>
          <w:p w14:paraId="12FBF1A0" w14:textId="77777777" w:rsidR="00CD4081" w:rsidRPr="006E4B92" w:rsidRDefault="00CD4081" w:rsidP="00CD4081">
            <w:pPr>
              <w:pStyle w:val="AOAltHead2"/>
              <w:spacing w:line="300" w:lineRule="atLeast"/>
              <w:rPr>
                <w:lang w:val="cs-CZ"/>
              </w:rPr>
            </w:pPr>
            <w:r w:rsidRPr="006E4B92">
              <w:rPr>
                <w:lang w:val="cs-CZ" w:bidi="cs-CZ"/>
              </w:rPr>
              <w:t>Za účelem vyloučení pochybností Strany potvrzují, že Původní cena bude uplatněna na veškeré dodávky LPG do Zásobníku učiněné (i) před Datem účinnosti i (</w:t>
            </w:r>
            <w:proofErr w:type="spellStart"/>
            <w:r w:rsidRPr="006E4B92">
              <w:rPr>
                <w:lang w:val="cs-CZ" w:bidi="cs-CZ"/>
              </w:rPr>
              <w:t>ii</w:t>
            </w:r>
            <w:proofErr w:type="spellEnd"/>
            <w:r w:rsidRPr="006E4B92">
              <w:rPr>
                <w:lang w:val="cs-CZ" w:bidi="cs-CZ"/>
              </w:rPr>
              <w:t xml:space="preserve">) po Datu ukončení. </w:t>
            </w:r>
          </w:p>
        </w:tc>
      </w:tr>
      <w:tr w:rsidR="00CD4081" w:rsidRPr="006E4B92" w14:paraId="785EFACD" w14:textId="77777777" w:rsidTr="00CD4081">
        <w:tc>
          <w:tcPr>
            <w:tcW w:w="9810" w:type="dxa"/>
          </w:tcPr>
          <w:p w14:paraId="20FBD675" w14:textId="77777777" w:rsidR="00CD4081" w:rsidRPr="006E4B92" w:rsidRDefault="00CD4081" w:rsidP="00CD4081">
            <w:pPr>
              <w:pStyle w:val="AOAltHead2"/>
              <w:spacing w:line="300" w:lineRule="atLeast"/>
              <w:rPr>
                <w:lang w:val="cs-CZ"/>
              </w:rPr>
            </w:pPr>
            <w:bookmarkStart w:id="3" w:name="_Ref38276257"/>
            <w:r w:rsidRPr="006E4B92">
              <w:rPr>
                <w:lang w:val="cs-CZ" w:bidi="cs-CZ"/>
              </w:rPr>
              <w:t xml:space="preserve">V případě, že Partner tento Dodatek ukončí před Datem ukončení (výpovědí, odstoupením nebo jinak), pak bude Partner povinen uhradit </w:t>
            </w:r>
            <w:proofErr w:type="spellStart"/>
            <w:r w:rsidRPr="006E4B92">
              <w:rPr>
                <w:lang w:val="cs-CZ" w:bidi="cs-CZ"/>
              </w:rPr>
              <w:t>Flaze</w:t>
            </w:r>
            <w:proofErr w:type="spellEnd"/>
            <w:r w:rsidRPr="006E4B92">
              <w:rPr>
                <w:lang w:val="cs-CZ" w:bidi="cs-CZ"/>
              </w:rPr>
              <w:t xml:space="preserve"> poplatek </w:t>
            </w:r>
            <w:proofErr w:type="spellStart"/>
            <w:r w:rsidRPr="006E4B92">
              <w:rPr>
                <w:lang w:val="cs-CZ" w:bidi="cs-CZ"/>
              </w:rPr>
              <w:t>take-or-pay</w:t>
            </w:r>
            <w:proofErr w:type="spellEnd"/>
            <w:r w:rsidRPr="006E4B92">
              <w:rPr>
                <w:lang w:val="cs-CZ" w:bidi="cs-CZ"/>
              </w:rPr>
              <w:t xml:space="preserve"> vypočtený ve vztahu k případnému probíhajícímu Období a všem zbývajícím Obdobím. Články </w:t>
            </w:r>
            <w:r w:rsidR="00AB2DBF" w:rsidRPr="006E4B92">
              <w:rPr>
                <w:lang w:val="cs-CZ" w:bidi="cs-CZ"/>
              </w:rPr>
              <w:t>5.1</w:t>
            </w:r>
            <w:r w:rsidRPr="006E4B92">
              <w:rPr>
                <w:lang w:val="cs-CZ" w:bidi="cs-CZ"/>
              </w:rPr>
              <w:t xml:space="preserve"> a </w:t>
            </w:r>
            <w:r w:rsidR="00AB2DBF" w:rsidRPr="006E4B92">
              <w:rPr>
                <w:lang w:val="cs-CZ" w:bidi="cs-CZ"/>
              </w:rPr>
              <w:t>5.2</w:t>
            </w:r>
            <w:r w:rsidRPr="006E4B92">
              <w:rPr>
                <w:lang w:val="cs-CZ" w:bidi="cs-CZ"/>
              </w:rPr>
              <w:t xml:space="preserve"> budou uplatněny odpovídajícím způsobem.</w:t>
            </w:r>
          </w:p>
        </w:tc>
        <w:bookmarkEnd w:id="3"/>
      </w:tr>
      <w:tr w:rsidR="00CD4081" w:rsidRPr="006E4B92" w14:paraId="1D40AED3" w14:textId="77777777" w:rsidTr="00CD4081">
        <w:tc>
          <w:tcPr>
            <w:tcW w:w="9810" w:type="dxa"/>
          </w:tcPr>
          <w:p w14:paraId="6EC8826E" w14:textId="77777777" w:rsidR="00CD4081" w:rsidRPr="006E4B92" w:rsidRDefault="00CD4081" w:rsidP="00CD4081">
            <w:pPr>
              <w:pStyle w:val="AOAltHead1"/>
              <w:spacing w:line="300" w:lineRule="atLeast"/>
              <w:rPr>
                <w:lang w:val="cs-CZ"/>
              </w:rPr>
            </w:pPr>
            <w:r w:rsidRPr="006E4B92">
              <w:rPr>
                <w:b/>
                <w:lang w:val="cs-CZ" w:bidi="cs-CZ"/>
              </w:rPr>
              <w:t>OSTATNÍ</w:t>
            </w:r>
          </w:p>
        </w:tc>
      </w:tr>
      <w:tr w:rsidR="00CD4081" w:rsidRPr="006E4B92" w14:paraId="3E6F5071" w14:textId="77777777" w:rsidTr="00CD4081">
        <w:tc>
          <w:tcPr>
            <w:tcW w:w="9810" w:type="dxa"/>
          </w:tcPr>
          <w:p w14:paraId="557F87AD" w14:textId="77777777" w:rsidR="004230A5" w:rsidRPr="006E4B92" w:rsidRDefault="004230A5" w:rsidP="004230A5">
            <w:pPr>
              <w:pStyle w:val="xmsonormal"/>
            </w:pPr>
          </w:p>
          <w:p w14:paraId="1884EC70" w14:textId="77777777" w:rsidR="00CD4081" w:rsidRPr="006E4B92" w:rsidRDefault="00CD4081" w:rsidP="00CD4081">
            <w:pPr>
              <w:pStyle w:val="AOAltHead2"/>
              <w:spacing w:line="300" w:lineRule="atLeast"/>
              <w:rPr>
                <w:lang w:val="cs-CZ"/>
              </w:rPr>
            </w:pPr>
            <w:r w:rsidRPr="006E4B92">
              <w:rPr>
                <w:lang w:val="cs-CZ" w:bidi="cs-CZ"/>
              </w:rPr>
              <w:t xml:space="preserve">Ukončení Dodatku nebo Smlouvy (výpovědí, odstoupením nebo jinak) nemá vliv na platnost a účinnost těch článků tohoto Dodatku, které mají ze své podstaty zůstat v platnosti po takovém ukončení. Smluvní strany výslovně souhlasí, že toto se týká článků </w:t>
            </w:r>
            <w:r w:rsidR="00AB2DBF" w:rsidRPr="006E4B92">
              <w:rPr>
                <w:lang w:val="cs-CZ" w:bidi="cs-CZ"/>
              </w:rPr>
              <w:t xml:space="preserve">5 </w:t>
            </w:r>
            <w:r w:rsidRPr="006E4B92">
              <w:rPr>
                <w:lang w:val="cs-CZ" w:bidi="cs-CZ"/>
              </w:rPr>
              <w:t xml:space="preserve">a </w:t>
            </w:r>
            <w:r w:rsidR="00AB2DBF" w:rsidRPr="006E4B92">
              <w:rPr>
                <w:lang w:val="cs-CZ" w:bidi="cs-CZ"/>
              </w:rPr>
              <w:t xml:space="preserve">8.2 </w:t>
            </w:r>
            <w:r w:rsidRPr="006E4B92">
              <w:rPr>
                <w:lang w:val="cs-CZ" w:bidi="cs-CZ"/>
              </w:rPr>
              <w:t xml:space="preserve">tohoto Dodatku. </w:t>
            </w:r>
          </w:p>
        </w:tc>
      </w:tr>
      <w:tr w:rsidR="00CD4081" w:rsidRPr="006E4B92" w14:paraId="4212AC6D" w14:textId="77777777" w:rsidTr="00CD4081">
        <w:tc>
          <w:tcPr>
            <w:tcW w:w="9810" w:type="dxa"/>
          </w:tcPr>
          <w:p w14:paraId="4F6DCB07" w14:textId="77777777" w:rsidR="00CD4081" w:rsidRPr="006E4B92" w:rsidRDefault="00CD4081" w:rsidP="00CD4081">
            <w:pPr>
              <w:pStyle w:val="AOAltHead2"/>
              <w:spacing w:line="300" w:lineRule="atLeast"/>
              <w:rPr>
                <w:lang w:val="cs-CZ"/>
              </w:rPr>
            </w:pPr>
            <w:r w:rsidRPr="006E4B92">
              <w:rPr>
                <w:lang w:val="cs-CZ" w:bidi="cs-CZ"/>
              </w:rPr>
              <w:t>Veškeré náklady a poplatky, smluvní pokuty či jiné sankce splatné Partnerem dle Smlouvy, které nejsou výslovně upraveny tímto Dodatkem, zůstávají splatné Partnerem v souladu se Smlouvou.</w:t>
            </w:r>
          </w:p>
        </w:tc>
      </w:tr>
      <w:tr w:rsidR="00CD4081" w:rsidRPr="006E4B92" w14:paraId="468AA28B" w14:textId="77777777" w:rsidTr="00CD4081">
        <w:tc>
          <w:tcPr>
            <w:tcW w:w="9810" w:type="dxa"/>
          </w:tcPr>
          <w:p w14:paraId="616DA61D" w14:textId="77777777" w:rsidR="00CD4081" w:rsidRPr="006E4B92" w:rsidRDefault="00CD4081" w:rsidP="00CD4081">
            <w:pPr>
              <w:pStyle w:val="AOAltHead2"/>
              <w:spacing w:line="300" w:lineRule="atLeast"/>
              <w:rPr>
                <w:lang w:val="cs-CZ"/>
              </w:rPr>
            </w:pPr>
            <w:r w:rsidRPr="006E4B92">
              <w:rPr>
                <w:lang w:val="cs-CZ" w:bidi="cs-CZ"/>
              </w:rPr>
              <w:t>Uhrazení smluvní pokuty nezbavuje Stranu, která porušila povinnost spojenou se smluvní pokutou, nahradit škody takovým porušením způsobené; § 2050 občanského zákoníku (zákon č. 89/2012 Sb., občanský zákoník, ve znění pozdějších předpisů) se neuplatní.</w:t>
            </w:r>
            <w:r w:rsidR="00926B83" w:rsidRPr="006E4B92">
              <w:rPr>
                <w:lang w:val="cs-CZ" w:bidi="cs-CZ"/>
              </w:rPr>
              <w:t xml:space="preserve"> </w:t>
            </w:r>
            <w:r w:rsidRPr="006E4B92">
              <w:rPr>
                <w:lang w:val="cs-CZ" w:bidi="cs-CZ"/>
              </w:rPr>
              <w:t>Strana, které má být smluvní pokuta uhrazena, může požadovat náhradu škody nad rámec smluvní pokuty.</w:t>
            </w:r>
          </w:p>
        </w:tc>
      </w:tr>
      <w:tr w:rsidR="00CD4081" w:rsidRPr="006E4B92" w14:paraId="0E66D665" w14:textId="77777777" w:rsidTr="00CD4081">
        <w:tc>
          <w:tcPr>
            <w:tcW w:w="9810" w:type="dxa"/>
          </w:tcPr>
          <w:p w14:paraId="4F8A7993" w14:textId="77777777" w:rsidR="00CD4081" w:rsidRPr="006E4B92" w:rsidRDefault="00CD4081" w:rsidP="00CD4081">
            <w:pPr>
              <w:pStyle w:val="AOAltHead2"/>
              <w:spacing w:line="300" w:lineRule="atLeast"/>
              <w:rPr>
                <w:lang w:val="cs-CZ"/>
              </w:rPr>
            </w:pPr>
            <w:r w:rsidRPr="006E4B92">
              <w:rPr>
                <w:lang w:val="cs-CZ" w:bidi="cs-CZ"/>
              </w:rPr>
              <w:t>Každá Smluvní strana (i) se tímto vzdává práva žádat o zrušení závazku dle § 2000 (1) občanského zákoníku a (</w:t>
            </w:r>
            <w:proofErr w:type="spellStart"/>
            <w:r w:rsidRPr="006E4B92">
              <w:rPr>
                <w:lang w:val="cs-CZ" w:bidi="cs-CZ"/>
              </w:rPr>
              <w:t>ii</w:t>
            </w:r>
            <w:proofErr w:type="spellEnd"/>
            <w:r w:rsidRPr="006E4B92">
              <w:rPr>
                <w:lang w:val="cs-CZ" w:bidi="cs-CZ"/>
              </w:rPr>
              <w:t>) přijímá tímto riziko změny okolností.</w:t>
            </w:r>
          </w:p>
        </w:tc>
      </w:tr>
      <w:tr w:rsidR="00CD4081" w:rsidRPr="006E4B92" w14:paraId="7B8D5D55" w14:textId="77777777" w:rsidTr="00CD4081">
        <w:tc>
          <w:tcPr>
            <w:tcW w:w="9810" w:type="dxa"/>
          </w:tcPr>
          <w:p w14:paraId="1A3B99F0" w14:textId="77777777" w:rsidR="00CD4081" w:rsidRPr="006E4B92" w:rsidRDefault="00CD4081" w:rsidP="00CD4081">
            <w:pPr>
              <w:pStyle w:val="AOAltHead2"/>
              <w:spacing w:line="300" w:lineRule="atLeast"/>
              <w:rPr>
                <w:lang w:val="cs-CZ"/>
              </w:rPr>
            </w:pPr>
            <w:r w:rsidRPr="006E4B92">
              <w:rPr>
                <w:lang w:val="cs-CZ" w:bidi="cs-CZ"/>
              </w:rPr>
              <w:t>Tento Dodatek je uzavírán pouze ve chvíli úplné shody na jeho obsahu; přijetí s doplněním či odchylkou je považováno za nový návrh.</w:t>
            </w:r>
          </w:p>
        </w:tc>
      </w:tr>
      <w:tr w:rsidR="00CD4081" w:rsidRPr="006E4B92" w14:paraId="067DD835" w14:textId="77777777" w:rsidTr="00CD4081">
        <w:tc>
          <w:tcPr>
            <w:tcW w:w="9810" w:type="dxa"/>
          </w:tcPr>
          <w:p w14:paraId="79427B37" w14:textId="77777777" w:rsidR="00CD4081" w:rsidRPr="006E4B92" w:rsidRDefault="00CD4081" w:rsidP="00CD4081">
            <w:pPr>
              <w:pStyle w:val="AOAltHead2"/>
              <w:spacing w:line="300" w:lineRule="atLeast"/>
              <w:rPr>
                <w:lang w:val="cs-CZ"/>
              </w:rPr>
            </w:pPr>
            <w:r w:rsidRPr="006E4B92">
              <w:rPr>
                <w:lang w:val="cs-CZ" w:bidi="cs-CZ"/>
              </w:rPr>
              <w:t>Tento Dodatek lze měnit pouze písemnými dodatky podepsanými oběma Stranami.</w:t>
            </w:r>
          </w:p>
        </w:tc>
      </w:tr>
      <w:tr w:rsidR="00CD4081" w:rsidRPr="006E4B92" w14:paraId="2ADF8843" w14:textId="77777777" w:rsidTr="00CD4081">
        <w:tc>
          <w:tcPr>
            <w:tcW w:w="9810" w:type="dxa"/>
          </w:tcPr>
          <w:p w14:paraId="24DC1A09" w14:textId="77777777" w:rsidR="00CD4081" w:rsidRPr="006E4B92" w:rsidRDefault="00CD4081" w:rsidP="00CD4081">
            <w:pPr>
              <w:pStyle w:val="AOAltHead2"/>
              <w:spacing w:line="300" w:lineRule="atLeast"/>
              <w:rPr>
                <w:lang w:val="cs-CZ"/>
              </w:rPr>
            </w:pPr>
            <w:r w:rsidRPr="006E4B92">
              <w:rPr>
                <w:lang w:val="cs-CZ" w:bidi="cs-CZ"/>
              </w:rPr>
              <w:t>Tento Dodatek a všechna práva a povinnosti z něho vyplývající nebo vznikající v souvislosti s ním (včetně mimosmluvních práv a povinností) se řídí českým právem.</w:t>
            </w:r>
          </w:p>
        </w:tc>
      </w:tr>
      <w:tr w:rsidR="00CD4081" w:rsidRPr="006E4B92" w14:paraId="00519BF5" w14:textId="77777777" w:rsidTr="00CD4081">
        <w:tc>
          <w:tcPr>
            <w:tcW w:w="9810" w:type="dxa"/>
          </w:tcPr>
          <w:p w14:paraId="5C7B46A2" w14:textId="427496CC" w:rsidR="00CD4081" w:rsidRPr="006E4B92" w:rsidRDefault="00C54531" w:rsidP="003D44CB">
            <w:pPr>
              <w:pStyle w:val="AOAltHead2"/>
              <w:spacing w:line="300" w:lineRule="atLeast"/>
              <w:rPr>
                <w:lang w:val="cs-CZ"/>
              </w:rPr>
            </w:pPr>
            <w:r w:rsidRPr="006E4B92">
              <w:rPr>
                <w:lang w:val="cs-CZ"/>
              </w:rPr>
              <w:t>Tento</w:t>
            </w:r>
            <w:r w:rsidR="00926B83" w:rsidRPr="006E4B92">
              <w:rPr>
                <w:lang w:val="cs-CZ"/>
              </w:rPr>
              <w:t xml:space="preserve"> D</w:t>
            </w:r>
            <w:r w:rsidRPr="006E4B92">
              <w:rPr>
                <w:lang w:val="cs-CZ"/>
              </w:rPr>
              <w:t>odatek</w:t>
            </w:r>
            <w:r w:rsidR="00926B83" w:rsidRPr="006E4B92">
              <w:rPr>
                <w:lang w:val="cs-CZ"/>
              </w:rPr>
              <w:t xml:space="preserve"> </w:t>
            </w:r>
            <w:r w:rsidRPr="006E4B92">
              <w:rPr>
                <w:lang w:val="cs-CZ"/>
              </w:rPr>
              <w:t>nabývá</w:t>
            </w:r>
            <w:r w:rsidR="00926B83" w:rsidRPr="006E4B92">
              <w:rPr>
                <w:lang w:val="cs-CZ"/>
              </w:rPr>
              <w:t xml:space="preserve"> </w:t>
            </w:r>
            <w:r w:rsidRPr="006E4B92">
              <w:rPr>
                <w:lang w:val="cs-CZ"/>
              </w:rPr>
              <w:t>platnosti</w:t>
            </w:r>
            <w:r w:rsidR="00926B83" w:rsidRPr="006E4B92">
              <w:rPr>
                <w:lang w:val="cs-CZ"/>
              </w:rPr>
              <w:t xml:space="preserve"> </w:t>
            </w:r>
            <w:r w:rsidRPr="006E4B92">
              <w:rPr>
                <w:lang w:val="cs-CZ"/>
              </w:rPr>
              <w:t>dnem</w:t>
            </w:r>
            <w:r w:rsidR="008235D4" w:rsidRPr="006E4B92">
              <w:rPr>
                <w:lang w:val="cs-CZ"/>
              </w:rPr>
              <w:t xml:space="preserve"> </w:t>
            </w:r>
            <w:r w:rsidRPr="006E4B92">
              <w:rPr>
                <w:lang w:val="cs-CZ"/>
              </w:rPr>
              <w:t>podpisu</w:t>
            </w:r>
            <w:r w:rsidR="00926B83" w:rsidRPr="006E4B92">
              <w:rPr>
                <w:lang w:val="cs-CZ"/>
              </w:rPr>
              <w:t xml:space="preserve"> </w:t>
            </w:r>
            <w:r w:rsidRPr="006E4B92">
              <w:rPr>
                <w:lang w:val="cs-CZ"/>
              </w:rPr>
              <w:t>poslední</w:t>
            </w:r>
            <w:r w:rsidR="00926B83" w:rsidRPr="006E4B92">
              <w:rPr>
                <w:lang w:val="cs-CZ"/>
              </w:rPr>
              <w:t xml:space="preserve"> S</w:t>
            </w:r>
            <w:r w:rsidRPr="006E4B92">
              <w:rPr>
                <w:lang w:val="cs-CZ"/>
              </w:rPr>
              <w:t>mluvní</w:t>
            </w:r>
            <w:r w:rsidR="00926B83" w:rsidRPr="006E4B92">
              <w:rPr>
                <w:lang w:val="cs-CZ"/>
              </w:rPr>
              <w:t xml:space="preserve"> </w:t>
            </w:r>
            <w:r w:rsidRPr="006E4B92">
              <w:rPr>
                <w:lang w:val="cs-CZ"/>
              </w:rPr>
              <w:t>strany a účinnosti</w:t>
            </w:r>
            <w:r w:rsidR="00926B83" w:rsidRPr="006E4B92">
              <w:rPr>
                <w:lang w:val="cs-CZ"/>
              </w:rPr>
              <w:t xml:space="preserve"> </w:t>
            </w:r>
            <w:r w:rsidRPr="006E4B92">
              <w:rPr>
                <w:lang w:val="cs-CZ"/>
              </w:rPr>
              <w:t>dnem</w:t>
            </w:r>
            <w:r w:rsidR="00926B83" w:rsidRPr="006E4B92">
              <w:rPr>
                <w:lang w:val="cs-CZ"/>
              </w:rPr>
              <w:t xml:space="preserve"> </w:t>
            </w:r>
            <w:r w:rsidRPr="006E4B92">
              <w:rPr>
                <w:lang w:val="cs-CZ"/>
              </w:rPr>
              <w:t>zveřejnění v registru</w:t>
            </w:r>
            <w:r w:rsidR="00926B83" w:rsidRPr="006E4B92">
              <w:rPr>
                <w:lang w:val="cs-CZ"/>
              </w:rPr>
              <w:t xml:space="preserve"> </w:t>
            </w:r>
            <w:r w:rsidRPr="006E4B92">
              <w:rPr>
                <w:lang w:val="cs-CZ"/>
              </w:rPr>
              <w:t>smluv. Smluvní</w:t>
            </w:r>
            <w:r w:rsidR="00926B83" w:rsidRPr="006E4B92">
              <w:rPr>
                <w:lang w:val="cs-CZ"/>
              </w:rPr>
              <w:t xml:space="preserve"> </w:t>
            </w:r>
            <w:r w:rsidRPr="006E4B92">
              <w:rPr>
                <w:lang w:val="cs-CZ"/>
              </w:rPr>
              <w:t>strany</w:t>
            </w:r>
            <w:r w:rsidR="00926B83" w:rsidRPr="006E4B92">
              <w:rPr>
                <w:lang w:val="cs-CZ"/>
              </w:rPr>
              <w:t xml:space="preserve"> </w:t>
            </w:r>
            <w:r w:rsidRPr="006E4B92">
              <w:rPr>
                <w:lang w:val="cs-CZ"/>
              </w:rPr>
              <w:t>výslovně</w:t>
            </w:r>
            <w:r w:rsidR="00926B83" w:rsidRPr="006E4B92">
              <w:rPr>
                <w:lang w:val="cs-CZ"/>
              </w:rPr>
              <w:t xml:space="preserve"> </w:t>
            </w:r>
            <w:r w:rsidRPr="006E4B92">
              <w:rPr>
                <w:lang w:val="cs-CZ"/>
              </w:rPr>
              <w:t>sjednávají,</w:t>
            </w:r>
            <w:r w:rsidR="007D2DAA">
              <w:rPr>
                <w:lang w:val="cs-CZ"/>
              </w:rPr>
              <w:t xml:space="preserve"> </w:t>
            </w:r>
            <w:r w:rsidRPr="006E4B92">
              <w:rPr>
                <w:lang w:val="cs-CZ"/>
              </w:rPr>
              <w:t>že</w:t>
            </w:r>
            <w:r w:rsidR="00926B83" w:rsidRPr="006E4B92">
              <w:rPr>
                <w:lang w:val="cs-CZ"/>
              </w:rPr>
              <w:t xml:space="preserve"> </w:t>
            </w:r>
            <w:r w:rsidRPr="006E4B92">
              <w:rPr>
                <w:lang w:val="cs-CZ"/>
              </w:rPr>
              <w:t>podléhá-li tento</w:t>
            </w:r>
            <w:r w:rsidR="00926B83" w:rsidRPr="006E4B92">
              <w:rPr>
                <w:lang w:val="cs-CZ"/>
              </w:rPr>
              <w:t xml:space="preserve"> D</w:t>
            </w:r>
            <w:r w:rsidRPr="006E4B92">
              <w:rPr>
                <w:lang w:val="cs-CZ"/>
              </w:rPr>
              <w:t>odatek</w:t>
            </w:r>
            <w:r w:rsidR="00926B83" w:rsidRPr="006E4B92">
              <w:rPr>
                <w:lang w:val="cs-CZ"/>
              </w:rPr>
              <w:t xml:space="preserve"> </w:t>
            </w:r>
            <w:r w:rsidRPr="006E4B92">
              <w:rPr>
                <w:lang w:val="cs-CZ"/>
              </w:rPr>
              <w:t>uveřejnění v registru</w:t>
            </w:r>
            <w:r w:rsidR="00926B83" w:rsidRPr="006E4B92">
              <w:rPr>
                <w:lang w:val="cs-CZ"/>
              </w:rPr>
              <w:t xml:space="preserve"> </w:t>
            </w:r>
            <w:r w:rsidRPr="006E4B92">
              <w:rPr>
                <w:lang w:val="cs-CZ"/>
              </w:rPr>
              <w:t>smluv</w:t>
            </w:r>
            <w:r w:rsidR="00926B83" w:rsidRPr="006E4B92">
              <w:rPr>
                <w:lang w:val="cs-CZ"/>
              </w:rPr>
              <w:t xml:space="preserve"> </w:t>
            </w:r>
            <w:r w:rsidRPr="006E4B92">
              <w:rPr>
                <w:lang w:val="cs-CZ"/>
              </w:rPr>
              <w:t>dle</w:t>
            </w:r>
            <w:r w:rsidR="00926B83" w:rsidRPr="006E4B92">
              <w:rPr>
                <w:lang w:val="cs-CZ"/>
              </w:rPr>
              <w:t xml:space="preserve"> </w:t>
            </w:r>
            <w:r w:rsidRPr="006E4B92">
              <w:rPr>
                <w:lang w:val="cs-CZ"/>
              </w:rPr>
              <w:t>zákona č. 340/2015 Sb., o zvláštních</w:t>
            </w:r>
            <w:r w:rsidR="00926B83" w:rsidRPr="006E4B92">
              <w:rPr>
                <w:lang w:val="cs-CZ"/>
              </w:rPr>
              <w:t xml:space="preserve"> </w:t>
            </w:r>
            <w:r w:rsidRPr="006E4B92">
              <w:rPr>
                <w:lang w:val="cs-CZ"/>
              </w:rPr>
              <w:t>podmínkách</w:t>
            </w:r>
            <w:r w:rsidR="00926B83" w:rsidRPr="006E4B92">
              <w:rPr>
                <w:lang w:val="cs-CZ"/>
              </w:rPr>
              <w:t xml:space="preserve"> </w:t>
            </w:r>
            <w:r w:rsidRPr="006E4B92">
              <w:rPr>
                <w:lang w:val="cs-CZ"/>
              </w:rPr>
              <w:t>účinnosti</w:t>
            </w:r>
            <w:r w:rsidR="00926B83" w:rsidRPr="006E4B92">
              <w:rPr>
                <w:lang w:val="cs-CZ"/>
              </w:rPr>
              <w:t xml:space="preserve"> </w:t>
            </w:r>
            <w:r w:rsidRPr="006E4B92">
              <w:rPr>
                <w:lang w:val="cs-CZ"/>
              </w:rPr>
              <w:t>některých</w:t>
            </w:r>
            <w:r w:rsidR="00926B83" w:rsidRPr="006E4B92">
              <w:rPr>
                <w:lang w:val="cs-CZ"/>
              </w:rPr>
              <w:t xml:space="preserve"> </w:t>
            </w:r>
            <w:r w:rsidRPr="006E4B92">
              <w:rPr>
                <w:lang w:val="cs-CZ"/>
              </w:rPr>
              <w:t>smluv, uveřejňování</w:t>
            </w:r>
            <w:r w:rsidR="00926B83" w:rsidRPr="006E4B92">
              <w:rPr>
                <w:lang w:val="cs-CZ"/>
              </w:rPr>
              <w:t xml:space="preserve"> </w:t>
            </w:r>
            <w:r w:rsidRPr="006E4B92">
              <w:rPr>
                <w:lang w:val="cs-CZ"/>
              </w:rPr>
              <w:t>těchto</w:t>
            </w:r>
            <w:r w:rsidR="00926B83" w:rsidRPr="006E4B92">
              <w:rPr>
                <w:lang w:val="cs-CZ"/>
              </w:rPr>
              <w:t xml:space="preserve"> </w:t>
            </w:r>
            <w:r w:rsidRPr="006E4B92">
              <w:rPr>
                <w:lang w:val="cs-CZ"/>
              </w:rPr>
              <w:t>smluv a o registru</w:t>
            </w:r>
            <w:r w:rsidR="00926B83" w:rsidRPr="006E4B92">
              <w:rPr>
                <w:lang w:val="cs-CZ"/>
              </w:rPr>
              <w:t xml:space="preserve"> </w:t>
            </w:r>
            <w:r w:rsidRPr="006E4B92">
              <w:rPr>
                <w:lang w:val="cs-CZ"/>
              </w:rPr>
              <w:t>smluv (zákon o registru</w:t>
            </w:r>
            <w:r w:rsidR="008235D4" w:rsidRPr="006E4B92">
              <w:rPr>
                <w:lang w:val="cs-CZ"/>
              </w:rPr>
              <w:t xml:space="preserve"> </w:t>
            </w:r>
            <w:r w:rsidRPr="006E4B92">
              <w:rPr>
                <w:lang w:val="cs-CZ"/>
              </w:rPr>
              <w:t>smluv), v platném</w:t>
            </w:r>
            <w:r w:rsidR="00926B83" w:rsidRPr="006E4B92">
              <w:rPr>
                <w:lang w:val="cs-CZ"/>
              </w:rPr>
              <w:t xml:space="preserve"> </w:t>
            </w:r>
            <w:r w:rsidRPr="006E4B92">
              <w:rPr>
                <w:lang w:val="cs-CZ"/>
              </w:rPr>
              <w:t>znění, je</w:t>
            </w:r>
            <w:r w:rsidR="007D2DAA">
              <w:rPr>
                <w:lang w:val="cs-CZ"/>
              </w:rPr>
              <w:br/>
            </w:r>
            <w:r w:rsidR="00926B83" w:rsidRPr="006E4B92">
              <w:rPr>
                <w:lang w:val="cs-CZ"/>
              </w:rPr>
              <w:t xml:space="preserve">Partner </w:t>
            </w:r>
            <w:r w:rsidRPr="006E4B92">
              <w:rPr>
                <w:lang w:val="cs-CZ"/>
              </w:rPr>
              <w:t>povinen</w:t>
            </w:r>
            <w:r w:rsidR="00926B83" w:rsidRPr="006E4B92">
              <w:rPr>
                <w:lang w:val="cs-CZ"/>
              </w:rPr>
              <w:t xml:space="preserve"> </w:t>
            </w:r>
            <w:r w:rsidRPr="006E4B92">
              <w:rPr>
                <w:lang w:val="cs-CZ"/>
              </w:rPr>
              <w:t>zajistit</w:t>
            </w:r>
            <w:r w:rsidR="00926B83" w:rsidRPr="006E4B92">
              <w:rPr>
                <w:lang w:val="cs-CZ"/>
              </w:rPr>
              <w:t xml:space="preserve"> </w:t>
            </w:r>
            <w:r w:rsidRPr="006E4B92">
              <w:rPr>
                <w:lang w:val="cs-CZ"/>
              </w:rPr>
              <w:t>uveřejnění</w:t>
            </w:r>
            <w:r w:rsidR="00926B83" w:rsidRPr="006E4B92">
              <w:rPr>
                <w:lang w:val="cs-CZ"/>
              </w:rPr>
              <w:t xml:space="preserve"> </w:t>
            </w:r>
            <w:r w:rsidRPr="006E4B92">
              <w:rPr>
                <w:lang w:val="cs-CZ"/>
              </w:rPr>
              <w:t>tohoto</w:t>
            </w:r>
            <w:r w:rsidR="00926B83" w:rsidRPr="006E4B92">
              <w:rPr>
                <w:lang w:val="cs-CZ"/>
              </w:rPr>
              <w:t xml:space="preserve"> D</w:t>
            </w:r>
            <w:r w:rsidRPr="006E4B92">
              <w:rPr>
                <w:lang w:val="cs-CZ"/>
              </w:rPr>
              <w:t>odatku, , přičemž</w:t>
            </w:r>
            <w:r w:rsidR="00926B83" w:rsidRPr="006E4B92">
              <w:rPr>
                <w:lang w:val="cs-CZ"/>
              </w:rPr>
              <w:t xml:space="preserve"> </w:t>
            </w:r>
            <w:r w:rsidRPr="006E4B92">
              <w:rPr>
                <w:lang w:val="cs-CZ"/>
              </w:rPr>
              <w:t>odpovídá za to, že k uveřejnění</w:t>
            </w:r>
            <w:r w:rsidR="00926B83" w:rsidRPr="006E4B92">
              <w:rPr>
                <w:lang w:val="cs-CZ"/>
              </w:rPr>
              <w:t xml:space="preserve"> </w:t>
            </w:r>
            <w:r w:rsidRPr="006E4B92">
              <w:rPr>
                <w:lang w:val="cs-CZ"/>
              </w:rPr>
              <w:t>dojde</w:t>
            </w:r>
            <w:r w:rsidR="00926B83" w:rsidRPr="006E4B92">
              <w:rPr>
                <w:lang w:val="cs-CZ"/>
              </w:rPr>
              <w:t xml:space="preserve"> </w:t>
            </w:r>
            <w:r w:rsidRPr="006E4B92">
              <w:rPr>
                <w:lang w:val="cs-CZ"/>
              </w:rPr>
              <w:t>bezodkladně, nejpozději</w:t>
            </w:r>
            <w:r w:rsidR="00926B83" w:rsidRPr="006E4B92">
              <w:rPr>
                <w:lang w:val="cs-CZ"/>
              </w:rPr>
              <w:t xml:space="preserve"> </w:t>
            </w:r>
            <w:r w:rsidRPr="006E4B92">
              <w:rPr>
                <w:lang w:val="cs-CZ"/>
              </w:rPr>
              <w:t>však do 30 dnů, od uzavření</w:t>
            </w:r>
            <w:r w:rsidR="00926B83" w:rsidRPr="006E4B92">
              <w:rPr>
                <w:lang w:val="cs-CZ"/>
              </w:rPr>
              <w:t xml:space="preserve"> </w:t>
            </w:r>
            <w:r w:rsidRPr="006E4B92">
              <w:rPr>
                <w:lang w:val="cs-CZ"/>
              </w:rPr>
              <w:t>tohoto</w:t>
            </w:r>
            <w:r w:rsidR="00926B83" w:rsidRPr="006E4B92">
              <w:rPr>
                <w:lang w:val="cs-CZ"/>
              </w:rPr>
              <w:t xml:space="preserve"> D</w:t>
            </w:r>
            <w:r w:rsidRPr="006E4B92">
              <w:rPr>
                <w:lang w:val="cs-CZ"/>
              </w:rPr>
              <w:t xml:space="preserve">odatku. </w:t>
            </w:r>
            <w:r w:rsidR="008235D4" w:rsidRPr="006E4B92">
              <w:rPr>
                <w:lang w:val="cs-CZ"/>
              </w:rPr>
              <w:t>Za účelem splnění povinnosti zveřejnit Dodatek v registru smluv se Strana podepisující Dodatek jako druhá v pořadí zavazuje předložit druhé Straně Dodatek s podpisem osoby oprávněné zastupovat tuto Stranu, a to do tří dnů ode dne podpisu tohoto Dodatku.</w:t>
            </w:r>
          </w:p>
        </w:tc>
      </w:tr>
      <w:tr w:rsidR="00CD4081" w:rsidRPr="006E4B92" w14:paraId="0115F31E" w14:textId="77777777" w:rsidTr="00CD4081">
        <w:tc>
          <w:tcPr>
            <w:tcW w:w="9810" w:type="dxa"/>
          </w:tcPr>
          <w:p w14:paraId="55D8B715" w14:textId="77777777" w:rsidR="00CD4081" w:rsidRPr="006E4B92" w:rsidRDefault="00CD4081" w:rsidP="00CD4081">
            <w:pPr>
              <w:pStyle w:val="AOAltHead2"/>
              <w:spacing w:line="300" w:lineRule="atLeast"/>
              <w:rPr>
                <w:lang w:val="cs-CZ" w:bidi="cs-CZ"/>
              </w:rPr>
            </w:pPr>
            <w:r w:rsidRPr="006E4B92">
              <w:rPr>
                <w:lang w:val="cs-CZ" w:bidi="cs-CZ"/>
              </w:rPr>
              <w:t>Tento Dodatek je uzavírán v české verzi.</w:t>
            </w:r>
          </w:p>
          <w:p w14:paraId="75F4797E" w14:textId="77777777" w:rsidR="000A6247" w:rsidRPr="006E4B92" w:rsidRDefault="000A6247" w:rsidP="000A6247">
            <w:pPr>
              <w:rPr>
                <w:lang w:val="cs-CZ" w:bidi="cs-CZ"/>
              </w:rPr>
            </w:pPr>
          </w:p>
          <w:p w14:paraId="3EE5CF55" w14:textId="77777777" w:rsidR="00123747" w:rsidRPr="006E4B92" w:rsidRDefault="00123747" w:rsidP="000A6247">
            <w:pPr>
              <w:jc w:val="both"/>
              <w:rPr>
                <w:lang w:val="cs-CZ"/>
              </w:rPr>
            </w:pPr>
          </w:p>
          <w:p w14:paraId="114FD3C3" w14:textId="77777777" w:rsidR="00123747" w:rsidRPr="006E4B92" w:rsidRDefault="00123747" w:rsidP="000A6247">
            <w:pPr>
              <w:jc w:val="both"/>
              <w:rPr>
                <w:lang w:val="cs-CZ"/>
              </w:rPr>
            </w:pPr>
          </w:p>
          <w:p w14:paraId="3E7B9830" w14:textId="466FD363" w:rsidR="00C54531" w:rsidRPr="006E4B92" w:rsidRDefault="000A6247" w:rsidP="00C54531">
            <w:pPr>
              <w:jc w:val="both"/>
              <w:rPr>
                <w:lang w:val="cs-CZ"/>
              </w:rPr>
            </w:pPr>
            <w:r w:rsidRPr="006E4B92">
              <w:rPr>
                <w:lang w:val="cs-CZ"/>
              </w:rPr>
              <w:t>V</w:t>
            </w:r>
            <w:r w:rsidR="00072C9C">
              <w:rPr>
                <w:lang w:val="cs-CZ"/>
              </w:rPr>
              <w:t xml:space="preserve"> Hustopečích </w:t>
            </w:r>
            <w:r w:rsidR="00C54531" w:rsidRPr="006E4B92">
              <w:rPr>
                <w:lang w:val="cs-CZ"/>
              </w:rPr>
              <w:t>dne</w:t>
            </w:r>
            <w:r w:rsidR="00072C9C">
              <w:rPr>
                <w:lang w:val="cs-CZ"/>
              </w:rPr>
              <w:t xml:space="preserve"> 21.10.2022</w:t>
            </w:r>
            <w:r w:rsidR="00926B83" w:rsidRPr="006E4B92">
              <w:rPr>
                <w:lang w:val="cs-CZ"/>
              </w:rPr>
              <w:t xml:space="preserve">                            </w:t>
            </w:r>
            <w:r w:rsidR="00072C9C">
              <w:rPr>
                <w:lang w:val="cs-CZ"/>
              </w:rPr>
              <w:t xml:space="preserve">         </w:t>
            </w:r>
            <w:r w:rsidR="00C54531" w:rsidRPr="006E4B92">
              <w:rPr>
                <w:lang w:val="cs-CZ"/>
              </w:rPr>
              <w:t>V</w:t>
            </w:r>
            <w:r w:rsidR="00072C9C">
              <w:rPr>
                <w:lang w:val="cs-CZ"/>
              </w:rPr>
              <w:t> </w:t>
            </w:r>
            <w:proofErr w:type="spellStart"/>
            <w:r w:rsidR="00072C9C">
              <w:rPr>
                <w:lang w:val="cs-CZ"/>
              </w:rPr>
              <w:t>Chvalkově</w:t>
            </w:r>
            <w:proofErr w:type="spellEnd"/>
            <w:r w:rsidR="00072C9C">
              <w:rPr>
                <w:lang w:val="cs-CZ"/>
              </w:rPr>
              <w:t xml:space="preserve"> </w:t>
            </w:r>
            <w:r w:rsidR="00C54531" w:rsidRPr="006E4B92">
              <w:rPr>
                <w:lang w:val="cs-CZ"/>
              </w:rPr>
              <w:t>dne</w:t>
            </w:r>
            <w:r w:rsidR="00072C9C">
              <w:rPr>
                <w:lang w:val="cs-CZ"/>
              </w:rPr>
              <w:t xml:space="preserve"> 6.10.2022</w:t>
            </w:r>
          </w:p>
          <w:p w14:paraId="268A33B1" w14:textId="77777777" w:rsidR="000A6247" w:rsidRPr="006E4B92" w:rsidRDefault="000A6247" w:rsidP="000A6247">
            <w:pPr>
              <w:jc w:val="both"/>
              <w:rPr>
                <w:lang w:val="cs-CZ"/>
              </w:rPr>
            </w:pPr>
          </w:p>
          <w:p w14:paraId="1EEDE75E" w14:textId="77777777" w:rsidR="000A6247" w:rsidRPr="006E4B92" w:rsidRDefault="000A6247" w:rsidP="000A6247">
            <w:pPr>
              <w:pStyle w:val="AONormal"/>
              <w:rPr>
                <w:lang w:val="cs-CZ"/>
              </w:rPr>
            </w:pPr>
          </w:p>
          <w:p w14:paraId="27D1C15D" w14:textId="77777777" w:rsidR="000A6247" w:rsidRPr="006E4B92" w:rsidRDefault="000A6247" w:rsidP="000A6247">
            <w:pPr>
              <w:jc w:val="both"/>
              <w:rPr>
                <w:lang w:val="cs-CZ"/>
              </w:rPr>
            </w:pPr>
          </w:p>
          <w:p w14:paraId="34F3D9D0" w14:textId="207641DC" w:rsidR="00123747" w:rsidRPr="006E4B92" w:rsidRDefault="000A6247" w:rsidP="00123747">
            <w:pPr>
              <w:jc w:val="both"/>
              <w:rPr>
                <w:lang w:val="cs-CZ"/>
              </w:rPr>
            </w:pPr>
            <w:proofErr w:type="spellStart"/>
            <w:r w:rsidRPr="006E4B92">
              <w:rPr>
                <w:b/>
                <w:lang w:val="cs-CZ"/>
              </w:rPr>
              <w:t>Flaga</w:t>
            </w:r>
            <w:proofErr w:type="spellEnd"/>
            <w:r w:rsidRPr="006E4B92">
              <w:rPr>
                <w:b/>
                <w:lang w:val="cs-CZ"/>
              </w:rPr>
              <w:t xml:space="preserve">, s.r.o. </w:t>
            </w:r>
            <w:r w:rsidR="00FA7A0B">
              <w:rPr>
                <w:lang w:val="cs-CZ"/>
              </w:rPr>
              <w:t xml:space="preserve">         </w:t>
            </w:r>
            <w:r w:rsidR="00926B83" w:rsidRPr="006E4B92">
              <w:rPr>
                <w:lang w:val="cs-CZ"/>
              </w:rPr>
              <w:t xml:space="preserve">                                                          Domov pro seniory Chvalkov</w:t>
            </w:r>
          </w:p>
          <w:p w14:paraId="09F7CFEA" w14:textId="77777777" w:rsidR="000A6247" w:rsidRPr="006E4B92" w:rsidRDefault="000A6247" w:rsidP="000A6247">
            <w:pPr>
              <w:jc w:val="both"/>
              <w:rPr>
                <w:lang w:val="cs-CZ"/>
              </w:rPr>
            </w:pPr>
          </w:p>
          <w:p w14:paraId="02F00533" w14:textId="77777777" w:rsidR="00123747" w:rsidRPr="006E4B92" w:rsidRDefault="000A6247" w:rsidP="00123747">
            <w:pPr>
              <w:rPr>
                <w:lang w:val="cs-CZ"/>
              </w:rPr>
            </w:pPr>
            <w:r w:rsidRPr="006E4B92">
              <w:rPr>
                <w:lang w:val="cs-CZ"/>
              </w:rPr>
              <w:t xml:space="preserve">Podpis / </w:t>
            </w:r>
            <w:proofErr w:type="spellStart"/>
            <w:r w:rsidRPr="006E4B92">
              <w:rPr>
                <w:i/>
                <w:lang w:val="cs-CZ"/>
              </w:rPr>
              <w:t>Signature</w:t>
            </w:r>
            <w:proofErr w:type="spellEnd"/>
            <w:r w:rsidRPr="006E4B92">
              <w:rPr>
                <w:lang w:val="cs-CZ"/>
              </w:rPr>
              <w:t xml:space="preserve">: _______________________          </w:t>
            </w:r>
            <w:r w:rsidR="00123747" w:rsidRPr="006E4B92">
              <w:rPr>
                <w:lang w:val="cs-CZ"/>
              </w:rPr>
              <w:t xml:space="preserve">Podpis / </w:t>
            </w:r>
            <w:proofErr w:type="spellStart"/>
            <w:r w:rsidR="00123747" w:rsidRPr="006E4B92">
              <w:rPr>
                <w:i/>
                <w:lang w:val="cs-CZ"/>
              </w:rPr>
              <w:t>Signature</w:t>
            </w:r>
            <w:proofErr w:type="spellEnd"/>
            <w:r w:rsidR="00123747" w:rsidRPr="006E4B92">
              <w:rPr>
                <w:lang w:val="cs-CZ"/>
              </w:rPr>
              <w:t xml:space="preserve">: ___________________________          </w:t>
            </w:r>
          </w:p>
          <w:p w14:paraId="4D042A0D" w14:textId="77777777" w:rsidR="00123747" w:rsidRPr="006E4B92" w:rsidRDefault="00123747" w:rsidP="000A6247">
            <w:pPr>
              <w:rPr>
                <w:lang w:val="cs-CZ"/>
              </w:rPr>
            </w:pPr>
          </w:p>
          <w:p w14:paraId="33CE1B3A" w14:textId="77777777" w:rsidR="000A6247" w:rsidRPr="006E4B92" w:rsidRDefault="000A6247" w:rsidP="000A6247">
            <w:pPr>
              <w:rPr>
                <w:lang w:val="cs-CZ"/>
              </w:rPr>
            </w:pPr>
            <w:proofErr w:type="spellStart"/>
            <w:r w:rsidRPr="006E4B92">
              <w:rPr>
                <w:lang w:val="cs-CZ"/>
              </w:rPr>
              <w:t>Meno</w:t>
            </w:r>
            <w:proofErr w:type="spellEnd"/>
            <w:r w:rsidRPr="006E4B92">
              <w:rPr>
                <w:lang w:val="cs-CZ"/>
              </w:rPr>
              <w:t xml:space="preserve"> / </w:t>
            </w:r>
            <w:r w:rsidRPr="006E4B92">
              <w:rPr>
                <w:i/>
                <w:lang w:val="cs-CZ"/>
              </w:rPr>
              <w:t>Name</w:t>
            </w:r>
            <w:r w:rsidRPr="006E4B92">
              <w:rPr>
                <w:lang w:val="cs-CZ"/>
              </w:rPr>
              <w:t>:</w:t>
            </w:r>
            <w:r w:rsidR="00926B83" w:rsidRPr="006E4B92">
              <w:rPr>
                <w:lang w:val="cs-CZ"/>
              </w:rPr>
              <w:t xml:space="preserve">                                                                 </w:t>
            </w:r>
            <w:proofErr w:type="spellStart"/>
            <w:r w:rsidR="00123747" w:rsidRPr="006E4B92">
              <w:rPr>
                <w:lang w:val="cs-CZ"/>
              </w:rPr>
              <w:t>Meno</w:t>
            </w:r>
            <w:proofErr w:type="spellEnd"/>
            <w:r w:rsidR="00123747" w:rsidRPr="006E4B92">
              <w:rPr>
                <w:lang w:val="cs-CZ"/>
              </w:rPr>
              <w:t xml:space="preserve"> / </w:t>
            </w:r>
            <w:r w:rsidR="00123747" w:rsidRPr="006E4B92">
              <w:rPr>
                <w:i/>
                <w:lang w:val="cs-CZ"/>
              </w:rPr>
              <w:t>Name</w:t>
            </w:r>
            <w:r w:rsidR="00123747" w:rsidRPr="006E4B92">
              <w:rPr>
                <w:lang w:val="cs-CZ"/>
              </w:rPr>
              <w:t>:</w:t>
            </w:r>
            <w:r w:rsidR="00926B83" w:rsidRPr="006E4B92">
              <w:rPr>
                <w:lang w:val="cs-CZ"/>
              </w:rPr>
              <w:t xml:space="preserve">                                   </w:t>
            </w:r>
            <w:r w:rsidRPr="006E4B92">
              <w:rPr>
                <w:lang w:val="cs-CZ"/>
              </w:rPr>
              <w:br/>
            </w:r>
            <w:proofErr w:type="spellStart"/>
            <w:r w:rsidRPr="006E4B92">
              <w:rPr>
                <w:lang w:val="cs-CZ"/>
              </w:rPr>
              <w:t>Funkcia</w:t>
            </w:r>
            <w:proofErr w:type="spellEnd"/>
            <w:r w:rsidRPr="006E4B92">
              <w:rPr>
                <w:lang w:val="cs-CZ"/>
              </w:rPr>
              <w:t xml:space="preserve"> / </w:t>
            </w:r>
            <w:proofErr w:type="spellStart"/>
            <w:r w:rsidRPr="006E4B92">
              <w:rPr>
                <w:i/>
                <w:lang w:val="cs-CZ"/>
              </w:rPr>
              <w:t>Position</w:t>
            </w:r>
            <w:proofErr w:type="spellEnd"/>
            <w:r w:rsidRPr="006E4B92">
              <w:rPr>
                <w:lang w:val="cs-CZ"/>
              </w:rPr>
              <w:t>:</w:t>
            </w:r>
            <w:r w:rsidR="00926B83" w:rsidRPr="006E4B92">
              <w:rPr>
                <w:lang w:val="cs-CZ"/>
              </w:rPr>
              <w:t xml:space="preserve">                                                         </w:t>
            </w:r>
            <w:proofErr w:type="spellStart"/>
            <w:r w:rsidR="00123747" w:rsidRPr="006E4B92">
              <w:rPr>
                <w:lang w:val="cs-CZ"/>
              </w:rPr>
              <w:t>Funkcia</w:t>
            </w:r>
            <w:proofErr w:type="spellEnd"/>
            <w:r w:rsidR="00123747" w:rsidRPr="006E4B92">
              <w:rPr>
                <w:lang w:val="cs-CZ"/>
              </w:rPr>
              <w:t xml:space="preserve"> / </w:t>
            </w:r>
            <w:proofErr w:type="spellStart"/>
            <w:r w:rsidR="00123747" w:rsidRPr="006E4B92">
              <w:rPr>
                <w:i/>
                <w:lang w:val="cs-CZ"/>
              </w:rPr>
              <w:t>Position</w:t>
            </w:r>
            <w:proofErr w:type="spellEnd"/>
            <w:r w:rsidR="00123747" w:rsidRPr="006E4B92">
              <w:rPr>
                <w:lang w:val="cs-CZ"/>
              </w:rPr>
              <w:t>:</w:t>
            </w:r>
          </w:p>
          <w:p w14:paraId="04F75D23" w14:textId="77777777" w:rsidR="000A6247" w:rsidRPr="006E4B92" w:rsidRDefault="000A6247" w:rsidP="000A6247">
            <w:pPr>
              <w:jc w:val="both"/>
              <w:rPr>
                <w:lang w:val="cs-CZ"/>
              </w:rPr>
            </w:pPr>
          </w:p>
          <w:p w14:paraId="20BCABC2" w14:textId="77777777" w:rsidR="000A6247" w:rsidRPr="006E4B92" w:rsidRDefault="000A6247" w:rsidP="006876D9">
            <w:pPr>
              <w:jc w:val="both"/>
              <w:rPr>
                <w:lang w:val="cs-CZ" w:bidi="cs-CZ"/>
              </w:rPr>
            </w:pPr>
          </w:p>
        </w:tc>
      </w:tr>
      <w:tr w:rsidR="00C54531" w:rsidRPr="006E4B92" w14:paraId="5A15A1CA" w14:textId="77777777" w:rsidTr="00CD4081">
        <w:tc>
          <w:tcPr>
            <w:tcW w:w="9810" w:type="dxa"/>
          </w:tcPr>
          <w:p w14:paraId="421C7DDF" w14:textId="77777777" w:rsidR="00C54531" w:rsidRPr="006E4B92" w:rsidRDefault="00C54531" w:rsidP="00C54531">
            <w:pPr>
              <w:pStyle w:val="AOAltHead2"/>
              <w:numPr>
                <w:ilvl w:val="0"/>
                <w:numId w:val="0"/>
              </w:numPr>
              <w:spacing w:line="300" w:lineRule="atLeast"/>
              <w:rPr>
                <w:lang w:val="cs-CZ" w:bidi="cs-CZ"/>
              </w:rPr>
            </w:pPr>
          </w:p>
        </w:tc>
      </w:tr>
    </w:tbl>
    <w:p w14:paraId="0AEC9628" w14:textId="77777777" w:rsidR="00B84660" w:rsidRPr="006E4B92" w:rsidRDefault="00B84660" w:rsidP="006876D9">
      <w:pPr>
        <w:rPr>
          <w:lang w:val="cs-CZ"/>
        </w:rPr>
      </w:pPr>
    </w:p>
    <w:sectPr w:rsidR="00B84660" w:rsidRPr="006E4B92" w:rsidSect="00CD4081">
      <w:pgSz w:w="12240" w:h="15840"/>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B238E7"/>
    <w:multiLevelType w:val="multilevel"/>
    <w:tmpl w:val="ACA01FC8"/>
    <w:name w:val="AOGen3"/>
    <w:lvl w:ilvl="0">
      <w:start w:val="1"/>
      <w:numFmt w:val="decimal"/>
      <w:pStyle w:val="AOGenNum3"/>
      <w:lvlText w:val="%1."/>
      <w:lvlJc w:val="left"/>
      <w:pPr>
        <w:tabs>
          <w:tab w:val="num" w:pos="720"/>
        </w:tabs>
        <w:ind w:left="720" w:hanging="720"/>
      </w:pPr>
      <w:rPr>
        <w:b/>
      </w:rPr>
    </w:lvl>
    <w:lvl w:ilvl="1">
      <w:start w:val="1"/>
      <w:numFmt w:val="decimal"/>
      <w:pStyle w:val="AOGenNum3List"/>
      <w:lvlText w:val="%1.%2"/>
      <w:lvlJc w:val="left"/>
      <w:pPr>
        <w:tabs>
          <w:tab w:val="num" w:pos="720"/>
        </w:tabs>
        <w:ind w:left="720" w:hanging="720"/>
      </w:pPr>
      <w:rPr>
        <w:b w:val="0"/>
      </w:r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 w15:restartNumberingAfterBreak="0">
    <w:nsid w:val="4CFE7B09"/>
    <w:multiLevelType w:val="multilevel"/>
    <w:tmpl w:val="11F8C8CE"/>
    <w:lvl w:ilvl="0">
      <w:start w:val="1"/>
      <w:numFmt w:val="decimal"/>
      <w:pStyle w:val="AO1"/>
      <w:lvlText w:val="(%1)"/>
      <w:lvlJc w:val="left"/>
      <w:pPr>
        <w:tabs>
          <w:tab w:val="num" w:pos="720"/>
        </w:tabs>
        <w:ind w:left="720" w:hanging="720"/>
      </w:pPr>
      <w:rPr>
        <w:rFonts w:hint="default"/>
      </w:rPr>
    </w:lvl>
    <w:lvl w:ilvl="1">
      <w:start w:val="1"/>
      <w:numFmt w:val="none"/>
      <w:suff w:val="nothing"/>
      <w:lvlText w:val=""/>
      <w:lvlJc w:val="left"/>
      <w:pPr>
        <w:ind w:left="0" w:firstLine="0"/>
      </w:pPr>
      <w:rPr>
        <w:rFonts w:hint="default"/>
      </w:rPr>
    </w:lvl>
    <w:lvl w:ilvl="2">
      <w:start w:val="1"/>
      <w:numFmt w:val="none"/>
      <w:lvlRestart w:val="1"/>
      <w:suff w:val="nothing"/>
      <w:lvlText w:val=""/>
      <w:lvlJc w:val="left"/>
      <w:pPr>
        <w:ind w:left="0" w:firstLine="0"/>
      </w:pPr>
      <w:rPr>
        <w:rFonts w:hint="default"/>
      </w:rPr>
    </w:lvl>
    <w:lvl w:ilvl="3">
      <w:start w:val="1"/>
      <w:numFmt w:val="none"/>
      <w:lvlRestart w:val="1"/>
      <w:suff w:val="nothing"/>
      <w:lvlText w:val=""/>
      <w:lvlJc w:val="left"/>
      <w:pPr>
        <w:ind w:left="0" w:firstLine="0"/>
      </w:pPr>
      <w:rPr>
        <w:rFonts w:hint="default"/>
      </w:rPr>
    </w:lvl>
    <w:lvl w:ilvl="4">
      <w:start w:val="1"/>
      <w:numFmt w:val="none"/>
      <w:lvlRestart w:val="1"/>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none"/>
      <w:lvlRestart w:val="1"/>
      <w:suff w:val="nothing"/>
      <w:lvlText w:val=""/>
      <w:lvlJc w:val="left"/>
      <w:pPr>
        <w:ind w:left="0" w:firstLine="0"/>
      </w:pPr>
      <w:rPr>
        <w:rFonts w:hint="default"/>
      </w:rPr>
    </w:lvl>
  </w:abstractNum>
  <w:abstractNum w:abstractNumId="2" w15:restartNumberingAfterBreak="0">
    <w:nsid w:val="4E4B4E3E"/>
    <w:multiLevelType w:val="multilevel"/>
    <w:tmpl w:val="60AE67F4"/>
    <w:name w:val="AOHeadX"/>
    <w:styleLink w:val="CMS-ANRecitals1"/>
    <w:lvl w:ilvl="0">
      <w:start w:val="1"/>
      <w:numFmt w:val="decimal"/>
      <w:pStyle w:val="AOHead1"/>
      <w:lvlText w:val="%1."/>
      <w:lvlJc w:val="left"/>
      <w:pPr>
        <w:tabs>
          <w:tab w:val="num" w:pos="720"/>
        </w:tabs>
        <w:ind w:left="720" w:hanging="720"/>
      </w:pPr>
      <w:rPr>
        <w:rFonts w:hint="default"/>
        <w:b/>
      </w:rPr>
    </w:lvl>
    <w:lvl w:ilvl="1">
      <w:start w:val="1"/>
      <w:numFmt w:val="decimal"/>
      <w:pStyle w:val="AOHead2"/>
      <w:lvlText w:val="%1.%2"/>
      <w:lvlJc w:val="left"/>
      <w:pPr>
        <w:tabs>
          <w:tab w:val="num" w:pos="720"/>
        </w:tabs>
        <w:ind w:left="720" w:hanging="720"/>
      </w:pPr>
      <w:rPr>
        <w:rFonts w:hint="default"/>
        <w:b w:val="0"/>
      </w:rPr>
    </w:lvl>
    <w:lvl w:ilvl="2">
      <w:start w:val="1"/>
      <w:numFmt w:val="lowerLetter"/>
      <w:pStyle w:val="AOHead3"/>
      <w:lvlText w:val="(%3)"/>
      <w:lvlJc w:val="left"/>
      <w:pPr>
        <w:tabs>
          <w:tab w:val="num" w:pos="1440"/>
        </w:tabs>
        <w:ind w:left="1440" w:hanging="720"/>
      </w:pPr>
      <w:rPr>
        <w:rFonts w:hint="default"/>
      </w:rPr>
    </w:lvl>
    <w:lvl w:ilvl="3">
      <w:start w:val="1"/>
      <w:numFmt w:val="lowerRoman"/>
      <w:pStyle w:val="AOHead4"/>
      <w:lvlText w:val="(%4)"/>
      <w:lvlJc w:val="left"/>
      <w:pPr>
        <w:tabs>
          <w:tab w:val="num" w:pos="2160"/>
        </w:tabs>
        <w:ind w:left="2160" w:hanging="720"/>
      </w:pPr>
      <w:rPr>
        <w:rFonts w:hint="default"/>
      </w:rPr>
    </w:lvl>
    <w:lvl w:ilvl="4">
      <w:start w:val="1"/>
      <w:numFmt w:val="upperLetter"/>
      <w:pStyle w:val="AOHead5"/>
      <w:lvlText w:val="(%5)"/>
      <w:lvlJc w:val="left"/>
      <w:pPr>
        <w:tabs>
          <w:tab w:val="num" w:pos="2880"/>
        </w:tabs>
        <w:ind w:left="2880" w:hanging="720"/>
      </w:pPr>
      <w:rPr>
        <w:rFonts w:hint="default"/>
        <w:b w:val="0"/>
      </w:rPr>
    </w:lvl>
    <w:lvl w:ilvl="5">
      <w:start w:val="1"/>
      <w:numFmt w:val="upperRoman"/>
      <w:pStyle w:val="AOHead6"/>
      <w:lvlText w:val="%6."/>
      <w:lvlJc w:val="left"/>
      <w:pPr>
        <w:tabs>
          <w:tab w:val="num" w:pos="3600"/>
        </w:tabs>
        <w:ind w:left="3600" w:hanging="72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 w15:restartNumberingAfterBreak="0">
    <w:nsid w:val="62830D10"/>
    <w:multiLevelType w:val="multilevel"/>
    <w:tmpl w:val="0740A610"/>
    <w:name w:val="AOA"/>
    <w:lvl w:ilvl="0">
      <w:start w:val="1"/>
      <w:numFmt w:val="upperLetter"/>
      <w:pStyle w:val="AOA"/>
      <w:lvlText w:val="(%1)"/>
      <w:lvlJc w:val="left"/>
      <w:pPr>
        <w:ind w:left="862" w:hanging="720"/>
      </w:pPr>
      <w:rPr>
        <w:b w:val="0"/>
      </w:r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num w:numId="1" w16cid:durableId="825821600">
    <w:abstractNumId w:val="2"/>
    <w:lvlOverride w:ilvl="0">
      <w:lvl w:ilvl="0">
        <w:start w:val="1"/>
        <w:numFmt w:val="decimal"/>
        <w:pStyle w:val="AOHead1"/>
        <w:lvlText w:val="%1."/>
        <w:lvlJc w:val="left"/>
        <w:pPr>
          <w:tabs>
            <w:tab w:val="num" w:pos="720"/>
          </w:tabs>
          <w:ind w:left="720" w:hanging="720"/>
        </w:pPr>
        <w:rPr>
          <w:rFonts w:hint="default"/>
          <w:b/>
        </w:rPr>
      </w:lvl>
    </w:lvlOverride>
    <w:lvlOverride w:ilvl="1">
      <w:lvl w:ilvl="1">
        <w:start w:val="1"/>
        <w:numFmt w:val="decimal"/>
        <w:pStyle w:val="AOHead2"/>
        <w:lvlText w:val="%1.%2"/>
        <w:lvlJc w:val="left"/>
        <w:pPr>
          <w:tabs>
            <w:tab w:val="num" w:pos="720"/>
          </w:tabs>
          <w:ind w:left="720" w:hanging="720"/>
        </w:pPr>
        <w:rPr>
          <w:rFonts w:hint="default"/>
          <w:b w:val="0"/>
        </w:rPr>
      </w:lvl>
    </w:lvlOverride>
    <w:lvlOverride w:ilvl="2">
      <w:lvl w:ilvl="2">
        <w:start w:val="1"/>
        <w:numFmt w:val="lowerLetter"/>
        <w:pStyle w:val="AOHead3"/>
        <w:lvlText w:val="(%3)"/>
        <w:lvlJc w:val="left"/>
        <w:pPr>
          <w:tabs>
            <w:tab w:val="num" w:pos="1440"/>
          </w:tabs>
          <w:ind w:left="1440" w:hanging="720"/>
        </w:pPr>
        <w:rPr>
          <w:rFonts w:hint="default"/>
        </w:rPr>
      </w:lvl>
    </w:lvlOverride>
    <w:lvlOverride w:ilvl="3">
      <w:lvl w:ilvl="3">
        <w:start w:val="1"/>
        <w:numFmt w:val="lowerRoman"/>
        <w:pStyle w:val="AOHead4"/>
        <w:lvlText w:val="(%4)"/>
        <w:lvlJc w:val="left"/>
        <w:pPr>
          <w:tabs>
            <w:tab w:val="num" w:pos="2160"/>
          </w:tabs>
          <w:ind w:left="2160" w:hanging="720"/>
        </w:pPr>
        <w:rPr>
          <w:rFonts w:hint="default"/>
        </w:rPr>
      </w:lvl>
    </w:lvlOverride>
    <w:lvlOverride w:ilvl="4">
      <w:lvl w:ilvl="4">
        <w:start w:val="1"/>
        <w:numFmt w:val="upperLetter"/>
        <w:pStyle w:val="AOHead5"/>
        <w:lvlText w:val="(%5)"/>
        <w:lvlJc w:val="left"/>
        <w:pPr>
          <w:tabs>
            <w:tab w:val="num" w:pos="2880"/>
          </w:tabs>
          <w:ind w:left="2880" w:hanging="720"/>
        </w:pPr>
        <w:rPr>
          <w:rFonts w:hint="default"/>
          <w:b w:val="0"/>
        </w:rPr>
      </w:lvl>
    </w:lvlOverride>
    <w:lvlOverride w:ilvl="5">
      <w:lvl w:ilvl="5">
        <w:start w:val="1"/>
        <w:numFmt w:val="upperRoman"/>
        <w:pStyle w:val="AOHead6"/>
        <w:lvlText w:val="%6."/>
        <w:lvlJc w:val="left"/>
        <w:pPr>
          <w:tabs>
            <w:tab w:val="num" w:pos="3600"/>
          </w:tabs>
          <w:ind w:left="3600" w:hanging="720"/>
        </w:pPr>
        <w:rPr>
          <w:rFonts w:hint="default"/>
        </w:rPr>
      </w:lvl>
    </w:lvlOverride>
    <w:lvlOverride w:ilvl="6">
      <w:lvl w:ilvl="6">
        <w:start w:val="1"/>
        <w:numFmt w:val="none"/>
        <w:lvlText w:val=""/>
        <w:lvlJc w:val="left"/>
        <w:pPr>
          <w:tabs>
            <w:tab w:val="num" w:pos="0"/>
          </w:tabs>
          <w:ind w:left="0" w:firstLine="0"/>
        </w:pPr>
        <w:rPr>
          <w:rFonts w:hint="default"/>
        </w:rPr>
      </w:lvl>
    </w:lvlOverride>
    <w:lvlOverride w:ilvl="7">
      <w:lvl w:ilvl="7">
        <w:start w:val="1"/>
        <w:numFmt w:val="none"/>
        <w:lvlText w:val=""/>
        <w:lvlJc w:val="left"/>
        <w:pPr>
          <w:tabs>
            <w:tab w:val="num" w:pos="0"/>
          </w:tabs>
          <w:ind w:left="0" w:firstLine="0"/>
        </w:pPr>
        <w:rPr>
          <w:rFonts w:hint="default"/>
        </w:rPr>
      </w:lvl>
    </w:lvlOverride>
    <w:lvlOverride w:ilvl="8">
      <w:lvl w:ilvl="8">
        <w:start w:val="1"/>
        <w:numFmt w:val="none"/>
        <w:lvlText w:val=""/>
        <w:lvlJc w:val="left"/>
        <w:pPr>
          <w:tabs>
            <w:tab w:val="num" w:pos="0"/>
          </w:tabs>
          <w:ind w:left="0" w:firstLine="0"/>
        </w:pPr>
        <w:rPr>
          <w:rFonts w:hint="default"/>
        </w:rPr>
      </w:lvl>
    </w:lvlOverride>
  </w:num>
  <w:num w:numId="2" w16cid:durableId="673804606">
    <w:abstractNumId w:val="1"/>
  </w:num>
  <w:num w:numId="3" w16cid:durableId="531766270">
    <w:abstractNumId w:val="0"/>
  </w:num>
  <w:num w:numId="4" w16cid:durableId="1446004527">
    <w:abstractNumId w:val="2"/>
  </w:num>
  <w:num w:numId="5" w16cid:durableId="12863555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081"/>
    <w:rsid w:val="00010FC2"/>
    <w:rsid w:val="00072C9C"/>
    <w:rsid w:val="000A6247"/>
    <w:rsid w:val="000B3F7D"/>
    <w:rsid w:val="00123747"/>
    <w:rsid w:val="00155A88"/>
    <w:rsid w:val="001A3D3E"/>
    <w:rsid w:val="001A4E23"/>
    <w:rsid w:val="001B7837"/>
    <w:rsid w:val="00236276"/>
    <w:rsid w:val="00263B35"/>
    <w:rsid w:val="002B297E"/>
    <w:rsid w:val="002B7DFA"/>
    <w:rsid w:val="003011A6"/>
    <w:rsid w:val="00367C1D"/>
    <w:rsid w:val="003720BA"/>
    <w:rsid w:val="003935B4"/>
    <w:rsid w:val="003C2C5C"/>
    <w:rsid w:val="003D44CB"/>
    <w:rsid w:val="004230A5"/>
    <w:rsid w:val="00515CA4"/>
    <w:rsid w:val="00534709"/>
    <w:rsid w:val="00551F8D"/>
    <w:rsid w:val="005D2D5D"/>
    <w:rsid w:val="00617E3B"/>
    <w:rsid w:val="00630C83"/>
    <w:rsid w:val="006876D9"/>
    <w:rsid w:val="006E4B92"/>
    <w:rsid w:val="006E6174"/>
    <w:rsid w:val="006F687E"/>
    <w:rsid w:val="00782AF7"/>
    <w:rsid w:val="007D2DAA"/>
    <w:rsid w:val="00810CB4"/>
    <w:rsid w:val="00823073"/>
    <w:rsid w:val="008235D4"/>
    <w:rsid w:val="008329CE"/>
    <w:rsid w:val="008564C0"/>
    <w:rsid w:val="00871961"/>
    <w:rsid w:val="00877B52"/>
    <w:rsid w:val="008A5D58"/>
    <w:rsid w:val="008E36F5"/>
    <w:rsid w:val="00926B83"/>
    <w:rsid w:val="00996247"/>
    <w:rsid w:val="00A723CA"/>
    <w:rsid w:val="00AA4E6F"/>
    <w:rsid w:val="00AB2DBF"/>
    <w:rsid w:val="00B05B68"/>
    <w:rsid w:val="00B674EF"/>
    <w:rsid w:val="00B71B5F"/>
    <w:rsid w:val="00B84660"/>
    <w:rsid w:val="00BD1123"/>
    <w:rsid w:val="00C10075"/>
    <w:rsid w:val="00C20475"/>
    <w:rsid w:val="00C378F5"/>
    <w:rsid w:val="00C54531"/>
    <w:rsid w:val="00C72D92"/>
    <w:rsid w:val="00CA0792"/>
    <w:rsid w:val="00CA6724"/>
    <w:rsid w:val="00CD4081"/>
    <w:rsid w:val="00CE4F8E"/>
    <w:rsid w:val="00D05ADA"/>
    <w:rsid w:val="00D263E1"/>
    <w:rsid w:val="00D45D3C"/>
    <w:rsid w:val="00DC4E84"/>
    <w:rsid w:val="00DD1332"/>
    <w:rsid w:val="00EE2583"/>
    <w:rsid w:val="00F321EA"/>
    <w:rsid w:val="00F84AA6"/>
    <w:rsid w:val="00F95E4E"/>
    <w:rsid w:val="00FA7A0B"/>
    <w:rsid w:val="00FC4BF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07085"/>
  <w15:docId w15:val="{5761D519-E161-414B-BB13-62A486012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next w:val="AONormal"/>
    <w:qFormat/>
    <w:rsid w:val="00CD4081"/>
    <w:pPr>
      <w:spacing w:after="0" w:line="240" w:lineRule="auto"/>
    </w:pPr>
    <w:rPr>
      <w:rFonts w:ascii="Times New Roman" w:hAnsi="Times New Roman" w:cs="Times New Roman"/>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ONormal">
    <w:name w:val="AONormal"/>
    <w:rsid w:val="00CD4081"/>
    <w:pPr>
      <w:spacing w:after="0" w:line="260" w:lineRule="atLeast"/>
    </w:pPr>
    <w:rPr>
      <w:rFonts w:ascii="Times New Roman" w:hAnsi="Times New Roman" w:cs="Times New Roman"/>
      <w:lang w:val="en-GB"/>
    </w:rPr>
  </w:style>
  <w:style w:type="paragraph" w:customStyle="1" w:styleId="AODocTxt">
    <w:name w:val="AODocTxt"/>
    <w:basedOn w:val="Normln"/>
    <w:rsid w:val="00CD4081"/>
    <w:pPr>
      <w:spacing w:before="240" w:line="260" w:lineRule="atLeast"/>
      <w:jc w:val="both"/>
    </w:pPr>
  </w:style>
  <w:style w:type="paragraph" w:customStyle="1" w:styleId="AO1">
    <w:name w:val="AO(1)"/>
    <w:basedOn w:val="Normln"/>
    <w:next w:val="AODocTxt"/>
    <w:rsid w:val="00CD4081"/>
    <w:pPr>
      <w:numPr>
        <w:numId w:val="2"/>
      </w:numPr>
      <w:spacing w:before="240" w:line="260" w:lineRule="atLeast"/>
      <w:jc w:val="both"/>
    </w:pPr>
  </w:style>
  <w:style w:type="paragraph" w:customStyle="1" w:styleId="AOA">
    <w:name w:val="AO(A)"/>
    <w:basedOn w:val="Normln"/>
    <w:next w:val="AODocTxt"/>
    <w:rsid w:val="00CD4081"/>
    <w:pPr>
      <w:numPr>
        <w:numId w:val="5"/>
      </w:numPr>
      <w:spacing w:before="240" w:line="260" w:lineRule="atLeast"/>
      <w:jc w:val="both"/>
    </w:pPr>
  </w:style>
  <w:style w:type="paragraph" w:customStyle="1" w:styleId="AOHead1">
    <w:name w:val="AOHead1"/>
    <w:basedOn w:val="Normln"/>
    <w:next w:val="Normln"/>
    <w:rsid w:val="00CD4081"/>
    <w:pPr>
      <w:keepNext/>
      <w:numPr>
        <w:numId w:val="1"/>
      </w:numPr>
      <w:spacing w:before="240" w:line="260" w:lineRule="atLeast"/>
      <w:jc w:val="both"/>
      <w:outlineLvl w:val="0"/>
    </w:pPr>
    <w:rPr>
      <w:b/>
      <w:caps/>
      <w:kern w:val="28"/>
    </w:rPr>
  </w:style>
  <w:style w:type="paragraph" w:customStyle="1" w:styleId="AOHead2">
    <w:name w:val="AOHead2"/>
    <w:basedOn w:val="Normln"/>
    <w:next w:val="Normln"/>
    <w:rsid w:val="00CD4081"/>
    <w:pPr>
      <w:keepNext/>
      <w:numPr>
        <w:ilvl w:val="1"/>
        <w:numId w:val="1"/>
      </w:numPr>
      <w:spacing w:before="240" w:line="260" w:lineRule="atLeast"/>
      <w:jc w:val="both"/>
      <w:outlineLvl w:val="1"/>
    </w:pPr>
    <w:rPr>
      <w:b/>
    </w:rPr>
  </w:style>
  <w:style w:type="paragraph" w:customStyle="1" w:styleId="AOHead3">
    <w:name w:val="AOHead3"/>
    <w:basedOn w:val="Normln"/>
    <w:next w:val="Normln"/>
    <w:rsid w:val="00CD4081"/>
    <w:pPr>
      <w:numPr>
        <w:ilvl w:val="2"/>
        <w:numId w:val="1"/>
      </w:numPr>
      <w:spacing w:before="240" w:line="260" w:lineRule="atLeast"/>
      <w:jc w:val="both"/>
      <w:outlineLvl w:val="2"/>
    </w:pPr>
  </w:style>
  <w:style w:type="paragraph" w:customStyle="1" w:styleId="AOHead4">
    <w:name w:val="AOHead4"/>
    <w:basedOn w:val="Normln"/>
    <w:next w:val="Normln"/>
    <w:rsid w:val="00CD4081"/>
    <w:pPr>
      <w:numPr>
        <w:ilvl w:val="3"/>
        <w:numId w:val="1"/>
      </w:numPr>
      <w:spacing w:before="240" w:line="260" w:lineRule="atLeast"/>
      <w:jc w:val="both"/>
      <w:outlineLvl w:val="3"/>
    </w:pPr>
  </w:style>
  <w:style w:type="paragraph" w:customStyle="1" w:styleId="AOHead5">
    <w:name w:val="AOHead5"/>
    <w:basedOn w:val="Normln"/>
    <w:next w:val="Normln"/>
    <w:rsid w:val="00CD4081"/>
    <w:pPr>
      <w:numPr>
        <w:ilvl w:val="4"/>
        <w:numId w:val="1"/>
      </w:numPr>
      <w:spacing w:before="240" w:line="260" w:lineRule="atLeast"/>
      <w:jc w:val="both"/>
      <w:outlineLvl w:val="4"/>
    </w:pPr>
  </w:style>
  <w:style w:type="paragraph" w:customStyle="1" w:styleId="AOHead6">
    <w:name w:val="AOHead6"/>
    <w:basedOn w:val="Normln"/>
    <w:next w:val="Normln"/>
    <w:rsid w:val="00CD4081"/>
    <w:pPr>
      <w:numPr>
        <w:ilvl w:val="5"/>
        <w:numId w:val="1"/>
      </w:numPr>
      <w:spacing w:before="240" w:line="260" w:lineRule="atLeast"/>
      <w:jc w:val="both"/>
      <w:outlineLvl w:val="5"/>
    </w:pPr>
  </w:style>
  <w:style w:type="paragraph" w:customStyle="1" w:styleId="AOAltHead1">
    <w:name w:val="AOAltHead1"/>
    <w:basedOn w:val="AOHead1"/>
    <w:next w:val="Normln"/>
    <w:rsid w:val="00CD4081"/>
    <w:pPr>
      <w:keepNext w:val="0"/>
    </w:pPr>
    <w:rPr>
      <w:b w:val="0"/>
      <w:caps w:val="0"/>
    </w:rPr>
  </w:style>
  <w:style w:type="paragraph" w:customStyle="1" w:styleId="AOAltHead2">
    <w:name w:val="AOAltHead2"/>
    <w:basedOn w:val="AOHead2"/>
    <w:next w:val="Normln"/>
    <w:rsid w:val="00CD4081"/>
    <w:pPr>
      <w:keepNext w:val="0"/>
    </w:pPr>
    <w:rPr>
      <w:b w:val="0"/>
    </w:rPr>
  </w:style>
  <w:style w:type="paragraph" w:customStyle="1" w:styleId="AOGenNum3">
    <w:name w:val="AOGenNum3"/>
    <w:basedOn w:val="Normln"/>
    <w:next w:val="AOGenNum3List"/>
    <w:rsid w:val="00CD4081"/>
    <w:pPr>
      <w:numPr>
        <w:numId w:val="3"/>
      </w:numPr>
      <w:spacing w:before="240" w:line="260" w:lineRule="atLeast"/>
      <w:jc w:val="both"/>
    </w:pPr>
  </w:style>
  <w:style w:type="paragraph" w:customStyle="1" w:styleId="AOGenNum3List">
    <w:name w:val="AOGenNum3List"/>
    <w:basedOn w:val="AOGenNum3"/>
    <w:rsid w:val="00CD4081"/>
    <w:pPr>
      <w:numPr>
        <w:ilvl w:val="1"/>
      </w:numPr>
    </w:pPr>
  </w:style>
  <w:style w:type="table" w:customStyle="1" w:styleId="TableGrid1">
    <w:name w:val="Table Grid1"/>
    <w:basedOn w:val="Normlntabulka"/>
    <w:next w:val="Mkatabulky"/>
    <w:rsid w:val="00CD4081"/>
    <w:pPr>
      <w:spacing w:after="0" w:line="300" w:lineRule="atLeast"/>
    </w:pPr>
    <w:rPr>
      <w:rFonts w:ascii="Times New Roman" w:eastAsia="Times New Roman" w:hAnsi="Times New Roman" w:cs="Times New Roman"/>
      <w:color w:val="000000" w:themeColor="text1"/>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CD4081"/>
    <w:pPr>
      <w:spacing w:line="300" w:lineRule="atLeast"/>
      <w:ind w:left="720"/>
      <w:contextualSpacing/>
      <w:jc w:val="both"/>
    </w:pPr>
    <w:rPr>
      <w:rFonts w:eastAsia="Times New Roman"/>
      <w:color w:val="000000" w:themeColor="text1"/>
    </w:rPr>
  </w:style>
  <w:style w:type="numbering" w:customStyle="1" w:styleId="CMS-ANRecitals1">
    <w:name w:val="CMS-AN Recitals1"/>
    <w:rsid w:val="00CD4081"/>
    <w:pPr>
      <w:numPr>
        <w:numId w:val="4"/>
      </w:numPr>
    </w:pPr>
  </w:style>
  <w:style w:type="table" w:styleId="Mkatabulky">
    <w:name w:val="Table Grid"/>
    <w:basedOn w:val="Normlntabulka"/>
    <w:uiPriority w:val="39"/>
    <w:rsid w:val="00CD4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ln"/>
    <w:rsid w:val="004230A5"/>
    <w:rPr>
      <w:rFonts w:ascii="Calibri" w:hAnsi="Calibri" w:cs="Calibri"/>
      <w:lang w:val="cs-CZ" w:eastAsia="cs-CZ"/>
    </w:rPr>
  </w:style>
  <w:style w:type="character" w:styleId="Odkaznakoment">
    <w:name w:val="annotation reference"/>
    <w:basedOn w:val="Standardnpsmoodstavce"/>
    <w:uiPriority w:val="99"/>
    <w:semiHidden/>
    <w:unhideWhenUsed/>
    <w:rsid w:val="001A4E23"/>
    <w:rPr>
      <w:sz w:val="16"/>
      <w:szCs w:val="16"/>
    </w:rPr>
  </w:style>
  <w:style w:type="paragraph" w:styleId="Textkomente">
    <w:name w:val="annotation text"/>
    <w:basedOn w:val="Normln"/>
    <w:link w:val="TextkomenteChar"/>
    <w:uiPriority w:val="99"/>
    <w:semiHidden/>
    <w:unhideWhenUsed/>
    <w:rsid w:val="001A4E23"/>
    <w:rPr>
      <w:sz w:val="20"/>
      <w:szCs w:val="20"/>
    </w:rPr>
  </w:style>
  <w:style w:type="character" w:customStyle="1" w:styleId="TextkomenteChar">
    <w:name w:val="Text komentáře Char"/>
    <w:basedOn w:val="Standardnpsmoodstavce"/>
    <w:link w:val="Textkomente"/>
    <w:uiPriority w:val="99"/>
    <w:semiHidden/>
    <w:rsid w:val="001A4E23"/>
    <w:rPr>
      <w:rFonts w:ascii="Times New Roman" w:hAnsi="Times New Roman" w:cs="Times New Roman"/>
      <w:sz w:val="20"/>
      <w:szCs w:val="20"/>
      <w:lang w:val="en-GB"/>
    </w:rPr>
  </w:style>
  <w:style w:type="paragraph" w:styleId="Pedmtkomente">
    <w:name w:val="annotation subject"/>
    <w:basedOn w:val="Textkomente"/>
    <w:next w:val="Textkomente"/>
    <w:link w:val="PedmtkomenteChar"/>
    <w:uiPriority w:val="99"/>
    <w:semiHidden/>
    <w:unhideWhenUsed/>
    <w:rsid w:val="001A4E23"/>
    <w:rPr>
      <w:b/>
      <w:bCs/>
    </w:rPr>
  </w:style>
  <w:style w:type="character" w:customStyle="1" w:styleId="PedmtkomenteChar">
    <w:name w:val="Předmět komentáře Char"/>
    <w:basedOn w:val="TextkomenteChar"/>
    <w:link w:val="Pedmtkomente"/>
    <w:uiPriority w:val="99"/>
    <w:semiHidden/>
    <w:rsid w:val="001A4E23"/>
    <w:rPr>
      <w:rFonts w:ascii="Times New Roman" w:hAnsi="Times New Roman" w:cs="Times New Roman"/>
      <w:b/>
      <w:bCs/>
      <w:sz w:val="20"/>
      <w:szCs w:val="20"/>
      <w:lang w:val="en-GB"/>
    </w:rPr>
  </w:style>
  <w:style w:type="paragraph" w:styleId="Textbubliny">
    <w:name w:val="Balloon Text"/>
    <w:basedOn w:val="Normln"/>
    <w:link w:val="TextbublinyChar"/>
    <w:uiPriority w:val="99"/>
    <w:semiHidden/>
    <w:unhideWhenUsed/>
    <w:rsid w:val="001A4E23"/>
    <w:rPr>
      <w:rFonts w:ascii="Tahoma" w:hAnsi="Tahoma" w:cs="Tahoma"/>
      <w:sz w:val="16"/>
      <w:szCs w:val="16"/>
    </w:rPr>
  </w:style>
  <w:style w:type="character" w:customStyle="1" w:styleId="TextbublinyChar">
    <w:name w:val="Text bubliny Char"/>
    <w:basedOn w:val="Standardnpsmoodstavce"/>
    <w:link w:val="Textbubliny"/>
    <w:uiPriority w:val="99"/>
    <w:semiHidden/>
    <w:rsid w:val="001A4E23"/>
    <w:rPr>
      <w:rFonts w:ascii="Tahoma" w:hAnsi="Tahoma" w:cs="Tahoma"/>
      <w:sz w:val="16"/>
      <w:szCs w:val="16"/>
      <w:lang w:val="en-GB"/>
    </w:rPr>
  </w:style>
  <w:style w:type="paragraph" w:styleId="Revize">
    <w:name w:val="Revision"/>
    <w:hidden/>
    <w:uiPriority w:val="99"/>
    <w:semiHidden/>
    <w:rsid w:val="001A3D3E"/>
    <w:pPr>
      <w:spacing w:after="0" w:line="240" w:lineRule="auto"/>
    </w:pPr>
    <w:rPr>
      <w:rFonts w:ascii="Times New Roman" w:hAnsi="Times New Roman" w:cs="Times New Roman"/>
      <w:lang w:val="en-GB"/>
    </w:rPr>
  </w:style>
  <w:style w:type="character" w:styleId="Hypertextovodkaz">
    <w:name w:val="Hyperlink"/>
    <w:basedOn w:val="Standardnpsmoodstavce"/>
    <w:uiPriority w:val="99"/>
    <w:unhideWhenUsed/>
    <w:rsid w:val="00871961"/>
    <w:rPr>
      <w:color w:val="0563C1" w:themeColor="hyperlink"/>
      <w:u w:val="single"/>
    </w:rPr>
  </w:style>
  <w:style w:type="character" w:styleId="Nevyeenzmnka">
    <w:name w:val="Unresolved Mention"/>
    <w:basedOn w:val="Standardnpsmoodstavce"/>
    <w:uiPriority w:val="99"/>
    <w:semiHidden/>
    <w:unhideWhenUsed/>
    <w:rsid w:val="008719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64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1422</Words>
  <Characters>8392</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Tesar, Martin</dc:creator>
  <cp:lastModifiedBy>DD Dobrá Voda</cp:lastModifiedBy>
  <cp:revision>11</cp:revision>
  <cp:lastPrinted>2022-10-03T07:26:00Z</cp:lastPrinted>
  <dcterms:created xsi:type="dcterms:W3CDTF">2022-10-03T11:57:00Z</dcterms:created>
  <dcterms:modified xsi:type="dcterms:W3CDTF">2022-10-24T12:27:00Z</dcterms:modified>
</cp:coreProperties>
</file>