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AA610" w14:textId="51C0EB0F" w:rsidR="00116AAC" w:rsidRDefault="00116AAC" w:rsidP="00116AAC">
      <w:pPr>
        <w:pStyle w:val="Nadpis2"/>
        <w:numPr>
          <w:ilvl w:val="0"/>
          <w:numId w:val="1"/>
        </w:numPr>
        <w:shd w:val="clear" w:color="auto" w:fill="F2F2F2" w:themeFill="background1" w:themeFillShade="F2"/>
        <w:tabs>
          <w:tab w:val="left" w:pos="576"/>
        </w:tabs>
        <w:autoSpaceDE w:val="0"/>
        <w:spacing w:line="200" w:lineRule="atLeast"/>
        <w:ind w:left="576" w:hanging="576"/>
        <w:jc w:val="center"/>
        <w:rPr>
          <w:rFonts w:eastAsia="Arial" w:cs="Arial"/>
          <w:i w:val="0"/>
          <w:iCs w:val="0"/>
          <w:color w:val="000000"/>
          <w:sz w:val="20"/>
          <w:szCs w:val="20"/>
        </w:rPr>
      </w:pPr>
      <w:bookmarkStart w:id="0" w:name="_GoBack"/>
      <w:bookmarkEnd w:id="0"/>
      <w:r>
        <w:rPr>
          <w:rFonts w:eastAsia="Arial" w:cs="Arial"/>
          <w:i w:val="0"/>
          <w:iCs w:val="0"/>
        </w:rPr>
        <w:t xml:space="preserve">Příloha </w:t>
      </w:r>
      <w:proofErr w:type="gramStart"/>
      <w:r>
        <w:rPr>
          <w:rFonts w:eastAsia="Arial" w:cs="Arial"/>
          <w:i w:val="0"/>
          <w:iCs w:val="0"/>
        </w:rPr>
        <w:t>č.</w:t>
      </w:r>
      <w:r w:rsidR="00AF6FBC">
        <w:rPr>
          <w:rFonts w:eastAsia="Arial" w:cs="Arial"/>
          <w:i w:val="0"/>
          <w:iCs w:val="0"/>
        </w:rPr>
        <w:t>3</w:t>
      </w:r>
      <w:r>
        <w:rPr>
          <w:rFonts w:eastAsia="Arial" w:cs="Arial"/>
          <w:i w:val="0"/>
          <w:iCs w:val="0"/>
        </w:rPr>
        <w:t xml:space="preserve"> Stanovení</w:t>
      </w:r>
      <w:proofErr w:type="gramEnd"/>
      <w:r>
        <w:rPr>
          <w:rFonts w:eastAsia="Arial" w:cs="Arial"/>
          <w:i w:val="0"/>
          <w:iCs w:val="0"/>
        </w:rPr>
        <w:t xml:space="preserve"> množství srážkových vod odváděných do kanalizace</w:t>
      </w:r>
    </w:p>
    <w:p w14:paraId="58618A81" w14:textId="77777777" w:rsidR="00116AAC" w:rsidRDefault="00116AAC" w:rsidP="00116AAC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Množství srážkových vod odváděných do kanalizace je stanoveno podle přílohy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</w:rPr>
        <w:t>č.16</w:t>
      </w:r>
      <w:proofErr w:type="gramEnd"/>
      <w:r>
        <w:rPr>
          <w:rFonts w:ascii="Arial" w:eastAsia="Arial" w:hAnsi="Arial" w:cs="Arial"/>
          <w:b/>
          <w:bCs/>
          <w:color w:val="000000"/>
          <w:sz w:val="20"/>
        </w:rPr>
        <w:t xml:space="preserve"> k Vyhlášce č.428/2001 Sb., kterou se provádí Zákon č. 274/2001 Sb.</w:t>
      </w:r>
    </w:p>
    <w:p w14:paraId="310B56C6" w14:textId="77777777" w:rsidR="00116AAC" w:rsidRDefault="00116AAC" w:rsidP="00116AAC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p w14:paraId="1B0CB097" w14:textId="77777777" w:rsidR="00116AAC" w:rsidRPr="002E079C" w:rsidRDefault="00116AAC" w:rsidP="00116AAC">
      <w:pPr>
        <w:pStyle w:val="Tlotextu"/>
        <w:autoSpaceDE w:val="0"/>
        <w:spacing w:line="200" w:lineRule="atLeast"/>
        <w:rPr>
          <w:rFonts w:ascii="Arial" w:hAnsi="Arial" w:cs="Arial"/>
          <w:sz w:val="16"/>
          <w:szCs w:val="16"/>
        </w:rPr>
      </w:pPr>
      <w:r w:rsidRPr="002E079C">
        <w:rPr>
          <w:rFonts w:ascii="Arial" w:eastAsia="Arial" w:hAnsi="Arial" w:cs="Arial"/>
          <w:color w:val="000000"/>
          <w:sz w:val="14"/>
          <w:szCs w:val="14"/>
        </w:rPr>
        <w:t>Povinnost platit za odvádění srážkových vod do kanalizace pro veřejnou potřebu se nevztahuje na plochy dálnic, silnic, místních komunikací a účelových komunikací veřejně přístupných, plochy drah celostátních a regionálních včetně pevných zařízení potřebných pro přímé zajištění bezpečnosti a plynulosti drážní dopravy, zoologické zahrady a plochy nemovitostí určených k trvalému bydlení a na domácnosti.</w:t>
      </w:r>
    </w:p>
    <w:p w14:paraId="50DF4F58" w14:textId="77777777" w:rsidR="00116AAC" w:rsidRDefault="00116AAC" w:rsidP="00116AAC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tbl>
      <w:tblPr>
        <w:tblW w:w="10238" w:type="dxa"/>
        <w:tblInd w:w="67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575"/>
        <w:gridCol w:w="7663"/>
      </w:tblGrid>
      <w:tr w:rsidR="00116AAC" w14:paraId="0ACD0712" w14:textId="77777777" w:rsidTr="0014612B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F3CF8B" w14:textId="77777777" w:rsidR="00116AAC" w:rsidRDefault="00116AAC" w:rsidP="00AA29CF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Číslo odběrného místa: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6DC28B" w14:textId="4A655607" w:rsidR="00116AAC" w:rsidRDefault="007924A3" w:rsidP="00AA29CF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Mang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Mangal" w:cs="Arial"/>
                <w:sz w:val="20"/>
              </w:rPr>
              <w:instrText xml:space="preserve"> FORMTEXT </w:instrText>
            </w:r>
            <w:r>
              <w:rPr>
                <w:rFonts w:eastAsia="Mangal" w:cs="Arial"/>
                <w:sz w:val="20"/>
              </w:rPr>
            </w:r>
            <w:r>
              <w:rPr>
                <w:rFonts w:eastAsia="Mangal" w:cs="Arial"/>
                <w:sz w:val="20"/>
              </w:rPr>
              <w:fldChar w:fldCharType="separate"/>
            </w:r>
            <w:r>
              <w:rPr>
                <w:rFonts w:eastAsia="Mangal" w:cs="Arial"/>
                <w:noProof/>
                <w:sz w:val="20"/>
              </w:rPr>
              <w:t> </w:t>
            </w:r>
            <w:r>
              <w:rPr>
                <w:rFonts w:eastAsia="Mangal" w:cs="Arial"/>
                <w:noProof/>
                <w:sz w:val="20"/>
              </w:rPr>
              <w:t> </w:t>
            </w:r>
            <w:r>
              <w:rPr>
                <w:rFonts w:eastAsia="Mangal" w:cs="Arial"/>
                <w:noProof/>
                <w:sz w:val="20"/>
              </w:rPr>
              <w:t> </w:t>
            </w:r>
            <w:r>
              <w:rPr>
                <w:rFonts w:eastAsia="Mangal" w:cs="Arial"/>
                <w:noProof/>
                <w:sz w:val="20"/>
              </w:rPr>
              <w:t> </w:t>
            </w:r>
            <w:r>
              <w:rPr>
                <w:rFonts w:eastAsia="Mangal" w:cs="Arial"/>
                <w:noProof/>
                <w:sz w:val="20"/>
              </w:rPr>
              <w:t> </w:t>
            </w:r>
            <w:r>
              <w:rPr>
                <w:rFonts w:eastAsia="Mangal" w:cs="Arial"/>
                <w:sz w:val="20"/>
              </w:rPr>
              <w:fldChar w:fldCharType="end"/>
            </w:r>
            <w:bookmarkEnd w:id="1"/>
          </w:p>
        </w:tc>
      </w:tr>
      <w:tr w:rsidR="0014612B" w14:paraId="62391B53" w14:textId="77777777" w:rsidTr="0014612B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4F655" w14:textId="77777777" w:rsidR="0014612B" w:rsidRDefault="0014612B" w:rsidP="0014612B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Odběratel: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BB0EF1" w14:textId="5D04C01A" w:rsidR="0014612B" w:rsidRDefault="0014612B" w:rsidP="0014612B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Mangal" w:cs="Arial"/>
                <w:sz w:val="20"/>
              </w:rPr>
              <w:t>Městská knihovna Jihlava</w:t>
            </w:r>
          </w:p>
        </w:tc>
      </w:tr>
      <w:tr w:rsidR="0014612B" w14:paraId="729EE444" w14:textId="77777777" w:rsidTr="0014612B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DA2EF2" w14:textId="77777777" w:rsidR="0014612B" w:rsidRDefault="0014612B" w:rsidP="0014612B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Adresa odběrného místa: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47D40E" w14:textId="1A4A8761" w:rsidR="0014612B" w:rsidRDefault="0014612B" w:rsidP="0014612B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Mangal" w:cs="Arial"/>
                <w:sz w:val="20"/>
              </w:rPr>
              <w:t xml:space="preserve">Jihlava, Hluboká 109/1, </w:t>
            </w:r>
            <w:proofErr w:type="spellStart"/>
            <w:proofErr w:type="gramStart"/>
            <w:r>
              <w:rPr>
                <w:rFonts w:eastAsia="Mangal" w:cs="Arial"/>
                <w:sz w:val="20"/>
              </w:rPr>
              <w:t>k.ú</w:t>
            </w:r>
            <w:proofErr w:type="spellEnd"/>
            <w:r>
              <w:rPr>
                <w:rFonts w:eastAsia="Mangal" w:cs="Arial"/>
                <w:sz w:val="20"/>
              </w:rPr>
              <w:t>.</w:t>
            </w:r>
            <w:proofErr w:type="gramEnd"/>
            <w:r>
              <w:rPr>
                <w:rFonts w:eastAsia="Mangal" w:cs="Arial"/>
                <w:sz w:val="20"/>
              </w:rPr>
              <w:t xml:space="preserve"> Jihlava č. </w:t>
            </w:r>
            <w:proofErr w:type="spellStart"/>
            <w:r>
              <w:rPr>
                <w:rFonts w:eastAsia="Mangal" w:cs="Arial"/>
                <w:sz w:val="20"/>
              </w:rPr>
              <w:t>parc</w:t>
            </w:r>
            <w:proofErr w:type="spellEnd"/>
            <w:r>
              <w:rPr>
                <w:rFonts w:eastAsia="Mangal" w:cs="Arial"/>
                <w:sz w:val="20"/>
              </w:rPr>
              <w:t>. 161</w:t>
            </w:r>
          </w:p>
        </w:tc>
      </w:tr>
    </w:tbl>
    <w:p w14:paraId="54A7F3F9" w14:textId="77777777" w:rsidR="00116AAC" w:rsidRDefault="00116AAC" w:rsidP="00116AAC">
      <w:pPr>
        <w:autoSpaceDE w:val="0"/>
        <w:spacing w:line="200" w:lineRule="atLeast"/>
        <w:jc w:val="both"/>
        <w:rPr>
          <w:rFonts w:eastAsia="Mangal" w:cs="Arial"/>
          <w:sz w:val="20"/>
        </w:rPr>
      </w:pPr>
    </w:p>
    <w:p w14:paraId="4A476741" w14:textId="7E32D70D" w:rsidR="00116AAC" w:rsidRDefault="00116AAC" w:rsidP="00116AAC">
      <w:pPr>
        <w:pStyle w:val="Tlotextu"/>
        <w:autoSpaceDE w:val="0"/>
        <w:spacing w:line="200" w:lineRule="atLeast"/>
        <w:rPr>
          <w:rFonts w:ascii="Arial" w:eastAsia="Arial" w:hAnsi="Arial" w:cs="Arial"/>
          <w:i/>
          <w:i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Kombinované využití nemovitosti</w:t>
      </w:r>
      <w:r>
        <w:rPr>
          <w:rFonts w:ascii="Arial" w:eastAsia="Arial" w:hAnsi="Arial" w:cs="Arial"/>
          <w:b/>
          <w:bCs/>
          <w:color w:val="000000"/>
          <w:sz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rFonts w:ascii="Arial" w:eastAsia="Arial" w:hAnsi="Arial" w:cs="Arial"/>
          <w:b/>
          <w:bCs/>
          <w:color w:val="000000"/>
          <w:sz w:val="20"/>
        </w:rPr>
        <w:instrText xml:space="preserve"> FORMCHECKBOX </w:instrText>
      </w:r>
      <w:r w:rsidR="003F3159">
        <w:rPr>
          <w:rFonts w:ascii="Arial" w:eastAsia="Arial" w:hAnsi="Arial" w:cs="Arial"/>
          <w:b/>
          <w:bCs/>
          <w:color w:val="000000"/>
          <w:sz w:val="20"/>
        </w:rPr>
      </w:r>
      <w:r w:rsidR="003F3159">
        <w:rPr>
          <w:rFonts w:ascii="Arial" w:eastAsia="Arial" w:hAnsi="Arial" w:cs="Arial"/>
          <w:b/>
          <w:bCs/>
          <w:color w:val="000000"/>
          <w:sz w:val="20"/>
        </w:rPr>
        <w:fldChar w:fldCharType="separate"/>
      </w:r>
      <w:r>
        <w:rPr>
          <w:rFonts w:ascii="Arial" w:eastAsia="Arial" w:hAnsi="Arial" w:cs="Arial"/>
          <w:b/>
          <w:bCs/>
          <w:color w:val="000000"/>
          <w:sz w:val="20"/>
        </w:rPr>
        <w:fldChar w:fldCharType="end"/>
      </w:r>
      <w:bookmarkEnd w:id="2"/>
      <w:r>
        <w:rPr>
          <w:rFonts w:ascii="Arial" w:eastAsia="Arial" w:hAnsi="Arial" w:cs="Arial"/>
          <w:b/>
          <w:bCs/>
          <w:color w:val="000000"/>
          <w:sz w:val="20"/>
        </w:rPr>
        <w:t xml:space="preserve"> ANO      x</w:t>
      </w:r>
      <w:r w:rsidR="00E35194">
        <w:rPr>
          <w:rFonts w:ascii="Arial" w:eastAsia="Arial" w:hAnsi="Arial" w:cs="Arial"/>
          <w:b/>
          <w:bCs/>
          <w:color w:val="000000"/>
          <w:sz w:val="20"/>
        </w:rPr>
        <w:tab/>
      </w:r>
      <w:r w:rsidR="0014612B">
        <w:rPr>
          <w:rFonts w:ascii="Arial" w:eastAsia="Arial" w:hAnsi="Arial" w:cs="Arial"/>
          <w:b/>
          <w:bCs/>
          <w:color w:val="000000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2"/>
      <w:r w:rsidR="0014612B">
        <w:rPr>
          <w:rFonts w:ascii="Arial" w:eastAsia="Arial" w:hAnsi="Arial" w:cs="Arial"/>
          <w:b/>
          <w:bCs/>
          <w:color w:val="000000"/>
          <w:sz w:val="20"/>
        </w:rPr>
        <w:instrText xml:space="preserve"> FORMCHECKBOX </w:instrText>
      </w:r>
      <w:r w:rsidR="003F3159">
        <w:rPr>
          <w:rFonts w:ascii="Arial" w:eastAsia="Arial" w:hAnsi="Arial" w:cs="Arial"/>
          <w:b/>
          <w:bCs/>
          <w:color w:val="000000"/>
          <w:sz w:val="20"/>
        </w:rPr>
      </w:r>
      <w:r w:rsidR="003F3159">
        <w:rPr>
          <w:rFonts w:ascii="Arial" w:eastAsia="Arial" w:hAnsi="Arial" w:cs="Arial"/>
          <w:b/>
          <w:bCs/>
          <w:color w:val="000000"/>
          <w:sz w:val="20"/>
        </w:rPr>
        <w:fldChar w:fldCharType="separate"/>
      </w:r>
      <w:r w:rsidR="0014612B">
        <w:rPr>
          <w:rFonts w:ascii="Arial" w:eastAsia="Arial" w:hAnsi="Arial" w:cs="Arial"/>
          <w:b/>
          <w:bCs/>
          <w:color w:val="000000"/>
          <w:sz w:val="20"/>
        </w:rPr>
        <w:fldChar w:fldCharType="end"/>
      </w:r>
      <w:bookmarkEnd w:id="3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</w:rPr>
        <w:t xml:space="preserve">NE     </w:t>
      </w:r>
      <w:r>
        <w:rPr>
          <w:rFonts w:ascii="Arial" w:eastAsia="Arial" w:hAnsi="Arial" w:cs="Arial"/>
          <w:color w:val="000000"/>
          <w:sz w:val="20"/>
        </w:rPr>
        <w:t>(zaškrtněte</w:t>
      </w:r>
      <w:proofErr w:type="gramEnd"/>
      <w:r>
        <w:rPr>
          <w:rFonts w:ascii="Arial" w:eastAsia="Arial" w:hAnsi="Arial" w:cs="Arial"/>
          <w:color w:val="000000"/>
          <w:sz w:val="20"/>
        </w:rPr>
        <w:t>)</w:t>
      </w:r>
    </w:p>
    <w:p w14:paraId="3051139D" w14:textId="77777777" w:rsidR="00116AAC" w:rsidRDefault="00116AAC" w:rsidP="00116AAC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</w:rPr>
        <w:t xml:space="preserve">     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(Nemovitost je částečně využívána k trvalému bydlení)</w:t>
      </w:r>
      <w:r>
        <w:rPr>
          <w:rFonts w:ascii="Arial" w:eastAsia="Arial" w:hAnsi="Arial" w:cs="Arial"/>
          <w:i/>
          <w:iCs/>
          <w:color w:val="000000"/>
          <w:sz w:val="20"/>
        </w:rPr>
        <w:t xml:space="preserve"> </w:t>
      </w:r>
    </w:p>
    <w:p w14:paraId="316A3033" w14:textId="77777777" w:rsidR="00116AAC" w:rsidRDefault="00116AAC" w:rsidP="00116AAC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p w14:paraId="51C7D6EA" w14:textId="77777777" w:rsidR="00116AAC" w:rsidRDefault="00116AAC" w:rsidP="00116AAC">
      <w:pPr>
        <w:pStyle w:val="Tlotextu"/>
        <w:autoSpaceDE w:val="0"/>
        <w:spacing w:line="2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Stanovení % využití nemovitosti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(pouze v případě kombinovaného využití)</w:t>
      </w:r>
      <w:r>
        <w:rPr>
          <w:rFonts w:ascii="Arial" w:eastAsia="Arial" w:hAnsi="Arial" w:cs="Arial"/>
          <w:b/>
          <w:bCs/>
          <w:color w:val="000000"/>
          <w:sz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775"/>
      </w:tblGrid>
      <w:tr w:rsidR="00116AAC" w14:paraId="787A43F8" w14:textId="77777777" w:rsidTr="00AA29CF">
        <w:trPr>
          <w:cantSplit/>
          <w:trHeight w:val="301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CA64C" w14:textId="77777777" w:rsidR="00116AAC" w:rsidRPr="002E079C" w:rsidRDefault="00116AAC" w:rsidP="00AA29CF">
            <w:pPr>
              <w:pStyle w:val="Prosttext1"/>
              <w:autoSpaceDE w:val="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E079C">
              <w:rPr>
                <w:rFonts w:ascii="Arial" w:eastAsia="Arial" w:hAnsi="Arial" w:cs="Arial"/>
                <w:sz w:val="16"/>
                <w:szCs w:val="16"/>
              </w:rPr>
              <w:t xml:space="preserve">Zastavěná plocha </w:t>
            </w:r>
            <w:r w:rsidRPr="002E079C">
              <w:rPr>
                <w:rFonts w:ascii="Arial" w:eastAsia="Arial" w:hAnsi="Arial" w:cs="Arial"/>
                <w:i/>
                <w:sz w:val="16"/>
                <w:szCs w:val="16"/>
              </w:rPr>
              <w:t>(m</w:t>
            </w:r>
            <w:r w:rsidRPr="002E079C">
              <w:rPr>
                <w:rFonts w:ascii="Arial" w:eastAsia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2E079C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D4A2E8" w14:textId="26903313" w:rsidR="00116AAC" w:rsidRPr="0029579F" w:rsidRDefault="00116AAC" w:rsidP="00AA29CF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bookmarkStart w:id="4" w:name="a2"/>
            <w:bookmarkEnd w:id="4"/>
          </w:p>
        </w:tc>
      </w:tr>
      <w:tr w:rsidR="00116AAC" w14:paraId="5E376B2A" w14:textId="77777777" w:rsidTr="00AA29CF">
        <w:trPr>
          <w:cantSplit/>
          <w:trHeight w:val="302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8E68F3" w14:textId="77777777" w:rsidR="00116AAC" w:rsidRPr="002E079C" w:rsidRDefault="00116AAC" w:rsidP="00AA29CF">
            <w:pPr>
              <w:pStyle w:val="Prosttext1"/>
              <w:autoSpaceDE w:val="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E079C">
              <w:rPr>
                <w:rFonts w:ascii="Arial" w:eastAsia="Arial" w:hAnsi="Arial" w:cs="Arial"/>
                <w:sz w:val="16"/>
                <w:szCs w:val="16"/>
              </w:rPr>
              <w:t xml:space="preserve">Počet podlaží </w:t>
            </w:r>
            <w:r w:rsidRPr="002E079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(včetně přízemí)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5CE7DA" w14:textId="05042969" w:rsidR="00116AAC" w:rsidRPr="0029579F" w:rsidRDefault="00116AAC" w:rsidP="00AA29CF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  <w:tr w:rsidR="00116AAC" w14:paraId="69D41698" w14:textId="77777777" w:rsidTr="00AA29CF">
        <w:trPr>
          <w:cantSplit/>
          <w:trHeight w:val="339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7035A" w14:textId="77777777" w:rsidR="00116AAC" w:rsidRPr="002E079C" w:rsidRDefault="00116AAC" w:rsidP="00AA29CF">
            <w:pPr>
              <w:pStyle w:val="Prosttext1"/>
              <w:autoSpaceDE w:val="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E079C">
              <w:rPr>
                <w:rFonts w:ascii="Arial" w:eastAsia="Arial" w:hAnsi="Arial" w:cs="Arial"/>
                <w:sz w:val="16"/>
                <w:szCs w:val="16"/>
              </w:rPr>
              <w:t xml:space="preserve">Celková podlahová plocha </w:t>
            </w:r>
            <w:r w:rsidRPr="002E079C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(zastavěná plocha x počet podlaží)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E8460D" w14:textId="0BB55BE4" w:rsidR="00116AAC" w:rsidRPr="0029579F" w:rsidRDefault="00116AAC" w:rsidP="00AA29CF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  <w:tr w:rsidR="00116AAC" w14:paraId="0C644B4D" w14:textId="77777777" w:rsidTr="00AA29CF">
        <w:trPr>
          <w:cantSplit/>
          <w:trHeight w:val="339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73B611" w14:textId="77777777" w:rsidR="00116AAC" w:rsidRPr="002E079C" w:rsidRDefault="00116AAC" w:rsidP="00AA29CF">
            <w:pPr>
              <w:pStyle w:val="Prosttext1"/>
              <w:autoSpaceDE w:val="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E079C">
              <w:rPr>
                <w:rFonts w:ascii="Arial" w:eastAsia="Arial" w:hAnsi="Arial" w:cs="Arial"/>
                <w:sz w:val="16"/>
                <w:szCs w:val="16"/>
              </w:rPr>
              <w:t xml:space="preserve">Podlahová plocha neužívaná k trvalému bydlení 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1C57E1" w14:textId="4792FCE4" w:rsidR="00116AAC" w:rsidRPr="0029579F" w:rsidRDefault="00116AAC" w:rsidP="00AA29CF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  <w:tr w:rsidR="00116AAC" w14:paraId="66280CAF" w14:textId="77777777" w:rsidTr="002E079C">
        <w:trPr>
          <w:cantSplit/>
          <w:trHeight w:val="66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98669" w14:textId="77777777" w:rsidR="00116AAC" w:rsidRPr="002E079C" w:rsidRDefault="00116AAC" w:rsidP="00AA29CF">
            <w:pPr>
              <w:pStyle w:val="Prosttext1"/>
              <w:autoSpaceDE w:val="0"/>
              <w:spacing w:line="200" w:lineRule="atLeast"/>
              <w:ind w:left="180" w:hanging="180"/>
              <w:rPr>
                <w:rFonts w:ascii="Arial" w:eastAsia="Arial" w:hAnsi="Arial" w:cs="Arial"/>
                <w:sz w:val="16"/>
                <w:szCs w:val="16"/>
              </w:rPr>
            </w:pPr>
            <w:r w:rsidRPr="002E079C">
              <w:rPr>
                <w:rFonts w:ascii="Arial" w:eastAsia="Arial" w:hAnsi="Arial" w:cs="Arial"/>
                <w:sz w:val="16"/>
                <w:szCs w:val="16"/>
              </w:rPr>
              <w:t xml:space="preserve">Procento ploch neužívaných k trvalému bydlení  </w:t>
            </w:r>
          </w:p>
          <w:p w14:paraId="48966840" w14:textId="77777777" w:rsidR="00116AAC" w:rsidRPr="002E079C" w:rsidRDefault="00116AAC" w:rsidP="00AA29CF">
            <w:pPr>
              <w:pStyle w:val="Prosttext1"/>
              <w:autoSpaceDE w:val="0"/>
              <w:spacing w:line="200" w:lineRule="atLeast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E079C"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Pr="002E079C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podlahová plocha neužívaná k trvalému bydlení / celková podlahová plocha x 100) 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2A2DB3" w14:textId="6CFC801B" w:rsidR="00116AAC" w:rsidRPr="0029579F" w:rsidRDefault="00116AAC" w:rsidP="00AA29CF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7B7B8E" w14:textId="77777777" w:rsidR="00116AAC" w:rsidRPr="00591757" w:rsidRDefault="00116AAC" w:rsidP="00591757">
      <w:pPr>
        <w:pStyle w:val="Prosttext1"/>
        <w:autoSpaceDE w:val="0"/>
        <w:spacing w:line="160" w:lineRule="atLeast"/>
        <w:jc w:val="both"/>
        <w:rPr>
          <w:sz w:val="16"/>
          <w:szCs w:val="16"/>
        </w:rPr>
      </w:pPr>
    </w:p>
    <w:p w14:paraId="013FB23C" w14:textId="77777777" w:rsidR="00116AAC" w:rsidRDefault="00116AAC" w:rsidP="00116AAC">
      <w:pPr>
        <w:pStyle w:val="Tlotextu"/>
        <w:autoSpaceDE w:val="0"/>
        <w:spacing w:line="200" w:lineRule="atLeast"/>
      </w:pPr>
      <w:r>
        <w:rPr>
          <w:rFonts w:ascii="Arial" w:eastAsia="Arial" w:hAnsi="Arial" w:cs="Arial"/>
          <w:b/>
          <w:bCs/>
          <w:color w:val="000000"/>
          <w:sz w:val="20"/>
        </w:rPr>
        <w:t>Výpočet srážkových vod pro vyúčtování: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6165"/>
        <w:gridCol w:w="850"/>
        <w:gridCol w:w="1134"/>
        <w:gridCol w:w="1701"/>
      </w:tblGrid>
      <w:tr w:rsidR="00116AAC" w14:paraId="615AE931" w14:textId="77777777" w:rsidTr="00AA36C8">
        <w:trPr>
          <w:trHeight w:val="397"/>
        </w:trPr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A54B64" w14:textId="77777777" w:rsidR="00116AAC" w:rsidRPr="007835F8" w:rsidRDefault="00116AAC" w:rsidP="00AA29CF">
            <w:pPr>
              <w:pStyle w:val="Obsahtabulky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 w:rsidRPr="007835F8">
              <w:rPr>
                <w:b/>
                <w:sz w:val="20"/>
              </w:rPr>
              <w:t>č.</w:t>
            </w:r>
          </w:p>
          <w:p w14:paraId="7749F984" w14:textId="77777777" w:rsidR="00116AAC" w:rsidRDefault="00116AAC" w:rsidP="00AA29CF">
            <w:pPr>
              <w:pStyle w:val="Obsahtabulky"/>
              <w:snapToGrid w:val="0"/>
              <w:spacing w:line="200" w:lineRule="atLeast"/>
              <w:jc w:val="center"/>
            </w:pPr>
            <w:r w:rsidRPr="007835F8">
              <w:rPr>
                <w:b/>
                <w:sz w:val="20"/>
              </w:rPr>
              <w:t>ř.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F63F82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Druh plochy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EF573C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Plocha</w:t>
            </w:r>
          </w:p>
          <w:p w14:paraId="58F2801F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A2A119B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Odtokový součinitel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F25A2C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Redukovaná plocha 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  <w:p w14:paraId="6E7A3547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i/>
                <w:iCs/>
                <w:sz w:val="18"/>
                <w:szCs w:val="18"/>
              </w:rPr>
              <w:t>(plocha x součinitel)</w:t>
            </w:r>
          </w:p>
        </w:tc>
      </w:tr>
      <w:tr w:rsidR="00116AAC" w14:paraId="2D53E9E9" w14:textId="77777777" w:rsidTr="002E079C"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7B0D523" w14:textId="77777777" w:rsidR="00116AAC" w:rsidRDefault="00116AA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6165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EDA5D6" w14:textId="77777777" w:rsidR="00116AAC" w:rsidRDefault="00116AAC" w:rsidP="00AA29CF">
            <w:pPr>
              <w:spacing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 xml:space="preserve">zastavěné plochy a těžce propustné zpevněné plochy s možností </w:t>
            </w:r>
          </w:p>
          <w:p w14:paraId="18FFE1FB" w14:textId="77777777" w:rsidR="00116AAC" w:rsidRDefault="00116AAC" w:rsidP="00AA29CF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odtoku do kanalizace (střechy budov, asfalt, spárovaná dlažba apod.)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B8D087E" w14:textId="1269C2D4" w:rsidR="00116AAC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670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8B86FD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C6811B" w14:textId="041862CA" w:rsidR="00116AAC" w:rsidRPr="0029579F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603</w:t>
            </w:r>
          </w:p>
        </w:tc>
      </w:tr>
      <w:tr w:rsidR="00F67A04" w14:paraId="5F47273B" w14:textId="77777777" w:rsidTr="002E079C">
        <w:tc>
          <w:tcPr>
            <w:tcW w:w="356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301863" w14:textId="0F50D798" w:rsidR="00F67A04" w:rsidRDefault="002E079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44A6F" w14:textId="08BDAB04" w:rsidR="00F67A04" w:rsidRDefault="00F67A04" w:rsidP="00AA29CF">
            <w:pPr>
              <w:spacing w:line="200" w:lineRule="atLeas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 </w:t>
            </w:r>
            <w:r w:rsidRPr="00F67A04">
              <w:rPr>
                <w:rFonts w:cs="Arial"/>
                <w:sz w:val="20"/>
              </w:rPr>
              <w:t xml:space="preserve">– plocha veget. </w:t>
            </w:r>
            <w:proofErr w:type="gramStart"/>
            <w:r>
              <w:rPr>
                <w:rFonts w:cs="Arial"/>
                <w:sz w:val="20"/>
              </w:rPr>
              <w:t>střechy</w:t>
            </w:r>
            <w:proofErr w:type="gramEnd"/>
            <w:r w:rsidRPr="00F67A04">
              <w:rPr>
                <w:rFonts w:cs="Arial"/>
                <w:sz w:val="20"/>
              </w:rPr>
              <w:t xml:space="preserve"> (5-10 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84E35" w14:textId="07617BC5" w:rsidR="00F67A04" w:rsidRDefault="00F67A04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ECFE7A" w14:textId="45C8C7E7" w:rsidR="00F67A04" w:rsidRDefault="00AE32BA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EB6324" w14:textId="74449DAA" w:rsidR="00F67A04" w:rsidRPr="0029579F" w:rsidRDefault="00F67A04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</w:p>
        </w:tc>
      </w:tr>
      <w:tr w:rsidR="00116AAC" w14:paraId="76576316" w14:textId="77777777" w:rsidTr="002E079C"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741684A" w14:textId="5C17FFC7" w:rsidR="00116AAC" w:rsidRDefault="002E079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  <w:r w:rsidR="00116AA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61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4A8DC9" w14:textId="5F60B330" w:rsidR="00116AAC" w:rsidRDefault="00F67A04" w:rsidP="00AA29CF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C</w:t>
            </w:r>
            <w:r w:rsidR="00116AAC">
              <w:rPr>
                <w:rFonts w:cs="Arial"/>
                <w:sz w:val="20"/>
              </w:rPr>
              <w:t xml:space="preserve"> - </w:t>
            </w:r>
            <w:r w:rsidR="00116AAC">
              <w:rPr>
                <w:rFonts w:cs="Arial"/>
                <w:sz w:val="18"/>
                <w:szCs w:val="18"/>
              </w:rPr>
              <w:t xml:space="preserve">lehce propustné zpevněné plochy s možností odtoku </w:t>
            </w:r>
            <w:proofErr w:type="gramStart"/>
            <w:r w:rsidR="00116AAC">
              <w:rPr>
                <w:rFonts w:cs="Arial"/>
                <w:sz w:val="18"/>
                <w:szCs w:val="18"/>
              </w:rPr>
              <w:t>do</w:t>
            </w:r>
            <w:proofErr w:type="gramEnd"/>
          </w:p>
          <w:p w14:paraId="0E2E4CFC" w14:textId="77777777" w:rsidR="00116AAC" w:rsidRDefault="00116AAC" w:rsidP="00AA29CF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kanalizace (antuka, štěrk, nespárovaná dlažba apod.)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4C27DB" w14:textId="5A270B48" w:rsidR="00116AAC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A1BAE7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8BE831" w14:textId="12A06918" w:rsidR="00116AAC" w:rsidRPr="0029579F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15,2</w:t>
            </w:r>
          </w:p>
        </w:tc>
      </w:tr>
      <w:tr w:rsidR="00F67A04" w14:paraId="45A546BE" w14:textId="77777777" w:rsidTr="002E079C">
        <w:tc>
          <w:tcPr>
            <w:tcW w:w="356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F15F688" w14:textId="1AACA98E" w:rsidR="00F67A04" w:rsidRDefault="002E079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4.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FA455" w14:textId="23C2BC68" w:rsidR="00F67A04" w:rsidRDefault="00F67A04" w:rsidP="00AA29CF">
            <w:pPr>
              <w:spacing w:line="200" w:lineRule="atLeas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 </w:t>
            </w:r>
            <w:r w:rsidRPr="00F67A04">
              <w:rPr>
                <w:rFonts w:cs="Arial"/>
                <w:sz w:val="20"/>
              </w:rPr>
              <w:t xml:space="preserve">– plocha veget. </w:t>
            </w:r>
            <w:proofErr w:type="gramStart"/>
            <w:r>
              <w:rPr>
                <w:rFonts w:cs="Arial"/>
                <w:sz w:val="20"/>
              </w:rPr>
              <w:t>střechy</w:t>
            </w:r>
            <w:proofErr w:type="gramEnd"/>
            <w:r w:rsidRPr="00F67A04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11</w:t>
            </w:r>
            <w:r w:rsidRPr="00F67A04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3</w:t>
            </w:r>
            <w:r w:rsidRPr="00F67A04">
              <w:rPr>
                <w:rFonts w:cs="Arial"/>
                <w:sz w:val="20"/>
              </w:rPr>
              <w:t>0 cm)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F70446B" w14:textId="48392864" w:rsidR="00F67A04" w:rsidRDefault="00F67A04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D9A29" w14:textId="2C210D17" w:rsidR="00F67A04" w:rsidRDefault="00AE32BA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0FCFD7" w14:textId="5302AE33" w:rsidR="00F67A04" w:rsidRDefault="00F67A04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</w:p>
        </w:tc>
      </w:tr>
      <w:tr w:rsidR="00F67A04" w14:paraId="63081728" w14:textId="77777777" w:rsidTr="002E079C">
        <w:tc>
          <w:tcPr>
            <w:tcW w:w="356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2F1D63C" w14:textId="045807F8" w:rsidR="00F67A04" w:rsidRDefault="002E079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5.</w:t>
            </w:r>
          </w:p>
        </w:tc>
        <w:tc>
          <w:tcPr>
            <w:tcW w:w="61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B47EB6" w14:textId="32660602" w:rsidR="00F67A04" w:rsidRDefault="00F67A04" w:rsidP="00AA29CF">
            <w:pPr>
              <w:spacing w:line="200" w:lineRule="atLeas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 </w:t>
            </w:r>
            <w:r w:rsidRPr="00F67A04">
              <w:rPr>
                <w:rFonts w:cs="Arial"/>
                <w:sz w:val="20"/>
              </w:rPr>
              <w:t xml:space="preserve">– plocha veget. </w:t>
            </w:r>
            <w:proofErr w:type="gramStart"/>
            <w:r>
              <w:rPr>
                <w:rFonts w:cs="Arial"/>
                <w:sz w:val="20"/>
              </w:rPr>
              <w:t>střechy</w:t>
            </w:r>
            <w:proofErr w:type="gramEnd"/>
            <w:r w:rsidRPr="00F67A04">
              <w:rPr>
                <w:rFonts w:cs="Arial"/>
                <w:sz w:val="20"/>
              </w:rPr>
              <w:t xml:space="preserve"> (</w:t>
            </w:r>
            <w:r w:rsidR="00AE32BA">
              <w:rPr>
                <w:rFonts w:cs="Arial"/>
                <w:sz w:val="20"/>
              </w:rPr>
              <w:t>od 31</w:t>
            </w:r>
            <w:r w:rsidRPr="00F67A04">
              <w:rPr>
                <w:rFonts w:cs="Arial"/>
                <w:sz w:val="20"/>
              </w:rPr>
              <w:t xml:space="preserve"> cm)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6DC775" w14:textId="53CF50D4" w:rsidR="00F67A04" w:rsidRDefault="00F67A04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89CE50" w14:textId="5CEF7189" w:rsidR="00F67A04" w:rsidRDefault="00AE32BA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CB8BF" w14:textId="43B35CFA" w:rsidR="00F67A04" w:rsidRDefault="00F67A04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</w:p>
        </w:tc>
      </w:tr>
      <w:tr w:rsidR="00116AAC" w14:paraId="1BC30E14" w14:textId="77777777" w:rsidTr="002E079C">
        <w:tc>
          <w:tcPr>
            <w:tcW w:w="356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812CAF" w14:textId="02EBF3FD" w:rsidR="00116AAC" w:rsidRDefault="002E079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116AA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61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BDDD0" w14:textId="5BDE90C8" w:rsidR="00116AAC" w:rsidRDefault="00F67A04" w:rsidP="00AA29CF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F</w:t>
            </w:r>
            <w:r w:rsidR="00116AAC">
              <w:rPr>
                <w:rFonts w:cs="Arial"/>
                <w:sz w:val="20"/>
              </w:rPr>
              <w:t xml:space="preserve"> - </w:t>
            </w:r>
            <w:r w:rsidR="00116AAC">
              <w:rPr>
                <w:rFonts w:cs="Arial"/>
                <w:sz w:val="18"/>
                <w:szCs w:val="18"/>
              </w:rPr>
              <w:t>plochy kryté vegetací s možností odtoku do kanalizace</w:t>
            </w:r>
          </w:p>
          <w:p w14:paraId="2D993CCB" w14:textId="77777777" w:rsidR="00116AAC" w:rsidRDefault="00116AAC" w:rsidP="00AA29CF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 (trávník, zahrada, park apod.)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E157B" w14:textId="488AC23C" w:rsidR="00116AAC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AF271" w14:textId="77777777" w:rsidR="00116AAC" w:rsidRDefault="00116AAC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39BF6" w14:textId="65D0EFE0" w:rsidR="00116AAC" w:rsidRPr="0029579F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1,75</w:t>
            </w:r>
          </w:p>
        </w:tc>
      </w:tr>
      <w:tr w:rsidR="00116AAC" w14:paraId="532408B7" w14:textId="77777777" w:rsidTr="002E079C">
        <w:trPr>
          <w:trHeight w:hRule="exact" w:val="350"/>
        </w:trPr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4FFC359" w14:textId="4CC5A0FF" w:rsidR="00116AAC" w:rsidRDefault="002E079C" w:rsidP="00AA29CF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7</w:t>
            </w:r>
            <w:r w:rsidR="00116AAC">
              <w:rPr>
                <w:rFonts w:eastAsia="Arial" w:cs="Arial"/>
                <w:b/>
                <w:bCs/>
                <w:sz w:val="20"/>
              </w:rPr>
              <w:t>.</w:t>
            </w:r>
          </w:p>
        </w:tc>
        <w:tc>
          <w:tcPr>
            <w:tcW w:w="814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2F5FC03" w14:textId="77777777" w:rsidR="00116AAC" w:rsidRPr="007835F8" w:rsidRDefault="00116AAC" w:rsidP="00AA29CF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Součet redukovaných ploch </w:t>
            </w:r>
            <w:r w:rsidRPr="007835F8">
              <w:rPr>
                <w:rFonts w:eastAsia="Arial" w:cs="Arial"/>
                <w:bCs/>
                <w:sz w:val="20"/>
              </w:rPr>
              <w:t>(m</w:t>
            </w:r>
            <w:r w:rsidRPr="007835F8">
              <w:rPr>
                <w:rFonts w:eastAsia="Arial" w:cs="Arial"/>
                <w:bCs/>
                <w:sz w:val="20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D1A7ED" w14:textId="2F3B4F06" w:rsidR="00116AAC" w:rsidRPr="0029579F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619,95</w:t>
            </w:r>
          </w:p>
        </w:tc>
      </w:tr>
      <w:tr w:rsidR="00116AAC" w14:paraId="6917F8D4" w14:textId="77777777" w:rsidTr="00591757">
        <w:trPr>
          <w:trHeight w:val="482"/>
        </w:trPr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86F2841" w14:textId="21FA0B9A" w:rsidR="00116AAC" w:rsidRDefault="002E079C" w:rsidP="00AA29CF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8</w:t>
            </w:r>
            <w:r w:rsidR="00116AAC">
              <w:rPr>
                <w:rFonts w:eastAsia="Arial" w:cs="Arial"/>
                <w:b/>
                <w:bCs/>
                <w:sz w:val="20"/>
              </w:rPr>
              <w:t>.</w:t>
            </w:r>
          </w:p>
        </w:tc>
        <w:tc>
          <w:tcPr>
            <w:tcW w:w="8149" w:type="dxa"/>
            <w:gridSpan w:val="3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7FBF0" w14:textId="77777777" w:rsidR="00116AAC" w:rsidRDefault="00116AAC" w:rsidP="00AA29CF">
            <w:pPr>
              <w:spacing w:line="200" w:lineRule="atLeast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Redukce ploch podle % ploch neužívaných k trvalému bydlení 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>(m</w:t>
            </w:r>
            <w:r w:rsidRPr="007835F8">
              <w:rPr>
                <w:rFonts w:eastAsia="Arial" w:cs="Arial"/>
                <w:bCs/>
                <w:sz w:val="18"/>
                <w:szCs w:val="18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>)</w:t>
            </w:r>
          </w:p>
          <w:p w14:paraId="6F38F41C" w14:textId="62087F29" w:rsidR="00116AAC" w:rsidRPr="007835F8" w:rsidRDefault="00116AAC" w:rsidP="00AA29CF">
            <w:pPr>
              <w:spacing w:line="200" w:lineRule="atLeas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 xml:space="preserve">Součet redukovaných ploch </w:t>
            </w:r>
            <w:r>
              <w:rPr>
                <w:rFonts w:eastAsia="Arial" w:cs="Arial"/>
                <w:bCs/>
                <w:i/>
                <w:sz w:val="18"/>
                <w:szCs w:val="18"/>
              </w:rPr>
              <w:t>x</w:t>
            </w:r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 xml:space="preserve"> procento ploch neužívaných k trvalému </w:t>
            </w:r>
            <w:r w:rsidR="00AA36C8" w:rsidRPr="007835F8">
              <w:rPr>
                <w:rFonts w:eastAsia="Arial" w:cs="Arial"/>
                <w:bCs/>
                <w:i/>
                <w:sz w:val="18"/>
                <w:szCs w:val="18"/>
              </w:rPr>
              <w:t>bydlení</w:t>
            </w:r>
            <w:r w:rsidR="00AA36C8" w:rsidRPr="007835F8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AA36C8">
              <w:rPr>
                <w:rFonts w:eastAsia="Arial" w:cs="Arial"/>
                <w:bCs/>
                <w:sz w:val="18"/>
                <w:szCs w:val="18"/>
              </w:rPr>
              <w:t>/</w:t>
            </w:r>
            <w:r>
              <w:rPr>
                <w:rFonts w:eastAsia="Arial" w:cs="Arial"/>
                <w:bCs/>
                <w:sz w:val="18"/>
                <w:szCs w:val="18"/>
              </w:rPr>
              <w:t xml:space="preserve"> 100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F9D2C6" w14:textId="7944546B" w:rsidR="00116AAC" w:rsidRPr="0029579F" w:rsidRDefault="002D5715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-</w:t>
            </w:r>
          </w:p>
        </w:tc>
      </w:tr>
      <w:tr w:rsidR="00116AAC" w14:paraId="081687F2" w14:textId="77777777" w:rsidTr="002E079C">
        <w:trPr>
          <w:trHeight w:hRule="exact" w:val="352"/>
        </w:trPr>
        <w:tc>
          <w:tcPr>
            <w:tcW w:w="3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B1C371" w14:textId="475F1DA2" w:rsidR="00116AAC" w:rsidRDefault="002E079C" w:rsidP="00AA29CF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9</w:t>
            </w:r>
            <w:r w:rsidR="00116AAC">
              <w:rPr>
                <w:rFonts w:eastAsia="Arial" w:cs="Arial"/>
                <w:b/>
                <w:bCs/>
                <w:sz w:val="20"/>
              </w:rPr>
              <w:t>.</w:t>
            </w:r>
          </w:p>
        </w:tc>
        <w:tc>
          <w:tcPr>
            <w:tcW w:w="8149" w:type="dxa"/>
            <w:gridSpan w:val="3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A3AB81" w14:textId="77777777" w:rsidR="00116AAC" w:rsidRPr="007835F8" w:rsidRDefault="00116AAC" w:rsidP="00AA29CF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Dlouhodobý srážkový normál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7835F8">
              <w:rPr>
                <w:rFonts w:eastAsia="Arial" w:cs="Arial"/>
                <w:i/>
                <w:iCs/>
                <w:sz w:val="18"/>
                <w:szCs w:val="18"/>
              </w:rPr>
              <w:t>(m/rok)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F74B74" w14:textId="69699A5E" w:rsidR="00116AAC" w:rsidRPr="0029579F" w:rsidRDefault="0014612B" w:rsidP="00AA29C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0,6677</w:t>
            </w:r>
          </w:p>
        </w:tc>
      </w:tr>
      <w:tr w:rsidR="00116AAC" w14:paraId="1B343A10" w14:textId="77777777" w:rsidTr="002E079C"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36A0A7B" w14:textId="5D374875" w:rsidR="00116AAC" w:rsidRDefault="002E079C" w:rsidP="00AA29C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  <w:r w:rsidR="00116AAC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8149" w:type="dxa"/>
            <w:gridSpan w:val="3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20FA08" w14:textId="77777777" w:rsidR="00116AAC" w:rsidRDefault="00116AAC" w:rsidP="00AA29CF">
            <w:pPr>
              <w:spacing w:line="200" w:lineRule="atLeast"/>
              <w:rPr>
                <w:rFonts w:eastAsia="Arial"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Vypočtené množství odváděných srážkových </w:t>
            </w:r>
            <w:r w:rsidRPr="00201B02">
              <w:rPr>
                <w:rFonts w:cs="Arial"/>
                <w:b/>
                <w:bCs/>
                <w:sz w:val="20"/>
              </w:rPr>
              <w:t>vod</w:t>
            </w:r>
            <w:r w:rsidRPr="00201B02">
              <w:rPr>
                <w:rFonts w:cs="Arial"/>
                <w:b/>
                <w:sz w:val="20"/>
              </w:rPr>
              <w:t xml:space="preserve"> k vyúčtování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(m</w:t>
            </w:r>
            <w:r>
              <w:rPr>
                <w:rFonts w:cs="Arial"/>
                <w:i/>
                <w:iCs/>
                <w:sz w:val="20"/>
                <w:vertAlign w:val="superscript"/>
              </w:rPr>
              <w:t>3</w:t>
            </w:r>
            <w:r>
              <w:rPr>
                <w:rFonts w:cs="Arial"/>
                <w:i/>
                <w:iCs/>
                <w:sz w:val="20"/>
              </w:rPr>
              <w:t>/rok)</w:t>
            </w:r>
          </w:p>
          <w:p w14:paraId="6A24ED94" w14:textId="77777777" w:rsidR="00116AAC" w:rsidRPr="0010591C" w:rsidRDefault="00116AAC" w:rsidP="00AA29CF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 w:rsidRPr="0010591C">
              <w:rPr>
                <w:rFonts w:eastAsia="Arial" w:cs="Arial"/>
                <w:i/>
                <w:iCs/>
                <w:sz w:val="18"/>
                <w:szCs w:val="18"/>
              </w:rPr>
              <w:t>(řádek 5. x řádek 6</w:t>
            </w:r>
            <w:r>
              <w:rPr>
                <w:rFonts w:eastAsia="Arial" w:cs="Arial"/>
                <w:i/>
                <w:iCs/>
                <w:sz w:val="18"/>
                <w:szCs w:val="18"/>
              </w:rPr>
              <w:t>.</w:t>
            </w:r>
            <w:r w:rsidRPr="0010591C">
              <w:rPr>
                <w:rFonts w:eastAsia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5BB3D87" w14:textId="4C0C9220" w:rsidR="00116AAC" w:rsidRPr="0029579F" w:rsidRDefault="0014612B" w:rsidP="00AA29CF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413,94</w:t>
            </w:r>
          </w:p>
        </w:tc>
      </w:tr>
    </w:tbl>
    <w:p w14:paraId="3DA43F5F" w14:textId="77777777" w:rsidR="00116AAC" w:rsidRDefault="00116AAC" w:rsidP="00116AAC">
      <w:pPr>
        <w:pStyle w:val="Tlotextu"/>
        <w:autoSpaceDE w:val="0"/>
        <w:spacing w:line="200" w:lineRule="atLeast"/>
        <w:ind w:left="1134" w:hanging="283"/>
        <w:rPr>
          <w:rFonts w:ascii="Arial" w:hAnsi="Arial" w:cs="Arial"/>
          <w:sz w:val="20"/>
        </w:rPr>
      </w:pPr>
    </w:p>
    <w:p w14:paraId="611FE4E5" w14:textId="77777777" w:rsidR="00116AAC" w:rsidRDefault="00116AAC" w:rsidP="00116AAC">
      <w:pPr>
        <w:autoSpaceDE w:val="0"/>
        <w:spacing w:line="200" w:lineRule="atLeast"/>
        <w:rPr>
          <w:rFonts w:eastAsia="Mangal" w:cs="Arial"/>
          <w:sz w:val="20"/>
        </w:rPr>
      </w:pPr>
      <w:r>
        <w:rPr>
          <w:rFonts w:eastAsia="Arial" w:cs="Arial"/>
          <w:sz w:val="20"/>
        </w:rPr>
        <w:t>Odběratel prohlašuje, že uvedl úplné a správné údaje</w:t>
      </w:r>
    </w:p>
    <w:p w14:paraId="1F9D06AD" w14:textId="77777777" w:rsidR="00116AAC" w:rsidRDefault="00116AAC" w:rsidP="00116AAC">
      <w:pPr>
        <w:tabs>
          <w:tab w:val="left" w:pos="1985"/>
          <w:tab w:val="left" w:pos="5245"/>
        </w:tabs>
        <w:autoSpaceDE w:val="0"/>
        <w:spacing w:line="200" w:lineRule="atLeast"/>
        <w:ind w:left="13"/>
        <w:rPr>
          <w:rFonts w:eastAsia="Arial" w:cs="Arial"/>
          <w:sz w:val="20"/>
        </w:rPr>
      </w:pPr>
    </w:p>
    <w:p w14:paraId="6615DA63" w14:textId="33468CC8" w:rsidR="00D92879" w:rsidRDefault="00116AAC" w:rsidP="00D92879">
      <w:pPr>
        <w:tabs>
          <w:tab w:val="left" w:pos="1985"/>
          <w:tab w:val="left" w:pos="5245"/>
        </w:tabs>
        <w:autoSpaceDE w:val="0"/>
        <w:spacing w:line="200" w:lineRule="atLeast"/>
        <w:ind w:left="13"/>
        <w:rPr>
          <w:rFonts w:eastAsia="Mangal" w:cs="Arial"/>
          <w:sz w:val="20"/>
        </w:rPr>
      </w:pPr>
      <w:proofErr w:type="gramStart"/>
      <w:r>
        <w:rPr>
          <w:rFonts w:eastAsia="Arial" w:cs="Arial"/>
          <w:sz w:val="20"/>
        </w:rPr>
        <w:t xml:space="preserve">V  </w:t>
      </w:r>
      <w:r w:rsidR="00B65B6B">
        <w:rPr>
          <w:rFonts w:eastAsia="Arial" w:cs="Arial"/>
          <w:sz w:val="20"/>
        </w:rPr>
        <w:t>Jihlavě</w:t>
      </w:r>
      <w:proofErr w:type="gramEnd"/>
      <w:r>
        <w:rPr>
          <w:rFonts w:eastAsia="Arial" w:cs="Arial"/>
          <w:sz w:val="20"/>
        </w:rPr>
        <w:tab/>
        <w:t xml:space="preserve">dne  </w:t>
      </w:r>
      <w:r w:rsidR="00B65B6B">
        <w:rPr>
          <w:rFonts w:eastAsia="Arial" w:cs="Arial"/>
          <w:sz w:val="20"/>
        </w:rPr>
        <w:t>24. 10. 2022</w:t>
      </w:r>
      <w:r>
        <w:rPr>
          <w:rFonts w:eastAsia="Arial" w:cs="Arial"/>
          <w:sz w:val="20"/>
        </w:rPr>
        <w:tab/>
      </w:r>
      <w:r w:rsidR="00030A6D">
        <w:rPr>
          <w:rFonts w:eastAsia="Arial" w:cs="Arial"/>
          <w:sz w:val="20"/>
        </w:rPr>
        <w:t>Odběratel</w:t>
      </w:r>
      <w:r>
        <w:rPr>
          <w:rFonts w:eastAsia="Arial" w:cs="Arial"/>
          <w:sz w:val="20"/>
        </w:rPr>
        <w:t>:</w:t>
      </w:r>
      <w:r w:rsidR="00B65B6B">
        <w:rPr>
          <w:rFonts w:eastAsia="Arial" w:cs="Arial"/>
          <w:sz w:val="20"/>
        </w:rPr>
        <w:t xml:space="preserve">  </w:t>
      </w:r>
    </w:p>
    <w:p w14:paraId="6F67E300" w14:textId="67BF546E" w:rsidR="00116AAC" w:rsidRDefault="00116AAC" w:rsidP="00116AAC">
      <w:pPr>
        <w:autoSpaceDE w:val="0"/>
        <w:spacing w:line="200" w:lineRule="atLeast"/>
        <w:rPr>
          <w:rFonts w:eastAsia="Mangal" w:cs="Arial"/>
          <w:sz w:val="20"/>
        </w:rPr>
      </w:pPr>
    </w:p>
    <w:p w14:paraId="175AB370" w14:textId="77777777" w:rsidR="00116AAC" w:rsidRDefault="00116AAC" w:rsidP="00116AAC">
      <w:pPr>
        <w:autoSpaceDE w:val="0"/>
        <w:spacing w:line="200" w:lineRule="atLeast"/>
        <w:rPr>
          <w:rFonts w:eastAsia="Mangal" w:cs="Arial"/>
          <w:sz w:val="20"/>
        </w:rPr>
      </w:pPr>
    </w:p>
    <w:p w14:paraId="0DA28185" w14:textId="7857C489" w:rsidR="00116AAC" w:rsidRDefault="00116AAC" w:rsidP="00116AAC">
      <w:pPr>
        <w:tabs>
          <w:tab w:val="left" w:pos="1985"/>
          <w:tab w:val="left" w:pos="5245"/>
        </w:tabs>
        <w:autoSpaceDE w:val="0"/>
        <w:spacing w:line="200" w:lineRule="atLeast"/>
        <w:ind w:left="13"/>
      </w:pPr>
      <w:r>
        <w:rPr>
          <w:rFonts w:eastAsia="Arial" w:cs="Arial"/>
          <w:sz w:val="20"/>
        </w:rPr>
        <w:t xml:space="preserve">Jméno, funkce: </w:t>
      </w:r>
      <w:r w:rsidR="00B65B6B">
        <w:rPr>
          <w:rFonts w:eastAsia="Arial" w:cs="Arial"/>
          <w:sz w:val="20"/>
        </w:rPr>
        <w:t>PhDr. Jarmila Daňková, ředitelka</w:t>
      </w:r>
      <w:r w:rsidR="00B65B6B">
        <w:rPr>
          <w:rFonts w:eastAsia="Arial" w:cs="Arial"/>
          <w:sz w:val="20"/>
        </w:rPr>
        <w:tab/>
      </w:r>
      <w:r w:rsidR="00B65B6B">
        <w:rPr>
          <w:rFonts w:eastAsia="Arial" w:cs="Arial"/>
          <w:sz w:val="20"/>
        </w:rPr>
        <w:tab/>
        <w:t xml:space="preserve">Podpis </w:t>
      </w:r>
      <w:proofErr w:type="gramStart"/>
      <w:r w:rsidR="00B65B6B">
        <w:rPr>
          <w:rFonts w:eastAsia="Arial" w:cs="Arial"/>
          <w:sz w:val="20"/>
        </w:rPr>
        <w:t>od</w:t>
      </w:r>
      <w:r>
        <w:rPr>
          <w:rFonts w:eastAsia="Arial" w:cs="Arial"/>
          <w:sz w:val="20"/>
        </w:rPr>
        <w:t>běratele.....................…</w:t>
      </w:r>
      <w:proofErr w:type="gramEnd"/>
      <w:r>
        <w:rPr>
          <w:rFonts w:eastAsia="Arial" w:cs="Arial"/>
          <w:sz w:val="20"/>
        </w:rPr>
        <w:t>…......</w:t>
      </w:r>
    </w:p>
    <w:sectPr w:rsidR="00116AAC" w:rsidSect="00CA6BCE">
      <w:headerReference w:type="default" r:id="rId8"/>
      <w:footerReference w:type="default" r:id="rId9"/>
      <w:pgSz w:w="11906" w:h="16838" w:code="9"/>
      <w:pgMar w:top="1588" w:right="1418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064F9" w14:textId="77777777" w:rsidR="003F3159" w:rsidRDefault="003F3159" w:rsidP="004E79FF">
      <w:pPr>
        <w:spacing w:line="240" w:lineRule="auto"/>
      </w:pPr>
      <w:r>
        <w:separator/>
      </w:r>
    </w:p>
  </w:endnote>
  <w:endnote w:type="continuationSeparator" w:id="0">
    <w:p w14:paraId="65FA735A" w14:textId="77777777" w:rsidR="003F3159" w:rsidRDefault="003F3159" w:rsidP="004E7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tique Olv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78FB" w14:textId="77777777" w:rsidR="004E79FF" w:rsidRPr="004E79FF" w:rsidRDefault="004E79FF" w:rsidP="004E79FF">
    <w:pPr>
      <w:spacing w:line="240" w:lineRule="auto"/>
      <w:jc w:val="center"/>
      <w:rPr>
        <w:rFonts w:eastAsia="Times New Roman" w:cs="Arial"/>
        <w:b/>
        <w:color w:val="000080"/>
        <w:sz w:val="16"/>
        <w:szCs w:val="16"/>
        <w:lang w:eastAsia="cs-CZ"/>
      </w:rPr>
    </w:pPr>
    <w:r w:rsidRPr="004E79FF">
      <w:rPr>
        <w:rFonts w:ascii="Antique Olv (W1)" w:eastAsia="Times New Roman" w:hAnsi="Antique Olv (W1)" w:cs="Arial"/>
        <w:b/>
        <w:caps/>
        <w:color w:val="000080"/>
        <w:sz w:val="16"/>
        <w:szCs w:val="16"/>
        <w:lang w:eastAsia="cs-CZ"/>
      </w:rPr>
      <w:t>Služby města</w:t>
    </w:r>
    <w:r w:rsidRPr="004E79FF">
      <w:rPr>
        <w:rFonts w:ascii="Antique Olv (W1)" w:eastAsia="Times New Roman" w:hAnsi="Antique Olv (W1)" w:cs="Arial"/>
        <w:b/>
        <w:color w:val="000080"/>
        <w:sz w:val="16"/>
        <w:szCs w:val="16"/>
        <w:lang w:eastAsia="cs-CZ"/>
      </w:rPr>
      <w:t xml:space="preserve"> JIHLAVY s.r.o</w:t>
    </w:r>
    <w:r w:rsidRPr="004E79FF">
      <w:rPr>
        <w:rFonts w:eastAsia="Times New Roman" w:cs="Arial"/>
        <w:b/>
        <w:color w:val="000080"/>
        <w:sz w:val="16"/>
        <w:szCs w:val="16"/>
        <w:lang w:eastAsia="cs-CZ"/>
      </w:rPr>
      <w:t>., Havlíčkova 64, 586 01 Jihlava, tel:567 553 111, fax: 567 309 038,</w:t>
    </w:r>
  </w:p>
  <w:p w14:paraId="647E2DF7" w14:textId="77777777" w:rsidR="004E79FF" w:rsidRPr="004E79FF" w:rsidRDefault="004E79FF" w:rsidP="004E79FF">
    <w:pPr>
      <w:spacing w:line="240" w:lineRule="auto"/>
      <w:jc w:val="center"/>
      <w:rPr>
        <w:rFonts w:eastAsia="Times New Roman" w:cs="Arial"/>
        <w:b/>
        <w:color w:val="000080"/>
        <w:sz w:val="16"/>
        <w:szCs w:val="16"/>
        <w:lang w:eastAsia="cs-CZ"/>
      </w:rPr>
    </w:pPr>
    <w:r w:rsidRPr="004E79FF">
      <w:rPr>
        <w:rFonts w:eastAsia="Times New Roman" w:cs="Arial"/>
        <w:b/>
        <w:color w:val="000080"/>
        <w:sz w:val="16"/>
        <w:szCs w:val="16"/>
        <w:lang w:eastAsia="cs-CZ"/>
      </w:rPr>
      <w:t>e-mail: smj@smj.cz, http://www.smj.cz, společnost je zapsána v obchodním rejstříku vedeném Krajským soudem</w:t>
    </w:r>
  </w:p>
  <w:p w14:paraId="57B65570" w14:textId="77777777" w:rsidR="004E79FF" w:rsidRPr="004E79FF" w:rsidRDefault="004E79FF" w:rsidP="004E79FF">
    <w:pPr>
      <w:spacing w:line="240" w:lineRule="auto"/>
      <w:jc w:val="center"/>
      <w:rPr>
        <w:rFonts w:eastAsia="Times New Roman" w:cs="Arial"/>
        <w:b/>
        <w:color w:val="000080"/>
        <w:sz w:val="16"/>
        <w:szCs w:val="16"/>
        <w:lang w:eastAsia="cs-CZ"/>
      </w:rPr>
    </w:pPr>
    <w:r w:rsidRPr="004E79FF">
      <w:rPr>
        <w:rFonts w:eastAsia="Times New Roman" w:cs="Arial"/>
        <w:b/>
        <w:color w:val="000080"/>
        <w:sz w:val="16"/>
        <w:szCs w:val="16"/>
        <w:lang w:eastAsia="cs-CZ"/>
      </w:rPr>
      <w:t>v Brně, spisová značka C17143, IČ 60727772, DIČ CZ60727772, Komerční banka a.s., číslo účtu: 19-4649590277/0100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32BE" w14:textId="77777777" w:rsidR="003F3159" w:rsidRDefault="003F3159" w:rsidP="004E79FF">
      <w:pPr>
        <w:spacing w:line="240" w:lineRule="auto"/>
      </w:pPr>
      <w:r>
        <w:separator/>
      </w:r>
    </w:p>
  </w:footnote>
  <w:footnote w:type="continuationSeparator" w:id="0">
    <w:p w14:paraId="54DD86E0" w14:textId="77777777" w:rsidR="003F3159" w:rsidRDefault="003F3159" w:rsidP="004E7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B5B1A" w14:textId="77777777" w:rsidR="004E79FF" w:rsidRDefault="00856F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2635EC" wp14:editId="0EEF5FA0">
          <wp:simplePos x="0" y="0"/>
          <wp:positionH relativeFrom="column">
            <wp:posOffset>538480</wp:posOffset>
          </wp:positionH>
          <wp:positionV relativeFrom="paragraph">
            <wp:posOffset>-333375</wp:posOffset>
          </wp:positionV>
          <wp:extent cx="4610100" cy="902970"/>
          <wp:effectExtent l="0" t="0" r="0" b="0"/>
          <wp:wrapTight wrapText="bothSides">
            <wp:wrapPolygon edited="0">
              <wp:start x="0" y="0"/>
              <wp:lineTo x="0" y="20962"/>
              <wp:lineTo x="21511" y="20962"/>
              <wp:lineTo x="2151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j voda a kanalizace LOGO navrh_Stránka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1A"/>
    <w:rsid w:val="00030A6D"/>
    <w:rsid w:val="00116AAC"/>
    <w:rsid w:val="001317F6"/>
    <w:rsid w:val="0014612B"/>
    <w:rsid w:val="001A7247"/>
    <w:rsid w:val="001B6EA5"/>
    <w:rsid w:val="001E0D02"/>
    <w:rsid w:val="00281537"/>
    <w:rsid w:val="002D5715"/>
    <w:rsid w:val="002E079C"/>
    <w:rsid w:val="003F3159"/>
    <w:rsid w:val="00402264"/>
    <w:rsid w:val="004945B4"/>
    <w:rsid w:val="004C31F1"/>
    <w:rsid w:val="004E79FF"/>
    <w:rsid w:val="004F691F"/>
    <w:rsid w:val="00591757"/>
    <w:rsid w:val="00780D3B"/>
    <w:rsid w:val="007924A3"/>
    <w:rsid w:val="007B2DC0"/>
    <w:rsid w:val="0084451A"/>
    <w:rsid w:val="00856F54"/>
    <w:rsid w:val="009B1A51"/>
    <w:rsid w:val="009D3281"/>
    <w:rsid w:val="00A7045C"/>
    <w:rsid w:val="00A91E68"/>
    <w:rsid w:val="00A9286A"/>
    <w:rsid w:val="00AA36C8"/>
    <w:rsid w:val="00AE32BA"/>
    <w:rsid w:val="00AF6FBC"/>
    <w:rsid w:val="00B65B6B"/>
    <w:rsid w:val="00C51BEE"/>
    <w:rsid w:val="00CA3C91"/>
    <w:rsid w:val="00CA6BCE"/>
    <w:rsid w:val="00D032DE"/>
    <w:rsid w:val="00D626FA"/>
    <w:rsid w:val="00D7295A"/>
    <w:rsid w:val="00D90138"/>
    <w:rsid w:val="00D92879"/>
    <w:rsid w:val="00E11B12"/>
    <w:rsid w:val="00E35194"/>
    <w:rsid w:val="00E56D96"/>
    <w:rsid w:val="00F322C6"/>
    <w:rsid w:val="00F67A04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41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AAC"/>
    <w:pPr>
      <w:suppressAutoHyphens/>
      <w:spacing w:after="0" w:line="360" w:lineRule="auto"/>
    </w:pPr>
    <w:rPr>
      <w:rFonts w:ascii="Arial" w:eastAsia="Calibri" w:hAnsi="Arial" w:cs="Times New Roman"/>
      <w:kern w:val="1"/>
      <w:sz w:val="24"/>
      <w:szCs w:val="20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116AAC"/>
    <w:pPr>
      <w:keepNext/>
      <w:numPr>
        <w:ilvl w:val="1"/>
        <w:numId w:val="1"/>
      </w:numPr>
      <w:spacing w:before="240" w:after="120"/>
      <w:outlineLvl w:val="1"/>
    </w:pPr>
    <w:rPr>
      <w:rFonts w:eastAsia="Microsoft YaHei" w:cs="Mang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9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9FF"/>
  </w:style>
  <w:style w:type="paragraph" w:styleId="Zpat">
    <w:name w:val="footer"/>
    <w:basedOn w:val="Normln"/>
    <w:link w:val="ZpatChar"/>
    <w:uiPriority w:val="99"/>
    <w:unhideWhenUsed/>
    <w:rsid w:val="004E79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9FF"/>
  </w:style>
  <w:style w:type="character" w:customStyle="1" w:styleId="Nadpis2Char">
    <w:name w:val="Nadpis 2 Char"/>
    <w:basedOn w:val="Standardnpsmoodstavce"/>
    <w:link w:val="Nadpis2"/>
    <w:rsid w:val="00116AAC"/>
    <w:rPr>
      <w:rFonts w:ascii="Arial" w:eastAsia="Microsoft YaHei" w:hAnsi="Arial" w:cs="Mangal"/>
      <w:b/>
      <w:bCs/>
      <w:i/>
      <w:iCs/>
      <w:kern w:val="1"/>
      <w:sz w:val="28"/>
      <w:szCs w:val="28"/>
      <w:lang w:eastAsia="ar-SA"/>
    </w:rPr>
  </w:style>
  <w:style w:type="paragraph" w:customStyle="1" w:styleId="Obsahtabulky">
    <w:name w:val="Obsah tabulky"/>
    <w:basedOn w:val="Normln"/>
    <w:rsid w:val="00116AAC"/>
    <w:pPr>
      <w:suppressLineNumbers/>
    </w:pPr>
  </w:style>
  <w:style w:type="paragraph" w:customStyle="1" w:styleId="Tlotextu">
    <w:name w:val="Tìlo textu"/>
    <w:basedOn w:val="Normln"/>
    <w:rsid w:val="00116AAC"/>
    <w:pPr>
      <w:jc w:val="both"/>
    </w:pPr>
    <w:rPr>
      <w:rFonts w:ascii="Times New Roman" w:eastAsia="SimSun" w:hAnsi="Times New Roman" w:cs="Mangal"/>
    </w:rPr>
  </w:style>
  <w:style w:type="paragraph" w:customStyle="1" w:styleId="Prosttext1">
    <w:name w:val="Prostý text1"/>
    <w:basedOn w:val="Normln"/>
    <w:rsid w:val="00116AAC"/>
    <w:rPr>
      <w:rFonts w:ascii="Courier New" w:eastAsia="Courier New" w:hAnsi="Courier New" w:cs="Mangal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6A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6AAC"/>
    <w:rPr>
      <w:rFonts w:ascii="Arial" w:eastAsia="Calibri" w:hAnsi="Arial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AAC"/>
    <w:pPr>
      <w:suppressAutoHyphens/>
      <w:spacing w:after="0" w:line="360" w:lineRule="auto"/>
    </w:pPr>
    <w:rPr>
      <w:rFonts w:ascii="Arial" w:eastAsia="Calibri" w:hAnsi="Arial" w:cs="Times New Roman"/>
      <w:kern w:val="1"/>
      <w:sz w:val="24"/>
      <w:szCs w:val="20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116AAC"/>
    <w:pPr>
      <w:keepNext/>
      <w:numPr>
        <w:ilvl w:val="1"/>
        <w:numId w:val="1"/>
      </w:numPr>
      <w:spacing w:before="240" w:after="120"/>
      <w:outlineLvl w:val="1"/>
    </w:pPr>
    <w:rPr>
      <w:rFonts w:eastAsia="Microsoft YaHei" w:cs="Mang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9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9FF"/>
  </w:style>
  <w:style w:type="paragraph" w:styleId="Zpat">
    <w:name w:val="footer"/>
    <w:basedOn w:val="Normln"/>
    <w:link w:val="ZpatChar"/>
    <w:uiPriority w:val="99"/>
    <w:unhideWhenUsed/>
    <w:rsid w:val="004E79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9FF"/>
  </w:style>
  <w:style w:type="character" w:customStyle="1" w:styleId="Nadpis2Char">
    <w:name w:val="Nadpis 2 Char"/>
    <w:basedOn w:val="Standardnpsmoodstavce"/>
    <w:link w:val="Nadpis2"/>
    <w:rsid w:val="00116AAC"/>
    <w:rPr>
      <w:rFonts w:ascii="Arial" w:eastAsia="Microsoft YaHei" w:hAnsi="Arial" w:cs="Mangal"/>
      <w:b/>
      <w:bCs/>
      <w:i/>
      <w:iCs/>
      <w:kern w:val="1"/>
      <w:sz w:val="28"/>
      <w:szCs w:val="28"/>
      <w:lang w:eastAsia="ar-SA"/>
    </w:rPr>
  </w:style>
  <w:style w:type="paragraph" w:customStyle="1" w:styleId="Obsahtabulky">
    <w:name w:val="Obsah tabulky"/>
    <w:basedOn w:val="Normln"/>
    <w:rsid w:val="00116AAC"/>
    <w:pPr>
      <w:suppressLineNumbers/>
    </w:pPr>
  </w:style>
  <w:style w:type="paragraph" w:customStyle="1" w:styleId="Tlotextu">
    <w:name w:val="Tìlo textu"/>
    <w:basedOn w:val="Normln"/>
    <w:rsid w:val="00116AAC"/>
    <w:pPr>
      <w:jc w:val="both"/>
    </w:pPr>
    <w:rPr>
      <w:rFonts w:ascii="Times New Roman" w:eastAsia="SimSun" w:hAnsi="Times New Roman" w:cs="Mangal"/>
    </w:rPr>
  </w:style>
  <w:style w:type="paragraph" w:customStyle="1" w:styleId="Prosttext1">
    <w:name w:val="Prostý text1"/>
    <w:basedOn w:val="Normln"/>
    <w:rsid w:val="00116AAC"/>
    <w:rPr>
      <w:rFonts w:ascii="Courier New" w:eastAsia="Courier New" w:hAnsi="Courier New" w:cs="Mangal"/>
      <w:sz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6A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6AAC"/>
    <w:rPr>
      <w:rFonts w:ascii="Arial" w:eastAsia="Calibri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 Libor</dc:creator>
  <cp:lastModifiedBy>MěK Jihlava-Útvar ekonomicko-správní</cp:lastModifiedBy>
  <cp:revision>2</cp:revision>
  <cp:lastPrinted>2022-10-24T07:37:00Z</cp:lastPrinted>
  <dcterms:created xsi:type="dcterms:W3CDTF">2022-10-24T08:24:00Z</dcterms:created>
  <dcterms:modified xsi:type="dcterms:W3CDTF">2022-10-24T08:24:00Z</dcterms:modified>
</cp:coreProperties>
</file>