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00B1" w14:textId="77777777" w:rsidR="00211500" w:rsidRDefault="00211500" w:rsidP="00211500">
      <w:pPr>
        <w:keepNext/>
        <w:keepLines/>
        <w:suppressLineNumbers/>
        <w:suppressAutoHyphens/>
        <w:spacing w:line="280" w:lineRule="atLeast"/>
        <w:jc w:val="center"/>
        <w:rPr>
          <w:rFonts w:ascii="Times New Roman" w:hAnsi="Times New Roman"/>
          <w:b/>
          <w:sz w:val="36"/>
        </w:rPr>
      </w:pPr>
    </w:p>
    <w:p w14:paraId="56D267B5" w14:textId="77777777" w:rsidR="00211500" w:rsidRPr="00211500" w:rsidRDefault="00211500" w:rsidP="00211500">
      <w:pPr>
        <w:keepNext/>
        <w:keepLines/>
        <w:suppressLineNumbers/>
        <w:suppressAutoHyphens/>
        <w:spacing w:line="280" w:lineRule="atLeast"/>
        <w:jc w:val="center"/>
        <w:rPr>
          <w:rFonts w:cstheme="minorHAnsi"/>
          <w:b/>
          <w:sz w:val="36"/>
        </w:rPr>
      </w:pPr>
      <w:r w:rsidRPr="00211500">
        <w:rPr>
          <w:rFonts w:cstheme="minorHAnsi"/>
          <w:b/>
          <w:sz w:val="36"/>
        </w:rPr>
        <w:t xml:space="preserve">Dodatek č. 1 </w:t>
      </w:r>
    </w:p>
    <w:p w14:paraId="60E169B0" w14:textId="77777777" w:rsidR="00211500" w:rsidRPr="00211500" w:rsidRDefault="00211500" w:rsidP="00211500">
      <w:pPr>
        <w:keepNext/>
        <w:keepLines/>
        <w:suppressLineNumbers/>
        <w:suppressAutoHyphens/>
        <w:spacing w:line="280" w:lineRule="atLeast"/>
        <w:jc w:val="center"/>
        <w:rPr>
          <w:rFonts w:cstheme="minorHAnsi"/>
          <w:b/>
          <w:sz w:val="36"/>
        </w:rPr>
      </w:pPr>
      <w:r w:rsidRPr="00211500">
        <w:rPr>
          <w:rFonts w:cstheme="minorHAnsi"/>
          <w:b/>
          <w:sz w:val="36"/>
        </w:rPr>
        <w:t xml:space="preserve">ke </w:t>
      </w:r>
    </w:p>
    <w:p w14:paraId="42A06419" w14:textId="77777777" w:rsidR="00211500" w:rsidRPr="00211500" w:rsidRDefault="00211500" w:rsidP="00211500">
      <w:pPr>
        <w:keepNext/>
        <w:keepLines/>
        <w:suppressLineNumbers/>
        <w:suppressAutoHyphens/>
        <w:spacing w:line="280" w:lineRule="atLeast"/>
        <w:jc w:val="center"/>
        <w:rPr>
          <w:rFonts w:cstheme="minorHAnsi"/>
          <w:b/>
          <w:sz w:val="36"/>
        </w:rPr>
      </w:pPr>
      <w:r w:rsidRPr="00211500">
        <w:rPr>
          <w:rFonts w:cstheme="minorHAnsi"/>
          <w:b/>
          <w:sz w:val="36"/>
        </w:rPr>
        <w:t>Smlouvě o poskytování právních služeb ze dne 18. 8. 2022</w:t>
      </w:r>
    </w:p>
    <w:p w14:paraId="1E2CE0C9" w14:textId="77777777" w:rsidR="00211500" w:rsidRPr="00211500" w:rsidRDefault="00211500" w:rsidP="00211500">
      <w:pPr>
        <w:keepNext/>
        <w:keepLines/>
        <w:suppressLineNumbers/>
        <w:suppressAutoHyphens/>
        <w:spacing w:line="280" w:lineRule="atLeast"/>
        <w:jc w:val="center"/>
        <w:rPr>
          <w:rFonts w:cstheme="minorHAnsi"/>
          <w:b/>
        </w:rPr>
      </w:pPr>
    </w:p>
    <w:p w14:paraId="3AB8405C" w14:textId="77777777" w:rsidR="00211500" w:rsidRPr="00211500" w:rsidRDefault="00211500" w:rsidP="00211500">
      <w:pPr>
        <w:widowControl w:val="0"/>
        <w:spacing w:line="280" w:lineRule="atLeast"/>
        <w:jc w:val="center"/>
        <w:rPr>
          <w:rFonts w:cstheme="minorHAnsi"/>
        </w:rPr>
      </w:pPr>
      <w:r w:rsidRPr="00211500">
        <w:rPr>
          <w:rFonts w:cstheme="minorHAnsi"/>
        </w:rPr>
        <w:t xml:space="preserve">uzavřené v souladu s ustanovením § 29 písm. k) zákona č. 134/2016 Sb., o zadávání veřejných zakázek, ve znění pozdějších předpisů, </w:t>
      </w:r>
    </w:p>
    <w:p w14:paraId="4989CBE2" w14:textId="77777777" w:rsidR="00211500" w:rsidRPr="00211500" w:rsidRDefault="00211500" w:rsidP="00211500">
      <w:pPr>
        <w:widowControl w:val="0"/>
        <w:spacing w:line="280" w:lineRule="atLeast"/>
        <w:jc w:val="center"/>
        <w:rPr>
          <w:rFonts w:cstheme="minorHAnsi"/>
          <w:highlight w:val="yellow"/>
        </w:rPr>
      </w:pPr>
      <w:r w:rsidRPr="00211500">
        <w:rPr>
          <w:rFonts w:cstheme="minorHAnsi"/>
        </w:rPr>
        <w:t>(dále jen „</w:t>
      </w:r>
      <w:r w:rsidRPr="00AB139C">
        <w:rPr>
          <w:rFonts w:cstheme="minorHAnsi"/>
          <w:b/>
          <w:bCs/>
          <w:i/>
          <w:color w:val="000000"/>
        </w:rPr>
        <w:t>S</w:t>
      </w:r>
      <w:r w:rsidRPr="00AB139C">
        <w:rPr>
          <w:rFonts w:cstheme="minorHAnsi"/>
          <w:b/>
          <w:bCs/>
          <w:i/>
        </w:rPr>
        <w:t>mlouva</w:t>
      </w:r>
      <w:r w:rsidRPr="00211500">
        <w:rPr>
          <w:rFonts w:cstheme="minorHAnsi"/>
        </w:rPr>
        <w:t>“)</w:t>
      </w:r>
    </w:p>
    <w:p w14:paraId="465F7B5C" w14:textId="77777777" w:rsidR="00211500" w:rsidRPr="00211500" w:rsidRDefault="00211500" w:rsidP="00211500">
      <w:pPr>
        <w:pStyle w:val="doplnuchaze"/>
        <w:widowControl w:val="0"/>
        <w:rPr>
          <w:rFonts w:asciiTheme="minorHAnsi" w:eastAsia="Calibri" w:hAnsiTheme="minorHAnsi" w:cstheme="minorHAnsi"/>
          <w:b w:val="0"/>
          <w:highlight w:val="yellow"/>
        </w:rPr>
      </w:pPr>
    </w:p>
    <w:p w14:paraId="580C6597" w14:textId="77777777" w:rsidR="00211500" w:rsidRPr="00211500" w:rsidRDefault="00211500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>Smluvní strany:</w:t>
      </w:r>
    </w:p>
    <w:p w14:paraId="6EA244A5" w14:textId="77777777" w:rsidR="00211500" w:rsidRPr="00211500" w:rsidRDefault="00211500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</w:rPr>
      </w:pPr>
    </w:p>
    <w:p w14:paraId="62305245" w14:textId="77777777" w:rsidR="00211500" w:rsidRPr="00211500" w:rsidRDefault="00211500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  <w:b/>
        </w:rPr>
      </w:pPr>
      <w:r w:rsidRPr="00211500">
        <w:rPr>
          <w:rFonts w:cstheme="minorHAnsi"/>
          <w:b/>
        </w:rPr>
        <w:t>Česká republika - Ministerstvo práce a sociálních věcí</w:t>
      </w:r>
    </w:p>
    <w:p w14:paraId="72D1034B" w14:textId="7C4C4E00" w:rsidR="00211500" w:rsidRPr="00211500" w:rsidRDefault="005050FA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  <w:b/>
        </w:rPr>
      </w:pPr>
      <w:r>
        <w:rPr>
          <w:rFonts w:cstheme="minorHAnsi"/>
        </w:rPr>
        <w:t>s</w:t>
      </w:r>
      <w:r w:rsidR="00307D93">
        <w:rPr>
          <w:rFonts w:cstheme="minorHAnsi"/>
        </w:rPr>
        <w:t xml:space="preserve">e sídlem </w:t>
      </w:r>
      <w:r w:rsidR="00211500" w:rsidRPr="00211500">
        <w:rPr>
          <w:rFonts w:cstheme="minorHAnsi"/>
        </w:rPr>
        <w:t>Na Poříčním právu 376/1, 128 01 Praha 2</w:t>
      </w:r>
    </w:p>
    <w:p w14:paraId="3F0D28EF" w14:textId="4218416A" w:rsidR="00211500" w:rsidRPr="00211500" w:rsidRDefault="00211500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>IČO: 00551023</w:t>
      </w:r>
    </w:p>
    <w:p w14:paraId="45CF8B36" w14:textId="6C4C42F9" w:rsidR="00211500" w:rsidRPr="00211500" w:rsidRDefault="00307D93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 xml:space="preserve">zastoupená: </w:t>
      </w:r>
      <w:r>
        <w:rPr>
          <w:rFonts w:cstheme="minorHAnsi"/>
        </w:rPr>
        <w:t>Ing. Karlem Trpkošem</w:t>
      </w:r>
      <w:r w:rsidRPr="00211500">
        <w:rPr>
          <w:rFonts w:cstheme="minorHAnsi"/>
        </w:rPr>
        <w:t xml:space="preserve">, </w:t>
      </w:r>
      <w:r>
        <w:rPr>
          <w:rFonts w:cstheme="minorHAnsi"/>
        </w:rPr>
        <w:t>náměstkem pro řízení sekce informačních technologií</w:t>
      </w:r>
    </w:p>
    <w:p w14:paraId="461C83CA" w14:textId="487D632D" w:rsidR="00211500" w:rsidRPr="00307D93" w:rsidRDefault="00211500" w:rsidP="00307D93">
      <w:pPr>
        <w:widowControl w:val="0"/>
        <w:tabs>
          <w:tab w:val="left" w:pos="284"/>
        </w:tabs>
        <w:spacing w:before="120" w:line="280" w:lineRule="atLeast"/>
        <w:jc w:val="center"/>
        <w:rPr>
          <w:rFonts w:cstheme="minorHAnsi"/>
          <w:bCs/>
          <w:i/>
        </w:rPr>
      </w:pPr>
      <w:r w:rsidRPr="00307D93">
        <w:rPr>
          <w:rFonts w:cstheme="minorHAnsi"/>
          <w:bCs/>
          <w:i/>
        </w:rPr>
        <w:t>(dále jen „</w:t>
      </w:r>
      <w:r w:rsidR="00307D93" w:rsidRPr="00307D93">
        <w:rPr>
          <w:rFonts w:cstheme="minorHAnsi"/>
          <w:b/>
          <w:i/>
        </w:rPr>
        <w:t>Klient</w:t>
      </w:r>
      <w:r w:rsidRPr="00307D93">
        <w:rPr>
          <w:rFonts w:cstheme="minorHAnsi"/>
          <w:bCs/>
          <w:i/>
        </w:rPr>
        <w:t>”)</w:t>
      </w:r>
    </w:p>
    <w:p w14:paraId="6BEEAA32" w14:textId="77777777" w:rsidR="00211500" w:rsidRPr="00211500" w:rsidRDefault="00211500" w:rsidP="00307D93">
      <w:pPr>
        <w:widowControl w:val="0"/>
        <w:tabs>
          <w:tab w:val="left" w:pos="284"/>
        </w:tabs>
        <w:spacing w:line="280" w:lineRule="atLeast"/>
        <w:contextualSpacing/>
        <w:rPr>
          <w:rFonts w:cstheme="minorHAnsi"/>
        </w:rPr>
      </w:pPr>
    </w:p>
    <w:p w14:paraId="3E043E6B" w14:textId="77777777" w:rsidR="00211500" w:rsidRPr="00211500" w:rsidRDefault="00211500" w:rsidP="00307D93">
      <w:pPr>
        <w:widowControl w:val="0"/>
        <w:tabs>
          <w:tab w:val="left" w:pos="284"/>
        </w:tabs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>a</w:t>
      </w:r>
    </w:p>
    <w:p w14:paraId="53AE9B64" w14:textId="77777777" w:rsidR="00211500" w:rsidRPr="00211500" w:rsidRDefault="00211500" w:rsidP="00307D93">
      <w:pPr>
        <w:widowControl w:val="0"/>
        <w:spacing w:line="280" w:lineRule="atLeast"/>
        <w:contextualSpacing/>
        <w:rPr>
          <w:rFonts w:cstheme="minorHAnsi"/>
        </w:rPr>
      </w:pPr>
    </w:p>
    <w:p w14:paraId="6C8C320D" w14:textId="77777777" w:rsidR="00211500" w:rsidRPr="00211500" w:rsidRDefault="00211500" w:rsidP="00307D93">
      <w:pPr>
        <w:widowControl w:val="0"/>
        <w:spacing w:line="280" w:lineRule="atLeast"/>
        <w:contextualSpacing/>
        <w:jc w:val="center"/>
        <w:rPr>
          <w:rFonts w:cstheme="minorHAnsi"/>
          <w:b/>
        </w:rPr>
      </w:pPr>
      <w:r w:rsidRPr="00211500">
        <w:rPr>
          <w:rFonts w:cstheme="minorHAnsi"/>
          <w:b/>
        </w:rPr>
        <w:t>ROWAN LEGAL, advokátní kancelář, s.r.o.</w:t>
      </w:r>
    </w:p>
    <w:p w14:paraId="59691E0C" w14:textId="51E35006" w:rsidR="00211500" w:rsidRDefault="005050FA" w:rsidP="00307D93">
      <w:pPr>
        <w:widowControl w:val="0"/>
        <w:spacing w:line="280" w:lineRule="atLeast"/>
        <w:contextualSpacing/>
        <w:jc w:val="center"/>
        <w:rPr>
          <w:rFonts w:cstheme="minorHAnsi"/>
        </w:rPr>
      </w:pPr>
      <w:r>
        <w:rPr>
          <w:rFonts w:cstheme="minorHAnsi"/>
        </w:rPr>
        <w:t>s</w:t>
      </w:r>
      <w:r w:rsidR="00307D93">
        <w:rPr>
          <w:rFonts w:cstheme="minorHAnsi"/>
        </w:rPr>
        <w:t xml:space="preserve">e sídlem </w:t>
      </w:r>
      <w:r w:rsidR="00211500" w:rsidRPr="00211500">
        <w:rPr>
          <w:rFonts w:cstheme="minorHAnsi"/>
        </w:rPr>
        <w:t>Na Pankráci 1683/127, 140 00 Praha 4</w:t>
      </w:r>
    </w:p>
    <w:p w14:paraId="583AADEB" w14:textId="43032ED0" w:rsidR="00307D93" w:rsidRPr="00211500" w:rsidRDefault="00307D93" w:rsidP="00307D93">
      <w:pPr>
        <w:widowControl w:val="0"/>
        <w:spacing w:line="280" w:lineRule="atLeast"/>
        <w:contextualSpacing/>
        <w:jc w:val="center"/>
        <w:rPr>
          <w:rFonts w:cstheme="minorHAnsi"/>
        </w:rPr>
      </w:pPr>
      <w:r>
        <w:rPr>
          <w:rFonts w:cstheme="minorHAnsi"/>
        </w:rPr>
        <w:t>Zapsaná v obchodním rejstříku vedeném Městským soudem v Praze pod sp. zn. C 143781</w:t>
      </w:r>
    </w:p>
    <w:p w14:paraId="4FB0300E" w14:textId="77777777" w:rsidR="00211500" w:rsidRPr="00211500" w:rsidRDefault="00211500" w:rsidP="00307D93">
      <w:pPr>
        <w:widowControl w:val="0"/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>IČO: 284 68 414</w:t>
      </w:r>
    </w:p>
    <w:p w14:paraId="35307B0E" w14:textId="77777777" w:rsidR="00211500" w:rsidRPr="00211500" w:rsidRDefault="00211500" w:rsidP="00307D93">
      <w:pPr>
        <w:widowControl w:val="0"/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>DIČ: CZ28468414</w:t>
      </w:r>
    </w:p>
    <w:p w14:paraId="5F5CB017" w14:textId="7447D370" w:rsidR="00307D93" w:rsidRPr="00211500" w:rsidRDefault="00307D93" w:rsidP="00307D93">
      <w:pPr>
        <w:widowControl w:val="0"/>
        <w:spacing w:line="280" w:lineRule="atLeast"/>
        <w:contextualSpacing/>
        <w:jc w:val="center"/>
        <w:rPr>
          <w:rFonts w:cstheme="minorHAnsi"/>
        </w:rPr>
      </w:pPr>
      <w:r w:rsidRPr="00211500">
        <w:rPr>
          <w:rFonts w:cstheme="minorHAnsi"/>
        </w:rPr>
        <w:t>zastoupená: JUDr. Josefem Donátem, LLM, advokátem a jednatelem</w:t>
      </w:r>
    </w:p>
    <w:p w14:paraId="67115227" w14:textId="244B7E18" w:rsidR="00211500" w:rsidRDefault="00211500" w:rsidP="00307D93">
      <w:pPr>
        <w:widowControl w:val="0"/>
        <w:spacing w:line="280" w:lineRule="atLeast"/>
        <w:contextualSpacing/>
        <w:jc w:val="center"/>
        <w:rPr>
          <w:rFonts w:cstheme="minorHAnsi"/>
          <w:bCs/>
          <w:i/>
        </w:rPr>
      </w:pPr>
      <w:r w:rsidRPr="00307D93">
        <w:rPr>
          <w:rFonts w:cstheme="minorHAnsi"/>
          <w:bCs/>
          <w:i/>
        </w:rPr>
        <w:t>(dále jen „</w:t>
      </w:r>
      <w:r w:rsidR="00307D93" w:rsidRPr="00307D93">
        <w:rPr>
          <w:rFonts w:cstheme="minorHAnsi"/>
          <w:b/>
          <w:i/>
        </w:rPr>
        <w:t>RL</w:t>
      </w:r>
      <w:r w:rsidRPr="00307D93">
        <w:rPr>
          <w:rFonts w:cstheme="minorHAnsi"/>
          <w:bCs/>
          <w:i/>
        </w:rPr>
        <w:t>“)</w:t>
      </w:r>
    </w:p>
    <w:p w14:paraId="7F3136C2" w14:textId="77777777" w:rsidR="005050FA" w:rsidRPr="00307D93" w:rsidRDefault="005050FA" w:rsidP="00307D93">
      <w:pPr>
        <w:widowControl w:val="0"/>
        <w:spacing w:line="280" w:lineRule="atLeast"/>
        <w:contextualSpacing/>
        <w:jc w:val="center"/>
        <w:rPr>
          <w:rFonts w:cstheme="minorHAnsi"/>
          <w:bCs/>
          <w:i/>
        </w:rPr>
      </w:pPr>
    </w:p>
    <w:p w14:paraId="1BB7A6C8" w14:textId="046F0D5F" w:rsidR="00211500" w:rsidRPr="00211500" w:rsidRDefault="005050FA" w:rsidP="005050FA">
      <w:pPr>
        <w:widowControl w:val="0"/>
        <w:spacing w:after="200" w:line="276" w:lineRule="auto"/>
        <w:jc w:val="center"/>
        <w:rPr>
          <w:rFonts w:cstheme="minorHAnsi"/>
        </w:rPr>
      </w:pPr>
      <w:r w:rsidRPr="005050FA">
        <w:rPr>
          <w:rFonts w:cstheme="minorHAnsi"/>
        </w:rPr>
        <w:t>(Klient a RL dále společně jen „</w:t>
      </w:r>
      <w:r w:rsidRPr="005050FA">
        <w:rPr>
          <w:rFonts w:cstheme="minorHAnsi"/>
          <w:b/>
          <w:bCs/>
        </w:rPr>
        <w:t>Smluvní strany</w:t>
      </w:r>
      <w:r w:rsidRPr="005050FA">
        <w:rPr>
          <w:rFonts w:cstheme="minorHAnsi"/>
        </w:rPr>
        <w:t>“, každý zvlášť pak jako „</w:t>
      </w:r>
      <w:r w:rsidRPr="005050FA">
        <w:rPr>
          <w:rFonts w:cstheme="minorHAnsi"/>
          <w:b/>
          <w:bCs/>
        </w:rPr>
        <w:t>Smluvní strana</w:t>
      </w:r>
      <w:r w:rsidRPr="005050FA">
        <w:rPr>
          <w:rFonts w:cstheme="minorHAnsi"/>
        </w:rPr>
        <w:t>“)</w:t>
      </w:r>
    </w:p>
    <w:p w14:paraId="6F85F961" w14:textId="77777777" w:rsidR="00211500" w:rsidRDefault="00211500" w:rsidP="00211500">
      <w:pPr>
        <w:widowControl w:val="0"/>
        <w:spacing w:after="200" w:line="276" w:lineRule="auto"/>
        <w:rPr>
          <w:rFonts w:ascii="Times New Roman" w:hAnsi="Times New Roman"/>
        </w:rPr>
      </w:pPr>
    </w:p>
    <w:p w14:paraId="01BCFD52" w14:textId="25454F4D" w:rsidR="00211500" w:rsidRPr="00211500" w:rsidRDefault="00211500" w:rsidP="00211500">
      <w:pPr>
        <w:widowControl w:val="0"/>
        <w:spacing w:after="200" w:line="276" w:lineRule="auto"/>
        <w:jc w:val="center"/>
        <w:rPr>
          <w:rFonts w:cstheme="minorHAnsi"/>
        </w:rPr>
      </w:pPr>
      <w:r w:rsidRPr="00211500">
        <w:rPr>
          <w:rFonts w:cstheme="minorHAnsi"/>
        </w:rPr>
        <w:t>uzavřely níže uvedeného dne, měsíce a roku tento dodatek č. 1 ke Smlouvě (dále jen „</w:t>
      </w:r>
      <w:r w:rsidRPr="00AB139C">
        <w:rPr>
          <w:rFonts w:cstheme="minorHAnsi"/>
          <w:b/>
          <w:bCs/>
        </w:rPr>
        <w:t>Dodatek</w:t>
      </w:r>
      <w:r w:rsidRPr="00211500">
        <w:rPr>
          <w:rFonts w:cstheme="minorHAnsi"/>
        </w:rPr>
        <w:t>“)</w:t>
      </w:r>
      <w:r w:rsidR="00C54441">
        <w:rPr>
          <w:rFonts w:cstheme="minorHAnsi"/>
        </w:rPr>
        <w:t>.</w:t>
      </w:r>
    </w:p>
    <w:p w14:paraId="5750DFC4" w14:textId="18290580" w:rsidR="00211500" w:rsidRPr="00211500" w:rsidRDefault="00211500" w:rsidP="00D22D46">
      <w:pPr>
        <w:keepNext/>
        <w:keepLines/>
        <w:suppressLineNumbers/>
        <w:suppressAutoHyphens/>
        <w:spacing w:before="240"/>
        <w:rPr>
          <w:rFonts w:cstheme="minorHAnsi"/>
          <w:b/>
        </w:rPr>
      </w:pPr>
    </w:p>
    <w:p w14:paraId="54A559B6" w14:textId="77777777" w:rsidR="00211500" w:rsidRPr="00211500" w:rsidRDefault="00211500" w:rsidP="009E2C36">
      <w:pPr>
        <w:pStyle w:val="RLNadpis2rovn"/>
      </w:pPr>
      <w:r w:rsidRPr="00211500">
        <w:t>Úvodní ustanovení</w:t>
      </w:r>
    </w:p>
    <w:p w14:paraId="666F9074" w14:textId="45128ABE" w:rsidR="00211500" w:rsidRPr="00211500" w:rsidRDefault="00211500" w:rsidP="00211500">
      <w:pPr>
        <w:pStyle w:val="Odstavecseseznamem"/>
        <w:keepNext/>
        <w:keepLines/>
        <w:numPr>
          <w:ilvl w:val="1"/>
          <w:numId w:val="16"/>
        </w:numPr>
        <w:suppressLineNumbers/>
        <w:tabs>
          <w:tab w:val="left" w:pos="0"/>
        </w:tabs>
        <w:suppressAutoHyphens/>
        <w:spacing w:before="120" w:after="200" w:line="280" w:lineRule="atLeast"/>
        <w:ind w:left="709" w:hanging="709"/>
        <w:outlineLvl w:val="0"/>
        <w:rPr>
          <w:rFonts w:cstheme="minorHAnsi"/>
          <w:bCs/>
          <w:kern w:val="32"/>
        </w:rPr>
      </w:pPr>
      <w:r w:rsidRPr="00211500">
        <w:rPr>
          <w:rFonts w:cstheme="minorHAnsi"/>
        </w:rPr>
        <w:t>Smluvní strany uzavřely</w:t>
      </w:r>
      <w:r w:rsidRPr="00211500">
        <w:rPr>
          <w:rFonts w:cstheme="minorHAnsi"/>
          <w:bCs/>
          <w:kern w:val="32"/>
        </w:rPr>
        <w:t xml:space="preserve"> dne 18. 8. 2022, v souladu s ustanovením § 29 písm. k) zákona </w:t>
      </w:r>
      <w:r w:rsidRPr="00211500">
        <w:rPr>
          <w:rFonts w:cstheme="minorHAnsi"/>
          <w:bCs/>
          <w:kern w:val="32"/>
        </w:rPr>
        <w:br/>
        <w:t xml:space="preserve">č. 134/2016 Sb., </w:t>
      </w:r>
      <w:r w:rsidR="005050FA">
        <w:rPr>
          <w:rFonts w:cstheme="minorHAnsi"/>
          <w:bCs/>
          <w:kern w:val="32"/>
        </w:rPr>
        <w:t>z</w:t>
      </w:r>
      <w:r w:rsidRPr="00211500">
        <w:rPr>
          <w:rFonts w:cstheme="minorHAnsi"/>
          <w:bCs/>
          <w:kern w:val="32"/>
        </w:rPr>
        <w:t xml:space="preserve">ákon o zadávání veřejných zakázek, </w:t>
      </w:r>
      <w:r w:rsidRPr="00211500">
        <w:rPr>
          <w:rFonts w:cstheme="minorHAnsi"/>
        </w:rPr>
        <w:t>ve znění pozdějších předpisů</w:t>
      </w:r>
      <w:r w:rsidR="005050FA">
        <w:rPr>
          <w:rFonts w:cstheme="minorHAnsi"/>
        </w:rPr>
        <w:t xml:space="preserve"> (dále jen „</w:t>
      </w:r>
      <w:r w:rsidR="005050FA" w:rsidRPr="005050FA">
        <w:rPr>
          <w:rFonts w:cstheme="minorHAnsi"/>
          <w:b/>
          <w:bCs/>
        </w:rPr>
        <w:t>ZZVZ</w:t>
      </w:r>
      <w:r w:rsidR="005050FA">
        <w:rPr>
          <w:rFonts w:cstheme="minorHAnsi"/>
        </w:rPr>
        <w:t>“)</w:t>
      </w:r>
      <w:r w:rsidRPr="00211500">
        <w:rPr>
          <w:rFonts w:cstheme="minorHAnsi"/>
          <w:bCs/>
          <w:kern w:val="32"/>
        </w:rPr>
        <w:t xml:space="preserve">, Smlouvu, na základě které je Advokát povinen poskytovat </w:t>
      </w:r>
      <w:r w:rsidR="00B24D3B">
        <w:rPr>
          <w:rFonts w:cstheme="minorHAnsi"/>
          <w:bCs/>
          <w:kern w:val="32"/>
        </w:rPr>
        <w:t>Klientovi</w:t>
      </w:r>
      <w:r w:rsidRPr="00211500">
        <w:rPr>
          <w:rFonts w:cstheme="minorHAnsi"/>
          <w:bCs/>
          <w:kern w:val="32"/>
        </w:rPr>
        <w:t xml:space="preserve"> </w:t>
      </w:r>
      <w:r w:rsidR="005050FA">
        <w:rPr>
          <w:rFonts w:cstheme="minorHAnsi"/>
          <w:bCs/>
          <w:kern w:val="32"/>
        </w:rPr>
        <w:t xml:space="preserve">komplexní </w:t>
      </w:r>
      <w:r w:rsidRPr="00211500">
        <w:rPr>
          <w:rFonts w:cstheme="minorHAnsi"/>
          <w:bCs/>
          <w:kern w:val="32"/>
        </w:rPr>
        <w:t xml:space="preserve">právní služby </w:t>
      </w:r>
      <w:r w:rsidR="005050FA">
        <w:rPr>
          <w:rFonts w:cstheme="minorHAnsi"/>
          <w:bCs/>
          <w:kern w:val="32"/>
        </w:rPr>
        <w:t>související</w:t>
      </w:r>
      <w:r w:rsidRPr="00211500">
        <w:rPr>
          <w:rFonts w:cstheme="minorHAnsi"/>
          <w:bCs/>
          <w:kern w:val="32"/>
        </w:rPr>
        <w:t xml:space="preserve"> </w:t>
      </w:r>
      <w:r w:rsidR="005050FA">
        <w:rPr>
          <w:rFonts w:cstheme="minorHAnsi"/>
          <w:bCs/>
          <w:kern w:val="32"/>
        </w:rPr>
        <w:t>se</w:t>
      </w:r>
      <w:r w:rsidRPr="00211500">
        <w:rPr>
          <w:rFonts w:cstheme="minorHAnsi"/>
          <w:bCs/>
          <w:kern w:val="32"/>
        </w:rPr>
        <w:t> </w:t>
      </w:r>
      <w:r w:rsidRPr="00211500">
        <w:rPr>
          <w:rFonts w:cstheme="minorHAnsi"/>
        </w:rPr>
        <w:t>zastupování</w:t>
      </w:r>
      <w:r w:rsidR="005050FA">
        <w:rPr>
          <w:rFonts w:cstheme="minorHAnsi"/>
        </w:rPr>
        <w:t>m</w:t>
      </w:r>
      <w:r w:rsidRPr="00211500">
        <w:rPr>
          <w:rFonts w:cstheme="minorHAnsi"/>
        </w:rPr>
        <w:t xml:space="preserve"> </w:t>
      </w:r>
      <w:r w:rsidR="00B24D3B">
        <w:rPr>
          <w:rFonts w:cstheme="minorHAnsi"/>
        </w:rPr>
        <w:t>Klienta</w:t>
      </w:r>
      <w:r w:rsidRPr="00211500">
        <w:rPr>
          <w:rFonts w:cstheme="minorHAnsi"/>
        </w:rPr>
        <w:t xml:space="preserve"> jako veřejného zadavatele </w:t>
      </w:r>
      <w:r w:rsidR="005050FA">
        <w:rPr>
          <w:rFonts w:cstheme="minorHAnsi"/>
        </w:rPr>
        <w:t xml:space="preserve">a jeho účastí </w:t>
      </w:r>
      <w:r w:rsidRPr="00211500">
        <w:rPr>
          <w:rFonts w:cstheme="minorHAnsi"/>
        </w:rPr>
        <w:t xml:space="preserve">ve </w:t>
      </w:r>
      <w:r w:rsidR="00B24D3B">
        <w:rPr>
          <w:rFonts w:cstheme="minorHAnsi"/>
        </w:rPr>
        <w:t xml:space="preserve">Smlouvou </w:t>
      </w:r>
      <w:r w:rsidRPr="00211500">
        <w:rPr>
          <w:rFonts w:cstheme="minorHAnsi"/>
        </w:rPr>
        <w:t xml:space="preserve">specifikovaných správních řízeních </w:t>
      </w:r>
      <w:r w:rsidR="005050FA">
        <w:rPr>
          <w:rFonts w:cstheme="minorHAnsi"/>
        </w:rPr>
        <w:t xml:space="preserve">vedených </w:t>
      </w:r>
      <w:r w:rsidRPr="00211500">
        <w:rPr>
          <w:rFonts w:cstheme="minorHAnsi"/>
        </w:rPr>
        <w:t xml:space="preserve">u Úřadu pro ochranu hospodářské soutěže, jakož i v případných navazujících řízeních před správními soudy nebo </w:t>
      </w:r>
      <w:r w:rsidR="005050FA">
        <w:rPr>
          <w:rFonts w:cstheme="minorHAnsi"/>
        </w:rPr>
        <w:t xml:space="preserve">v </w:t>
      </w:r>
      <w:r w:rsidRPr="00211500">
        <w:rPr>
          <w:rFonts w:cstheme="minorHAnsi"/>
        </w:rPr>
        <w:t>jakýchkoli</w:t>
      </w:r>
      <w:r>
        <w:rPr>
          <w:rFonts w:cstheme="minorHAnsi"/>
        </w:rPr>
        <w:t>v</w:t>
      </w:r>
      <w:r w:rsidRPr="00211500">
        <w:rPr>
          <w:rFonts w:cstheme="minorHAnsi"/>
        </w:rPr>
        <w:t xml:space="preserve"> jiných správních či soudních řízeních souvisejících s předmětnými </w:t>
      </w:r>
      <w:r w:rsidR="005050FA">
        <w:rPr>
          <w:rFonts w:cstheme="minorHAnsi"/>
        </w:rPr>
        <w:t xml:space="preserve">zadávacími řízeními na </w:t>
      </w:r>
      <w:r w:rsidRPr="00211500">
        <w:rPr>
          <w:rFonts w:cstheme="minorHAnsi"/>
        </w:rPr>
        <w:t>veřejn</w:t>
      </w:r>
      <w:r w:rsidR="005050FA">
        <w:rPr>
          <w:rFonts w:cstheme="minorHAnsi"/>
        </w:rPr>
        <w:t>é</w:t>
      </w:r>
      <w:r w:rsidRPr="00211500">
        <w:rPr>
          <w:rFonts w:cstheme="minorHAnsi"/>
        </w:rPr>
        <w:t xml:space="preserve"> zakázk</w:t>
      </w:r>
      <w:r w:rsidR="005050FA">
        <w:rPr>
          <w:rFonts w:cstheme="minorHAnsi"/>
        </w:rPr>
        <w:t>y</w:t>
      </w:r>
      <w:r w:rsidRPr="00211500">
        <w:rPr>
          <w:rFonts w:cstheme="minorHAnsi"/>
        </w:rPr>
        <w:t xml:space="preserve">. </w:t>
      </w:r>
    </w:p>
    <w:p w14:paraId="61059D36" w14:textId="77777777" w:rsidR="00211500" w:rsidRPr="00211500" w:rsidRDefault="00211500" w:rsidP="00211500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120" w:after="200" w:line="280" w:lineRule="atLeast"/>
        <w:ind w:left="709"/>
        <w:outlineLvl w:val="0"/>
        <w:rPr>
          <w:rFonts w:cstheme="minorHAnsi"/>
          <w:bCs/>
          <w:kern w:val="32"/>
        </w:rPr>
      </w:pPr>
    </w:p>
    <w:p w14:paraId="2F6D101D" w14:textId="7F58EB85" w:rsidR="00211500" w:rsidRPr="00211500" w:rsidRDefault="00211500" w:rsidP="00211500">
      <w:pPr>
        <w:pStyle w:val="Odstavecseseznamem"/>
        <w:keepNext/>
        <w:keepLines/>
        <w:numPr>
          <w:ilvl w:val="1"/>
          <w:numId w:val="1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outlineLvl w:val="0"/>
        <w:rPr>
          <w:rFonts w:cstheme="minorHAnsi"/>
          <w:bCs/>
          <w:kern w:val="32"/>
        </w:rPr>
      </w:pPr>
      <w:r w:rsidRPr="00211500">
        <w:rPr>
          <w:rFonts w:cstheme="minorHAnsi"/>
          <w:bCs/>
          <w:kern w:val="32"/>
        </w:rPr>
        <w:t xml:space="preserve">Poskytování právních služeb na základě </w:t>
      </w:r>
      <w:r w:rsidR="005050FA">
        <w:rPr>
          <w:rFonts w:cstheme="minorHAnsi"/>
          <w:bCs/>
          <w:kern w:val="32"/>
        </w:rPr>
        <w:t>S</w:t>
      </w:r>
      <w:r w:rsidRPr="00211500">
        <w:rPr>
          <w:rFonts w:cstheme="minorHAnsi"/>
          <w:bCs/>
          <w:kern w:val="32"/>
        </w:rPr>
        <w:t>mlouvy stále trvá</w:t>
      </w:r>
      <w:r w:rsidR="005050FA">
        <w:rPr>
          <w:rFonts w:cstheme="minorHAnsi"/>
          <w:bCs/>
          <w:kern w:val="32"/>
        </w:rPr>
        <w:t xml:space="preserve"> a Smlouva je nadále </w:t>
      </w:r>
      <w:r w:rsidRPr="00211500">
        <w:rPr>
          <w:rFonts w:cstheme="minorHAnsi"/>
          <w:bCs/>
          <w:kern w:val="32"/>
        </w:rPr>
        <w:t>účinn</w:t>
      </w:r>
      <w:r w:rsidR="005050FA">
        <w:rPr>
          <w:rFonts w:cstheme="minorHAnsi"/>
          <w:bCs/>
          <w:kern w:val="32"/>
        </w:rPr>
        <w:t>á</w:t>
      </w:r>
      <w:r w:rsidRPr="00211500">
        <w:rPr>
          <w:rFonts w:cstheme="minorHAnsi"/>
          <w:bCs/>
          <w:kern w:val="32"/>
        </w:rPr>
        <w:t>.</w:t>
      </w:r>
    </w:p>
    <w:p w14:paraId="060FE6CE" w14:textId="77777777" w:rsidR="00211500" w:rsidRPr="00211500" w:rsidRDefault="00211500" w:rsidP="00211500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outlineLvl w:val="0"/>
        <w:rPr>
          <w:rFonts w:cstheme="minorHAnsi"/>
          <w:bCs/>
          <w:kern w:val="32"/>
        </w:rPr>
      </w:pPr>
    </w:p>
    <w:p w14:paraId="0A8F127D" w14:textId="4D1F00B0" w:rsidR="00211500" w:rsidRPr="00211500" w:rsidRDefault="00211500" w:rsidP="00211500">
      <w:pPr>
        <w:pStyle w:val="Odstavecseseznamem"/>
        <w:keepNext/>
        <w:keepLines/>
        <w:numPr>
          <w:ilvl w:val="1"/>
          <w:numId w:val="1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outlineLvl w:val="0"/>
        <w:rPr>
          <w:rFonts w:cstheme="minorHAnsi"/>
          <w:bCs/>
          <w:kern w:val="32"/>
        </w:rPr>
      </w:pPr>
      <w:r w:rsidRPr="00211500">
        <w:rPr>
          <w:rFonts w:cstheme="minorHAnsi"/>
          <w:bCs/>
          <w:kern w:val="32"/>
        </w:rPr>
        <w:t xml:space="preserve">S ohledem na skutečnost, že na straně </w:t>
      </w:r>
      <w:r w:rsidR="00B24D3B">
        <w:rPr>
          <w:rFonts w:cstheme="minorHAnsi"/>
          <w:bCs/>
          <w:kern w:val="32"/>
        </w:rPr>
        <w:t>Klienta</w:t>
      </w:r>
      <w:r w:rsidRPr="00211500">
        <w:rPr>
          <w:rFonts w:cstheme="minorHAnsi"/>
          <w:bCs/>
          <w:kern w:val="32"/>
        </w:rPr>
        <w:t xml:space="preserve"> vyvstala potřeba čerpání </w:t>
      </w:r>
      <w:r w:rsidR="005050FA">
        <w:rPr>
          <w:rFonts w:cstheme="minorHAnsi"/>
          <w:bCs/>
          <w:kern w:val="32"/>
        </w:rPr>
        <w:t xml:space="preserve">vysoce specializovaných </w:t>
      </w:r>
      <w:r w:rsidRPr="00211500">
        <w:rPr>
          <w:rFonts w:cstheme="minorHAnsi"/>
          <w:bCs/>
          <w:kern w:val="32"/>
        </w:rPr>
        <w:t xml:space="preserve">právních služeb </w:t>
      </w:r>
      <w:r w:rsidR="005050FA">
        <w:rPr>
          <w:rFonts w:cstheme="minorHAnsi"/>
          <w:bCs/>
          <w:kern w:val="32"/>
        </w:rPr>
        <w:t xml:space="preserve">v oblasti práva veřejného zadávání </w:t>
      </w:r>
      <w:r w:rsidRPr="00211500">
        <w:rPr>
          <w:rFonts w:cstheme="minorHAnsi"/>
          <w:bCs/>
          <w:kern w:val="32"/>
        </w:rPr>
        <w:t>také v níže specifikovaném řízení</w:t>
      </w:r>
      <w:r w:rsidR="00C54441" w:rsidRPr="00C54441">
        <w:t xml:space="preserve"> </w:t>
      </w:r>
      <w:r w:rsidR="00C54441" w:rsidRPr="00C54441">
        <w:rPr>
          <w:rFonts w:cstheme="minorHAnsi"/>
          <w:bCs/>
          <w:kern w:val="32"/>
        </w:rPr>
        <w:t>vedeném u Nejvyššího správního soudu</w:t>
      </w:r>
      <w:r w:rsidRPr="00211500">
        <w:rPr>
          <w:rFonts w:cstheme="minorHAnsi"/>
          <w:bCs/>
          <w:kern w:val="32"/>
        </w:rPr>
        <w:t xml:space="preserve">, se </w:t>
      </w:r>
      <w:r w:rsidR="004E5045">
        <w:rPr>
          <w:rFonts w:cstheme="minorHAnsi"/>
          <w:bCs/>
          <w:kern w:val="32"/>
        </w:rPr>
        <w:t>S</w:t>
      </w:r>
      <w:r w:rsidRPr="00211500">
        <w:rPr>
          <w:rFonts w:cstheme="minorHAnsi"/>
          <w:bCs/>
          <w:kern w:val="32"/>
        </w:rPr>
        <w:t>mluvní strany dohodly na rozšíření objednaných služeb, a to způsobem uvedeným dále v tomto Dodatku.</w:t>
      </w:r>
    </w:p>
    <w:p w14:paraId="7FEDDC98" w14:textId="77777777" w:rsidR="00211500" w:rsidRPr="00211500" w:rsidRDefault="00211500" w:rsidP="00211500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outlineLvl w:val="0"/>
        <w:rPr>
          <w:rFonts w:cstheme="minorHAnsi"/>
          <w:bCs/>
          <w:kern w:val="32"/>
        </w:rPr>
      </w:pPr>
    </w:p>
    <w:p w14:paraId="79254747" w14:textId="68F5F952" w:rsidR="00211500" w:rsidRPr="009E2C36" w:rsidRDefault="00211500" w:rsidP="009E2C36">
      <w:pPr>
        <w:pStyle w:val="Odstavecseseznamem"/>
        <w:keepNext/>
        <w:keepLines/>
        <w:numPr>
          <w:ilvl w:val="1"/>
          <w:numId w:val="1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outlineLvl w:val="0"/>
        <w:rPr>
          <w:rFonts w:cstheme="minorHAnsi"/>
          <w:bCs/>
          <w:kern w:val="32"/>
        </w:rPr>
      </w:pPr>
      <w:r w:rsidRPr="00211500">
        <w:rPr>
          <w:rFonts w:cstheme="minorHAnsi"/>
          <w:bCs/>
          <w:kern w:val="32"/>
        </w:rPr>
        <w:t>S</w:t>
      </w:r>
      <w:r w:rsidR="004E5045">
        <w:rPr>
          <w:rFonts w:cstheme="minorHAnsi"/>
          <w:bCs/>
          <w:kern w:val="32"/>
        </w:rPr>
        <w:t>mluvní s</w:t>
      </w:r>
      <w:r w:rsidRPr="00211500">
        <w:rPr>
          <w:rFonts w:cstheme="minorHAnsi"/>
          <w:bCs/>
          <w:kern w:val="32"/>
        </w:rPr>
        <w:t xml:space="preserve">trany shodně prohlašují, že změna Smlouvy, která je předmětem tohoto dodatku, </w:t>
      </w:r>
      <w:r w:rsidR="004E5045">
        <w:rPr>
          <w:rFonts w:cstheme="minorHAnsi"/>
          <w:bCs/>
          <w:kern w:val="32"/>
        </w:rPr>
        <w:t>nepředstavuje</w:t>
      </w:r>
      <w:r w:rsidRPr="00211500">
        <w:rPr>
          <w:rFonts w:cstheme="minorHAnsi"/>
          <w:bCs/>
          <w:kern w:val="32"/>
        </w:rPr>
        <w:t xml:space="preserve"> podstatnou změnou závazku</w:t>
      </w:r>
      <w:r w:rsidR="004E5045">
        <w:rPr>
          <w:rFonts w:cstheme="minorHAnsi"/>
          <w:bCs/>
          <w:kern w:val="32"/>
        </w:rPr>
        <w:t xml:space="preserve"> ve smyslu</w:t>
      </w:r>
      <w:r w:rsidR="004E5045" w:rsidRPr="004E5045">
        <w:rPr>
          <w:rFonts w:cstheme="minorHAnsi"/>
          <w:bCs/>
          <w:kern w:val="32"/>
        </w:rPr>
        <w:t xml:space="preserve"> </w:t>
      </w:r>
      <w:r w:rsidR="004E5045" w:rsidRPr="00211500">
        <w:rPr>
          <w:rFonts w:cstheme="minorHAnsi"/>
          <w:bCs/>
          <w:kern w:val="32"/>
        </w:rPr>
        <w:t xml:space="preserve">ustanovení § 222 odst. </w:t>
      </w:r>
      <w:r w:rsidR="004E5045">
        <w:rPr>
          <w:rFonts w:cstheme="minorHAnsi"/>
          <w:bCs/>
          <w:kern w:val="32"/>
        </w:rPr>
        <w:t>3 ZZVZ</w:t>
      </w:r>
      <w:r w:rsidRPr="00211500">
        <w:rPr>
          <w:rFonts w:cstheme="minorHAnsi"/>
          <w:bCs/>
          <w:kern w:val="32"/>
        </w:rPr>
        <w:t>,</w:t>
      </w:r>
      <w:r w:rsidR="004E5045">
        <w:rPr>
          <w:rFonts w:cstheme="minorHAnsi"/>
          <w:bCs/>
          <w:kern w:val="32"/>
        </w:rPr>
        <w:t xml:space="preserve"> neboť jsou naplněny podmínky dle </w:t>
      </w:r>
      <w:r w:rsidRPr="00211500">
        <w:rPr>
          <w:rFonts w:cstheme="minorHAnsi"/>
          <w:bCs/>
          <w:kern w:val="32"/>
        </w:rPr>
        <w:t xml:space="preserve">ustanovení § 222 odst. 4 </w:t>
      </w:r>
      <w:r w:rsidR="004E5045">
        <w:rPr>
          <w:rFonts w:cstheme="minorHAnsi"/>
          <w:bCs/>
          <w:kern w:val="32"/>
        </w:rPr>
        <w:t>ZZVZ</w:t>
      </w:r>
      <w:r w:rsidRPr="00211500">
        <w:rPr>
          <w:rFonts w:cstheme="minorHAnsi"/>
          <w:bCs/>
          <w:kern w:val="32"/>
        </w:rPr>
        <w:t xml:space="preserve">, </w:t>
      </w:r>
      <w:r w:rsidR="004E5045">
        <w:rPr>
          <w:rFonts w:cstheme="minorHAnsi"/>
          <w:bCs/>
          <w:kern w:val="32"/>
        </w:rPr>
        <w:t xml:space="preserve">když jde o změnu, která </w:t>
      </w:r>
      <w:r w:rsidRPr="00211500">
        <w:rPr>
          <w:rFonts w:cstheme="minorHAnsi"/>
          <w:bCs/>
          <w:kern w:val="32"/>
        </w:rPr>
        <w:t>nemění celkovou povahu závazku,</w:t>
      </w:r>
      <w:r w:rsidR="004E5045">
        <w:rPr>
          <w:rFonts w:cstheme="minorHAnsi"/>
          <w:bCs/>
          <w:kern w:val="32"/>
        </w:rPr>
        <w:t xml:space="preserve"> a jejíž hodnota </w:t>
      </w:r>
      <w:r w:rsidRPr="00211500">
        <w:rPr>
          <w:rFonts w:cstheme="minorHAnsi"/>
          <w:bCs/>
          <w:kern w:val="32"/>
        </w:rPr>
        <w:t>nepřesahuje finanční limit</w:t>
      </w:r>
      <w:r w:rsidR="004E5045">
        <w:rPr>
          <w:rFonts w:cstheme="minorHAnsi"/>
          <w:bCs/>
          <w:kern w:val="32"/>
        </w:rPr>
        <w:t>y</w:t>
      </w:r>
      <w:r w:rsidRPr="00211500">
        <w:rPr>
          <w:rFonts w:cstheme="minorHAnsi"/>
          <w:bCs/>
          <w:kern w:val="32"/>
        </w:rPr>
        <w:t xml:space="preserve"> </w:t>
      </w:r>
      <w:r w:rsidR="004E5045">
        <w:rPr>
          <w:rFonts w:cstheme="minorHAnsi"/>
          <w:bCs/>
          <w:kern w:val="32"/>
        </w:rPr>
        <w:t xml:space="preserve">dle </w:t>
      </w:r>
      <w:r w:rsidR="004E5045" w:rsidRPr="00211500">
        <w:rPr>
          <w:rFonts w:cstheme="minorHAnsi"/>
          <w:bCs/>
          <w:kern w:val="32"/>
        </w:rPr>
        <w:t xml:space="preserve">§ 222 odst. 4 </w:t>
      </w:r>
      <w:r w:rsidR="004E5045">
        <w:rPr>
          <w:rFonts w:cstheme="minorHAnsi"/>
          <w:bCs/>
          <w:kern w:val="32"/>
        </w:rPr>
        <w:t>ZZVZ</w:t>
      </w:r>
      <w:r w:rsidR="004E5045" w:rsidRPr="00211500">
        <w:rPr>
          <w:rFonts w:cstheme="minorHAnsi"/>
          <w:bCs/>
          <w:kern w:val="32"/>
        </w:rPr>
        <w:t xml:space="preserve"> </w:t>
      </w:r>
      <w:r w:rsidR="004E5045">
        <w:rPr>
          <w:rFonts w:cstheme="minorHAnsi"/>
          <w:bCs/>
          <w:kern w:val="32"/>
        </w:rPr>
        <w:t>písm. b) ZZVZ</w:t>
      </w:r>
      <w:r w:rsidRPr="00211500">
        <w:rPr>
          <w:rFonts w:cstheme="minorHAnsi"/>
          <w:bCs/>
          <w:kern w:val="32"/>
        </w:rPr>
        <w:t>.</w:t>
      </w:r>
    </w:p>
    <w:p w14:paraId="262C7A50" w14:textId="77777777" w:rsidR="00211500" w:rsidRPr="00211500" w:rsidRDefault="00211500" w:rsidP="009E2C36">
      <w:pPr>
        <w:pStyle w:val="RLNadpis2rovn"/>
      </w:pPr>
      <w:r w:rsidRPr="00211500">
        <w:t>Předmět Dodatku</w:t>
      </w:r>
    </w:p>
    <w:p w14:paraId="73792B51" w14:textId="2A098377" w:rsidR="00211500" w:rsidRPr="00211500" w:rsidRDefault="00211500" w:rsidP="00211500">
      <w:pPr>
        <w:keepNext/>
        <w:keepLines/>
        <w:suppressLineNumbers/>
        <w:suppressAutoHyphens/>
        <w:ind w:left="709" w:hanging="709"/>
        <w:rPr>
          <w:rFonts w:cstheme="minorHAnsi"/>
        </w:rPr>
      </w:pPr>
      <w:r w:rsidRPr="00211500">
        <w:rPr>
          <w:rFonts w:cstheme="minorHAnsi"/>
        </w:rPr>
        <w:t>2.1</w:t>
      </w:r>
      <w:r w:rsidRPr="00211500">
        <w:rPr>
          <w:rFonts w:cstheme="minorHAnsi"/>
        </w:rPr>
        <w:tab/>
        <w:t>Smluvní strany se dohodly, že ustanovení odstav</w:t>
      </w:r>
      <w:r w:rsidR="00B24D3B">
        <w:rPr>
          <w:rFonts w:cstheme="minorHAnsi"/>
        </w:rPr>
        <w:t>ce</w:t>
      </w:r>
      <w:r w:rsidRPr="00211500">
        <w:rPr>
          <w:rFonts w:cstheme="minorHAnsi"/>
        </w:rPr>
        <w:t xml:space="preserve"> 3.1 smlouvy se nově doplňuje o </w:t>
      </w:r>
      <w:r w:rsidR="004E5045">
        <w:rPr>
          <w:rFonts w:cstheme="minorHAnsi"/>
        </w:rPr>
        <w:t xml:space="preserve">nové ustanovení </w:t>
      </w:r>
      <w:r w:rsidRPr="00211500">
        <w:rPr>
          <w:rFonts w:cstheme="minorHAnsi"/>
        </w:rPr>
        <w:t>písm</w:t>
      </w:r>
      <w:r w:rsidR="004E5045">
        <w:rPr>
          <w:rFonts w:cstheme="minorHAnsi"/>
        </w:rPr>
        <w:t>.</w:t>
      </w:r>
      <w:r w:rsidRPr="00211500">
        <w:rPr>
          <w:rFonts w:cstheme="minorHAnsi"/>
        </w:rPr>
        <w:t xml:space="preserve"> d), které zní:</w:t>
      </w:r>
    </w:p>
    <w:p w14:paraId="0A7FC0FC" w14:textId="35FE5D53" w:rsidR="00211500" w:rsidRPr="00307D93" w:rsidRDefault="00211500" w:rsidP="00702D67">
      <w:pPr>
        <w:keepNext/>
        <w:keepLines/>
        <w:suppressLineNumbers/>
        <w:suppressAutoHyphens/>
        <w:ind w:left="1134" w:hanging="425"/>
        <w:rPr>
          <w:rFonts w:cstheme="minorHAnsi"/>
          <w:i/>
          <w:iCs/>
        </w:rPr>
      </w:pPr>
      <w:r w:rsidRPr="00211500">
        <w:rPr>
          <w:rFonts w:cstheme="minorHAnsi"/>
          <w:i/>
        </w:rPr>
        <w:t xml:space="preserve">d) </w:t>
      </w:r>
      <w:r w:rsidRPr="00211500">
        <w:rPr>
          <w:rFonts w:cstheme="minorHAnsi"/>
          <w:i/>
        </w:rPr>
        <w:tab/>
      </w:r>
      <w:r w:rsidRPr="00307D93">
        <w:rPr>
          <w:rFonts w:cstheme="minorHAnsi"/>
          <w:i/>
          <w:iCs/>
        </w:rPr>
        <w:t>komplexní právní zastupování Klienta jako veřejného zadavatele v</w:t>
      </w:r>
      <w:r w:rsidR="00702D67">
        <w:rPr>
          <w:rFonts w:cstheme="minorHAnsi"/>
          <w:i/>
          <w:iCs/>
        </w:rPr>
        <w:t xml:space="preserve"> soudním</w:t>
      </w:r>
      <w:r w:rsidRPr="00307D93">
        <w:rPr>
          <w:rFonts w:cstheme="minorHAnsi"/>
          <w:i/>
          <w:iCs/>
        </w:rPr>
        <w:t xml:space="preserve"> řízení vedeném u </w:t>
      </w:r>
      <w:r w:rsidR="00702D67">
        <w:rPr>
          <w:rFonts w:cstheme="minorHAnsi"/>
          <w:i/>
          <w:iCs/>
        </w:rPr>
        <w:t>Nejvyššího správního soudu</w:t>
      </w:r>
      <w:r w:rsidR="00702D67" w:rsidRPr="00702D67">
        <w:t xml:space="preserve"> </w:t>
      </w:r>
      <w:r w:rsidR="00702D67" w:rsidRPr="00702D67">
        <w:rPr>
          <w:rFonts w:cstheme="minorHAnsi"/>
          <w:i/>
          <w:iCs/>
        </w:rPr>
        <w:t>sp. zn. 5 As 258/2022</w:t>
      </w:r>
      <w:r w:rsidR="00702D67">
        <w:rPr>
          <w:rFonts w:cstheme="minorHAnsi"/>
          <w:i/>
          <w:iCs/>
        </w:rPr>
        <w:t xml:space="preserve"> proti </w:t>
      </w:r>
      <w:r w:rsidRPr="00307D93">
        <w:rPr>
          <w:rFonts w:cstheme="minorHAnsi"/>
          <w:i/>
          <w:iCs/>
        </w:rPr>
        <w:t xml:space="preserve">Úřadu pro ochranu hospodářské soutěže na základě </w:t>
      </w:r>
      <w:r w:rsidR="00702D67">
        <w:rPr>
          <w:rFonts w:cstheme="minorHAnsi"/>
          <w:i/>
          <w:iCs/>
        </w:rPr>
        <w:t xml:space="preserve">kasační stížnosti </w:t>
      </w:r>
      <w:r w:rsidR="00B24D3B">
        <w:rPr>
          <w:rFonts w:cstheme="minorHAnsi"/>
          <w:i/>
          <w:iCs/>
        </w:rPr>
        <w:t>podané</w:t>
      </w:r>
      <w:r w:rsidRPr="00307D93">
        <w:rPr>
          <w:rFonts w:cstheme="minorHAnsi"/>
          <w:i/>
          <w:iCs/>
        </w:rPr>
        <w:t xml:space="preserve"> společnost</w:t>
      </w:r>
      <w:r w:rsidR="00B24D3B">
        <w:rPr>
          <w:rFonts w:cstheme="minorHAnsi"/>
          <w:i/>
          <w:iCs/>
        </w:rPr>
        <w:t>í</w:t>
      </w:r>
      <w:r w:rsidRPr="00307D93">
        <w:rPr>
          <w:rFonts w:cstheme="minorHAnsi"/>
          <w:i/>
          <w:iCs/>
        </w:rPr>
        <w:t xml:space="preserve"> S&amp;T CZ, s.r.o., IČO: 448 46 029, se sídlem V Parku 2316/12 Chodov, 148 00 Praha</w:t>
      </w:r>
      <w:r w:rsidR="00702D67">
        <w:rPr>
          <w:rFonts w:cstheme="minorHAnsi"/>
          <w:i/>
          <w:iCs/>
        </w:rPr>
        <w:t xml:space="preserve"> </w:t>
      </w:r>
      <w:r w:rsidR="00702D67" w:rsidRPr="00702D67">
        <w:rPr>
          <w:rFonts w:cstheme="minorHAnsi"/>
          <w:i/>
          <w:iCs/>
        </w:rPr>
        <w:t>(dříve Na Strži 1702/65, Praha 4, PSČ 140 00)</w:t>
      </w:r>
      <w:r w:rsidRPr="00307D93">
        <w:rPr>
          <w:rFonts w:cstheme="minorHAnsi"/>
          <w:i/>
          <w:iCs/>
        </w:rPr>
        <w:t xml:space="preserve"> (dále jen „</w:t>
      </w:r>
      <w:r w:rsidRPr="00B24D3B">
        <w:rPr>
          <w:rFonts w:cstheme="minorHAnsi"/>
          <w:b/>
          <w:bCs/>
          <w:i/>
          <w:iCs/>
        </w:rPr>
        <w:t>S&amp;T CZ, s.r.o.</w:t>
      </w:r>
      <w:r w:rsidRPr="00307D93">
        <w:rPr>
          <w:rFonts w:cstheme="minorHAnsi"/>
          <w:i/>
          <w:iCs/>
        </w:rPr>
        <w:t xml:space="preserve">“) ze dne </w:t>
      </w:r>
      <w:r w:rsidR="00702D67">
        <w:rPr>
          <w:rFonts w:cstheme="minorHAnsi"/>
          <w:i/>
          <w:iCs/>
        </w:rPr>
        <w:t>12</w:t>
      </w:r>
      <w:r w:rsidRPr="00307D93">
        <w:rPr>
          <w:rFonts w:cstheme="minorHAnsi"/>
          <w:i/>
          <w:iCs/>
        </w:rPr>
        <w:t xml:space="preserve">. </w:t>
      </w:r>
      <w:r w:rsidR="00702D67">
        <w:rPr>
          <w:rFonts w:cstheme="minorHAnsi"/>
          <w:i/>
          <w:iCs/>
        </w:rPr>
        <w:t>9</w:t>
      </w:r>
      <w:r w:rsidRPr="00307D93">
        <w:rPr>
          <w:rFonts w:cstheme="minorHAnsi"/>
          <w:i/>
          <w:iCs/>
        </w:rPr>
        <w:t>. 202</w:t>
      </w:r>
      <w:r w:rsidR="00702D67">
        <w:rPr>
          <w:rFonts w:cstheme="minorHAnsi"/>
          <w:i/>
          <w:iCs/>
        </w:rPr>
        <w:t xml:space="preserve">2 </w:t>
      </w:r>
      <w:r w:rsidR="00702D67" w:rsidRPr="00702D67">
        <w:rPr>
          <w:rFonts w:cstheme="minorHAnsi"/>
          <w:i/>
          <w:iCs/>
        </w:rPr>
        <w:t>proti rozsudku Krajského soudu v Brně č.j. 30 Af 30/2021 - 172 o žalobě proti rozhodnutí správního orgánu</w:t>
      </w:r>
      <w:r w:rsidR="00702D67">
        <w:rPr>
          <w:rFonts w:cstheme="minorHAnsi"/>
          <w:i/>
          <w:iCs/>
        </w:rPr>
        <w:t xml:space="preserve"> </w:t>
      </w:r>
      <w:r w:rsidR="00702D67" w:rsidRPr="00702D67">
        <w:rPr>
          <w:rFonts w:cstheme="minorHAnsi"/>
          <w:i/>
          <w:iCs/>
        </w:rPr>
        <w:t>podle § 65 a násl. soudního řádu správního</w:t>
      </w:r>
      <w:r w:rsidR="00702D67">
        <w:rPr>
          <w:rFonts w:cstheme="minorHAnsi"/>
          <w:i/>
          <w:iCs/>
        </w:rPr>
        <w:t>, a to</w:t>
      </w:r>
      <w:r w:rsidRPr="00307D93">
        <w:rPr>
          <w:rFonts w:cstheme="minorHAnsi"/>
          <w:i/>
          <w:iCs/>
        </w:rPr>
        <w:t xml:space="preserve"> v souvislosti s</w:t>
      </w:r>
      <w:r w:rsidR="00702D67">
        <w:rPr>
          <w:rFonts w:cstheme="minorHAnsi"/>
          <w:i/>
          <w:iCs/>
        </w:rPr>
        <w:t>e zadáváním</w:t>
      </w:r>
      <w:r w:rsidRPr="00307D93">
        <w:rPr>
          <w:rFonts w:cstheme="minorHAnsi"/>
          <w:i/>
          <w:iCs/>
        </w:rPr>
        <w:t xml:space="preserve"> veřejn</w:t>
      </w:r>
      <w:r w:rsidR="00702D67">
        <w:rPr>
          <w:rFonts w:cstheme="minorHAnsi"/>
          <w:i/>
          <w:iCs/>
        </w:rPr>
        <w:t>é</w:t>
      </w:r>
      <w:r w:rsidRPr="00307D93">
        <w:rPr>
          <w:rFonts w:cstheme="minorHAnsi"/>
          <w:i/>
          <w:iCs/>
        </w:rPr>
        <w:t xml:space="preserve"> zakázk</w:t>
      </w:r>
      <w:r w:rsidR="00702D67">
        <w:rPr>
          <w:rFonts w:cstheme="minorHAnsi"/>
          <w:i/>
          <w:iCs/>
        </w:rPr>
        <w:t>y</w:t>
      </w:r>
      <w:r w:rsidRPr="00307D93">
        <w:rPr>
          <w:rFonts w:cstheme="minorHAnsi"/>
          <w:i/>
          <w:iCs/>
        </w:rPr>
        <w:t xml:space="preserve"> „</w:t>
      </w:r>
      <w:r w:rsidRPr="00B24D3B">
        <w:rPr>
          <w:rFonts w:cstheme="minorHAnsi"/>
          <w:b/>
          <w:bCs/>
          <w:i/>
          <w:iCs/>
        </w:rPr>
        <w:t>Podpora a rozvoj systému IPPD rezortu MPSV</w:t>
      </w:r>
      <w:r w:rsidRPr="00307D93">
        <w:rPr>
          <w:rFonts w:cstheme="minorHAnsi"/>
          <w:i/>
          <w:iCs/>
        </w:rPr>
        <w:t>“, evidenční číslo zakázky ve VVZ Z2020-028488, systémové číslo NEN N006/20/V00020825</w:t>
      </w:r>
      <w:r w:rsidR="00702D67">
        <w:rPr>
          <w:rFonts w:cstheme="minorHAnsi"/>
          <w:i/>
          <w:iCs/>
        </w:rPr>
        <w:t xml:space="preserve"> zadávané Klientem jako veřejným zadavatelem</w:t>
      </w:r>
      <w:r w:rsidRPr="00307D93">
        <w:rPr>
          <w:rFonts w:cstheme="minorHAnsi"/>
          <w:i/>
          <w:iCs/>
        </w:rPr>
        <w:t xml:space="preserve"> (dále jen „</w:t>
      </w:r>
      <w:r w:rsidRPr="00B24D3B">
        <w:rPr>
          <w:rFonts w:cstheme="minorHAnsi"/>
          <w:b/>
          <w:bCs/>
          <w:i/>
          <w:iCs/>
        </w:rPr>
        <w:t>VZ Podpora a rozvoj systému IPPD rezortu MPSV</w:t>
      </w:r>
      <w:r w:rsidRPr="00307D93">
        <w:rPr>
          <w:rFonts w:cstheme="minorHAnsi"/>
          <w:i/>
          <w:iCs/>
        </w:rPr>
        <w:t xml:space="preserve">“), jakož i v případných jiných řízeních vedených u </w:t>
      </w:r>
      <w:r w:rsidR="00702D67" w:rsidRPr="00307D93">
        <w:rPr>
          <w:rFonts w:cstheme="minorHAnsi"/>
          <w:i/>
          <w:iCs/>
        </w:rPr>
        <w:t>správní</w:t>
      </w:r>
      <w:r w:rsidR="00702D67">
        <w:rPr>
          <w:rFonts w:cstheme="minorHAnsi"/>
          <w:i/>
          <w:iCs/>
        </w:rPr>
        <w:t>ch</w:t>
      </w:r>
      <w:r w:rsidR="00702D67" w:rsidRPr="00307D93">
        <w:rPr>
          <w:rFonts w:cstheme="minorHAnsi"/>
          <w:i/>
          <w:iCs/>
        </w:rPr>
        <w:t xml:space="preserve"> soud</w:t>
      </w:r>
      <w:r w:rsidR="00702D67">
        <w:rPr>
          <w:rFonts w:cstheme="minorHAnsi"/>
          <w:i/>
          <w:iCs/>
        </w:rPr>
        <w:t>ů</w:t>
      </w:r>
      <w:r w:rsidR="00702D67" w:rsidRPr="00307D93">
        <w:rPr>
          <w:rFonts w:cstheme="minorHAnsi"/>
          <w:i/>
          <w:iCs/>
        </w:rPr>
        <w:t xml:space="preserve"> </w:t>
      </w:r>
      <w:r w:rsidR="00702D67">
        <w:rPr>
          <w:rFonts w:cstheme="minorHAnsi"/>
          <w:i/>
          <w:iCs/>
        </w:rPr>
        <w:t xml:space="preserve">nebo u </w:t>
      </w:r>
      <w:r w:rsidRPr="00307D93">
        <w:rPr>
          <w:rFonts w:cstheme="minorHAnsi"/>
          <w:i/>
          <w:iCs/>
        </w:rPr>
        <w:t xml:space="preserve">Úřadu pro ochranu hospodářské soutěže v souvislosti </w:t>
      </w:r>
      <w:r w:rsidR="001258B2" w:rsidRPr="00307D93">
        <w:rPr>
          <w:rFonts w:cstheme="minorHAnsi"/>
          <w:i/>
          <w:iCs/>
        </w:rPr>
        <w:t>s</w:t>
      </w:r>
      <w:r w:rsidR="001258B2">
        <w:rPr>
          <w:rFonts w:cstheme="minorHAnsi"/>
          <w:i/>
          <w:iCs/>
        </w:rPr>
        <w:t>e zadáváním</w:t>
      </w:r>
      <w:r w:rsidR="001258B2" w:rsidRPr="00307D93">
        <w:rPr>
          <w:rFonts w:cstheme="minorHAnsi"/>
          <w:i/>
          <w:iCs/>
        </w:rPr>
        <w:t xml:space="preserve"> </w:t>
      </w:r>
      <w:r w:rsidRPr="00307D93">
        <w:rPr>
          <w:rFonts w:cstheme="minorHAnsi"/>
          <w:i/>
          <w:iCs/>
        </w:rPr>
        <w:t>VZ Podpora a rozvoj systému IPPD rezortu MPSV</w:t>
      </w:r>
      <w:r w:rsidR="00702D67">
        <w:rPr>
          <w:rFonts w:cstheme="minorHAnsi"/>
          <w:i/>
          <w:iCs/>
        </w:rPr>
        <w:t>.</w:t>
      </w:r>
    </w:p>
    <w:p w14:paraId="47EA008F" w14:textId="77777777" w:rsidR="00211500" w:rsidRPr="009E2C36" w:rsidRDefault="00211500" w:rsidP="009E2C36">
      <w:pPr>
        <w:pStyle w:val="RLNadpis2rovn"/>
      </w:pPr>
      <w:r w:rsidRPr="009E2C36">
        <w:t>Závěrečná ustanovení</w:t>
      </w:r>
    </w:p>
    <w:p w14:paraId="7724562C" w14:textId="77777777" w:rsidR="00211500" w:rsidRPr="00211500" w:rsidRDefault="00211500" w:rsidP="00211500">
      <w:pPr>
        <w:pStyle w:val="Odstavecseseznamem"/>
        <w:keepNext/>
        <w:keepLines/>
        <w:numPr>
          <w:ilvl w:val="1"/>
          <w:numId w:val="15"/>
        </w:numPr>
        <w:suppressLineNumbers/>
        <w:tabs>
          <w:tab w:val="left" w:pos="0"/>
        </w:tabs>
        <w:suppressAutoHyphens/>
        <w:spacing w:before="120" w:after="200" w:line="280" w:lineRule="atLeast"/>
        <w:ind w:left="709" w:hanging="709"/>
        <w:outlineLvl w:val="0"/>
        <w:rPr>
          <w:rFonts w:cstheme="minorHAnsi"/>
          <w:bCs/>
          <w:kern w:val="32"/>
        </w:rPr>
      </w:pPr>
      <w:r w:rsidRPr="00211500">
        <w:rPr>
          <w:rFonts w:cstheme="minorHAnsi"/>
          <w:bCs/>
          <w:kern w:val="32"/>
        </w:rPr>
        <w:t>Tento Dodatek je uzavřen elektronicky.</w:t>
      </w:r>
    </w:p>
    <w:p w14:paraId="480AC939" w14:textId="77777777" w:rsidR="00211500" w:rsidRPr="00211500" w:rsidRDefault="00211500" w:rsidP="00211500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outlineLvl w:val="0"/>
        <w:rPr>
          <w:rFonts w:cstheme="minorHAnsi"/>
          <w:bCs/>
          <w:kern w:val="32"/>
        </w:rPr>
      </w:pPr>
    </w:p>
    <w:p w14:paraId="60D677A2" w14:textId="77777777" w:rsidR="00211500" w:rsidRPr="00211500" w:rsidRDefault="00211500" w:rsidP="00211500">
      <w:pPr>
        <w:pStyle w:val="Odstavecseseznamem"/>
        <w:widowControl w:val="0"/>
        <w:numPr>
          <w:ilvl w:val="1"/>
          <w:numId w:val="15"/>
        </w:numPr>
        <w:tabs>
          <w:tab w:val="left" w:pos="0"/>
        </w:tabs>
        <w:spacing w:before="240" w:after="0" w:line="280" w:lineRule="atLeast"/>
        <w:ind w:left="709" w:hanging="709"/>
        <w:outlineLvl w:val="0"/>
        <w:rPr>
          <w:rFonts w:cstheme="minorHAnsi"/>
          <w:bCs/>
          <w:kern w:val="32"/>
        </w:rPr>
      </w:pPr>
      <w:r w:rsidRPr="00211500">
        <w:rPr>
          <w:rFonts w:cstheme="minorHAnsi"/>
          <w:bCs/>
          <w:kern w:val="32"/>
        </w:rPr>
        <w:lastRenderedPageBreak/>
        <w:t>Smluvní strany prohlašují, že si tento Dodatek přečetly, jeho obsahu porozuměly a bez výhrad s ním souhlasí, na důkaz čehož připojují jejich oprávnění zástupci své podpisy.</w:t>
      </w:r>
    </w:p>
    <w:tbl>
      <w:tblPr>
        <w:tblStyle w:val="Mkatabulky"/>
        <w:tblpPr w:leftFromText="141" w:rightFromText="141" w:vertAnchor="text" w:horzAnchor="margin" w:tblpY="257"/>
        <w:tblW w:w="9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211500" w:rsidRPr="00211500" w14:paraId="37419175" w14:textId="77777777" w:rsidTr="009E2C36">
        <w:trPr>
          <w:trHeight w:val="430"/>
        </w:trPr>
        <w:tc>
          <w:tcPr>
            <w:tcW w:w="4702" w:type="dxa"/>
          </w:tcPr>
          <w:p w14:paraId="1EB85938" w14:textId="607C8089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</w:p>
        </w:tc>
        <w:tc>
          <w:tcPr>
            <w:tcW w:w="4702" w:type="dxa"/>
          </w:tcPr>
          <w:p w14:paraId="21438B3E" w14:textId="47B79DE4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</w:p>
        </w:tc>
      </w:tr>
      <w:tr w:rsidR="00211500" w:rsidRPr="00211500" w14:paraId="1F7E33F5" w14:textId="77777777" w:rsidTr="009E2C36">
        <w:trPr>
          <w:trHeight w:val="414"/>
        </w:trPr>
        <w:tc>
          <w:tcPr>
            <w:tcW w:w="4702" w:type="dxa"/>
          </w:tcPr>
          <w:p w14:paraId="6975F75D" w14:textId="77777777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  <w:r w:rsidRPr="00211500">
              <w:rPr>
                <w:rFonts w:cstheme="minorHAnsi"/>
              </w:rPr>
              <w:t>V Praze dne dle elektronického podpisu</w:t>
            </w:r>
          </w:p>
        </w:tc>
        <w:tc>
          <w:tcPr>
            <w:tcW w:w="4702" w:type="dxa"/>
          </w:tcPr>
          <w:p w14:paraId="6D9F9E06" w14:textId="77777777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  <w:r w:rsidRPr="00211500">
              <w:rPr>
                <w:rFonts w:cstheme="minorHAnsi"/>
              </w:rPr>
              <w:t>V Praze dne dle elektronického podpisu</w:t>
            </w:r>
          </w:p>
        </w:tc>
      </w:tr>
      <w:tr w:rsidR="00211500" w:rsidRPr="00211500" w14:paraId="00F44C95" w14:textId="77777777" w:rsidTr="009E2C36">
        <w:trPr>
          <w:trHeight w:val="3570"/>
        </w:trPr>
        <w:tc>
          <w:tcPr>
            <w:tcW w:w="4702" w:type="dxa"/>
          </w:tcPr>
          <w:p w14:paraId="479C0782" w14:textId="77777777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</w:p>
          <w:p w14:paraId="3FD70DBF" w14:textId="77777777" w:rsidR="00AB139C" w:rsidRDefault="00AB139C" w:rsidP="00AB139C">
            <w:pPr>
              <w:pStyle w:val="RLTabulka"/>
              <w:spacing w:before="0" w:after="0" w:line="320" w:lineRule="atLeast"/>
              <w:rPr>
                <w:vanish/>
                <w:highlight w:val="lightGray"/>
                <w:u w:val="dash"/>
              </w:rPr>
            </w:pPr>
            <w:r w:rsidRPr="00851F96">
              <w:rPr>
                <w:vanish/>
                <w:highlight w:val="lightGray"/>
                <w:u w:val="dash"/>
              </w:rPr>
              <w:t>Místo pro el. podpis</w:t>
            </w:r>
            <w:r>
              <w:rPr>
                <w:vanish/>
                <w:highlight w:val="lightGray"/>
                <w:u w:val="dash"/>
              </w:rPr>
              <w:t xml:space="preserve"> </w:t>
            </w:r>
          </w:p>
          <w:p w14:paraId="672F914D" w14:textId="4EC77E13" w:rsidR="00211500" w:rsidRPr="00211500" w:rsidRDefault="00AB139C" w:rsidP="00AB139C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  <w:r>
              <w:rPr>
                <w:vanish/>
                <w:highlight w:val="lightGray"/>
                <w:u w:val="dash"/>
              </w:rPr>
              <w:t>(popisek se netiskne se, lze překrýt podpisem)</w:t>
            </w:r>
          </w:p>
          <w:p w14:paraId="26E6269E" w14:textId="77777777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  <w:r w:rsidRPr="00211500">
              <w:rPr>
                <w:rFonts w:cstheme="minorHAnsi"/>
              </w:rPr>
              <w:t>_________________________________</w:t>
            </w:r>
          </w:p>
          <w:p w14:paraId="66644799" w14:textId="6761A211" w:rsidR="00211500" w:rsidRPr="00211500" w:rsidRDefault="00211500" w:rsidP="009E2C36">
            <w:pPr>
              <w:widowControl w:val="0"/>
              <w:spacing w:line="280" w:lineRule="atLeast"/>
              <w:rPr>
                <w:rFonts w:cstheme="minorHAnsi"/>
                <w:b/>
                <w:bCs/>
                <w:iCs/>
              </w:rPr>
            </w:pPr>
            <w:r w:rsidRPr="00211500">
              <w:rPr>
                <w:rFonts w:cstheme="minorHAnsi"/>
                <w:b/>
                <w:bCs/>
                <w:iCs/>
              </w:rPr>
              <w:t>Česká republika</w:t>
            </w:r>
            <w:r w:rsidR="009E2C36">
              <w:rPr>
                <w:rFonts w:cstheme="minorHAnsi"/>
                <w:b/>
                <w:bCs/>
                <w:iCs/>
              </w:rPr>
              <w:t xml:space="preserve"> </w:t>
            </w:r>
            <w:r w:rsidRPr="00211500">
              <w:rPr>
                <w:rFonts w:cstheme="minorHAnsi"/>
                <w:b/>
                <w:bCs/>
                <w:iCs/>
              </w:rPr>
              <w:t>–</w:t>
            </w:r>
            <w:r w:rsidR="009E2C36">
              <w:rPr>
                <w:rFonts w:cstheme="minorHAnsi"/>
                <w:b/>
                <w:bCs/>
                <w:iCs/>
              </w:rPr>
              <w:t xml:space="preserve"> </w:t>
            </w:r>
            <w:r w:rsidRPr="00211500">
              <w:rPr>
                <w:rFonts w:cstheme="minorHAnsi"/>
                <w:b/>
                <w:bCs/>
                <w:iCs/>
              </w:rPr>
              <w:t>Ministerstvo práce</w:t>
            </w:r>
            <w:r w:rsidR="009E2C36">
              <w:rPr>
                <w:rFonts w:cstheme="minorHAnsi"/>
                <w:b/>
                <w:bCs/>
                <w:iCs/>
              </w:rPr>
              <w:t xml:space="preserve"> </w:t>
            </w:r>
            <w:r w:rsidRPr="00211500">
              <w:rPr>
                <w:rFonts w:cstheme="minorHAnsi"/>
                <w:b/>
                <w:bCs/>
                <w:iCs/>
              </w:rPr>
              <w:t>a sociálních věcí</w:t>
            </w:r>
          </w:p>
          <w:p w14:paraId="01453450" w14:textId="77777777" w:rsidR="00211500" w:rsidRDefault="009E2C36" w:rsidP="009E2C36">
            <w:pPr>
              <w:widowControl w:val="0"/>
              <w:spacing w:line="280" w:lineRule="atLeast"/>
              <w:rPr>
                <w:rFonts w:cstheme="minorHAnsi"/>
              </w:rPr>
            </w:pPr>
            <w:r>
              <w:rPr>
                <w:rFonts w:cstheme="minorHAnsi"/>
              </w:rPr>
              <w:t>Ing. Karel Trpkoš</w:t>
            </w:r>
            <w:r w:rsidRPr="0021150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náměstek pro řízení sekce informačních technologií</w:t>
            </w:r>
          </w:p>
          <w:p w14:paraId="7DC088E2" w14:textId="734FB573" w:rsidR="009E2C36" w:rsidRPr="00211500" w:rsidRDefault="009E2C36" w:rsidP="009E2C36">
            <w:pPr>
              <w:widowControl w:val="0"/>
              <w:spacing w:line="280" w:lineRule="atLeast"/>
              <w:rPr>
                <w:rFonts w:cstheme="minorHAnsi"/>
              </w:rPr>
            </w:pPr>
            <w:r>
              <w:rPr>
                <w:rFonts w:cstheme="minorHAnsi"/>
              </w:rPr>
              <w:t>(Klient)</w:t>
            </w:r>
          </w:p>
        </w:tc>
        <w:tc>
          <w:tcPr>
            <w:tcW w:w="4702" w:type="dxa"/>
          </w:tcPr>
          <w:p w14:paraId="5E505357" w14:textId="77777777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</w:p>
          <w:p w14:paraId="3695A8C4" w14:textId="77777777" w:rsidR="00AB139C" w:rsidRDefault="00AB139C" w:rsidP="00AB139C">
            <w:pPr>
              <w:pStyle w:val="RLTabulka"/>
              <w:spacing w:before="0" w:after="0" w:line="320" w:lineRule="atLeast"/>
              <w:rPr>
                <w:vanish/>
                <w:highlight w:val="lightGray"/>
                <w:u w:val="dash"/>
              </w:rPr>
            </w:pPr>
            <w:r w:rsidRPr="00851F96">
              <w:rPr>
                <w:vanish/>
                <w:highlight w:val="lightGray"/>
                <w:u w:val="dash"/>
              </w:rPr>
              <w:t>Místo pro el. podpis</w:t>
            </w:r>
            <w:r>
              <w:rPr>
                <w:vanish/>
                <w:highlight w:val="lightGray"/>
                <w:u w:val="dash"/>
              </w:rPr>
              <w:t xml:space="preserve"> </w:t>
            </w:r>
          </w:p>
          <w:p w14:paraId="14D42EF7" w14:textId="54058A41" w:rsidR="00211500" w:rsidRPr="00211500" w:rsidRDefault="00AB139C" w:rsidP="00AB139C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  <w:r>
              <w:rPr>
                <w:vanish/>
                <w:highlight w:val="lightGray"/>
                <w:u w:val="dash"/>
              </w:rPr>
              <w:t>(popisek se netiskne se, lze překrýt podpisem)</w:t>
            </w:r>
          </w:p>
          <w:p w14:paraId="2B1A784C" w14:textId="77777777" w:rsidR="00211500" w:rsidRPr="00211500" w:rsidRDefault="00211500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  <w:r w:rsidRPr="00211500">
              <w:rPr>
                <w:rFonts w:cstheme="minorHAnsi"/>
              </w:rPr>
              <w:t>_________________________________</w:t>
            </w:r>
          </w:p>
          <w:p w14:paraId="3185C8C9" w14:textId="77777777" w:rsidR="00211500" w:rsidRPr="00211500" w:rsidRDefault="00211500" w:rsidP="009E2C36">
            <w:pPr>
              <w:widowControl w:val="0"/>
              <w:spacing w:line="280" w:lineRule="atLeast"/>
              <w:rPr>
                <w:rFonts w:cstheme="minorHAnsi"/>
                <w:b/>
                <w:bCs/>
                <w:iCs/>
              </w:rPr>
            </w:pPr>
            <w:r w:rsidRPr="00211500">
              <w:rPr>
                <w:rFonts w:cstheme="minorHAnsi"/>
                <w:b/>
                <w:bCs/>
                <w:iCs/>
              </w:rPr>
              <w:t>ROWAN LEGAL, advokátní kancelář s.r.o.</w:t>
            </w:r>
          </w:p>
          <w:p w14:paraId="4D81D401" w14:textId="77777777" w:rsidR="00211500" w:rsidRDefault="009E2C36" w:rsidP="009E2C36">
            <w:pPr>
              <w:widowControl w:val="0"/>
              <w:spacing w:before="120" w:line="280" w:lineRule="atLeast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br/>
            </w:r>
            <w:r w:rsidR="00211500" w:rsidRPr="00211500">
              <w:rPr>
                <w:rFonts w:cstheme="minorHAnsi"/>
                <w:bCs/>
                <w:iCs/>
              </w:rPr>
              <w:t>JUDr. Josef Donát, LL.M., advokát a jednatel</w:t>
            </w:r>
          </w:p>
          <w:p w14:paraId="39D023A5" w14:textId="14139EA4" w:rsidR="009E2C36" w:rsidRPr="009E2C36" w:rsidRDefault="009E2C36" w:rsidP="009E2C36">
            <w:pPr>
              <w:widowControl w:val="0"/>
              <w:spacing w:before="120" w:line="280" w:lineRule="atLeast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(RL)</w:t>
            </w:r>
          </w:p>
        </w:tc>
      </w:tr>
      <w:tr w:rsidR="009E2C36" w:rsidRPr="00211500" w14:paraId="1E59DE46" w14:textId="77777777" w:rsidTr="009E2C36">
        <w:trPr>
          <w:trHeight w:val="430"/>
        </w:trPr>
        <w:tc>
          <w:tcPr>
            <w:tcW w:w="4702" w:type="dxa"/>
          </w:tcPr>
          <w:p w14:paraId="1515347C" w14:textId="77777777" w:rsidR="009E2C36" w:rsidRPr="00211500" w:rsidRDefault="009E2C36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</w:p>
        </w:tc>
        <w:tc>
          <w:tcPr>
            <w:tcW w:w="4702" w:type="dxa"/>
          </w:tcPr>
          <w:p w14:paraId="698B416D" w14:textId="77777777" w:rsidR="009E2C36" w:rsidRPr="00211500" w:rsidRDefault="009E2C36" w:rsidP="000F1559">
            <w:pPr>
              <w:widowControl w:val="0"/>
              <w:spacing w:line="280" w:lineRule="atLeast"/>
              <w:jc w:val="center"/>
              <w:rPr>
                <w:rFonts w:cstheme="minorHAnsi"/>
              </w:rPr>
            </w:pPr>
          </w:p>
        </w:tc>
      </w:tr>
    </w:tbl>
    <w:p w14:paraId="49F1D948" w14:textId="77777777" w:rsidR="0060395E" w:rsidRPr="00211500" w:rsidRDefault="0060395E" w:rsidP="00211500">
      <w:pPr>
        <w:rPr>
          <w:rFonts w:cstheme="minorHAnsi"/>
        </w:rPr>
      </w:pPr>
      <w:bookmarkStart w:id="0" w:name="_Toc337125723"/>
      <w:bookmarkStart w:id="1" w:name="_Toc337125762"/>
      <w:bookmarkStart w:id="2" w:name="_Toc337125793"/>
      <w:bookmarkStart w:id="3" w:name="_Toc337125724"/>
      <w:bookmarkStart w:id="4" w:name="_Toc337125763"/>
      <w:bookmarkStart w:id="5" w:name="_Toc337125794"/>
      <w:bookmarkStart w:id="6" w:name="_Toc337125725"/>
      <w:bookmarkStart w:id="7" w:name="_Toc337125764"/>
      <w:bookmarkStart w:id="8" w:name="_Toc337125795"/>
      <w:bookmarkStart w:id="9" w:name="_Toc337125726"/>
      <w:bookmarkStart w:id="10" w:name="_Toc337125765"/>
      <w:bookmarkStart w:id="11" w:name="_Toc337125796"/>
      <w:bookmarkStart w:id="12" w:name="_Toc337125727"/>
      <w:bookmarkStart w:id="13" w:name="_Toc337125766"/>
      <w:bookmarkStart w:id="14" w:name="_Toc337125797"/>
      <w:bookmarkStart w:id="15" w:name="_Toc337125728"/>
      <w:bookmarkStart w:id="16" w:name="_Toc337125767"/>
      <w:bookmarkStart w:id="17" w:name="_Toc337125798"/>
      <w:bookmarkStart w:id="18" w:name="_Toc337125729"/>
      <w:bookmarkStart w:id="19" w:name="_Toc337125768"/>
      <w:bookmarkStart w:id="20" w:name="_Toc337125799"/>
      <w:bookmarkStart w:id="21" w:name="_Toc337125730"/>
      <w:bookmarkStart w:id="22" w:name="_Toc337125769"/>
      <w:bookmarkStart w:id="23" w:name="_Toc337125800"/>
      <w:bookmarkStart w:id="24" w:name="_Toc337125731"/>
      <w:bookmarkStart w:id="25" w:name="_Toc337125770"/>
      <w:bookmarkStart w:id="26" w:name="_Toc337125801"/>
      <w:bookmarkStart w:id="27" w:name="_Toc337125732"/>
      <w:bookmarkStart w:id="28" w:name="_Toc337125771"/>
      <w:bookmarkStart w:id="29" w:name="_Toc337125802"/>
      <w:bookmarkStart w:id="30" w:name="_Toc337125733"/>
      <w:bookmarkStart w:id="31" w:name="_Toc337125772"/>
      <w:bookmarkStart w:id="32" w:name="_Toc337125803"/>
      <w:bookmarkStart w:id="33" w:name="_Toc337125734"/>
      <w:bookmarkStart w:id="34" w:name="_Toc337125774"/>
      <w:bookmarkStart w:id="35" w:name="_Toc337125805"/>
      <w:bookmarkStart w:id="36" w:name="_Toc337125738"/>
      <w:bookmarkStart w:id="37" w:name="_Toc337125777"/>
      <w:bookmarkStart w:id="38" w:name="_Toc337125808"/>
      <w:bookmarkStart w:id="39" w:name="_Toc337125856"/>
      <w:bookmarkStart w:id="40" w:name="_Toc337128678"/>
      <w:bookmarkStart w:id="41" w:name="_Toc337132309"/>
      <w:bookmarkStart w:id="42" w:name="_Toc337132599"/>
      <w:bookmarkStart w:id="43" w:name="_Toc337134724"/>
      <w:bookmarkStart w:id="44" w:name="_Toc337125739"/>
      <w:bookmarkStart w:id="45" w:name="_Toc337125778"/>
      <w:bookmarkStart w:id="46" w:name="_Toc337125809"/>
      <w:bookmarkStart w:id="47" w:name="_Toc337125857"/>
      <w:bookmarkStart w:id="48" w:name="_Toc337128679"/>
      <w:bookmarkStart w:id="49" w:name="_Toc337132310"/>
      <w:bookmarkStart w:id="50" w:name="_Toc337132600"/>
      <w:bookmarkStart w:id="51" w:name="_Toc337134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sectPr w:rsidR="0060395E" w:rsidRPr="00211500" w:rsidSect="00F672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629" w:footer="3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3FFA" w14:textId="77777777" w:rsidR="00211500" w:rsidRDefault="00211500" w:rsidP="00AC33E5">
      <w:r>
        <w:separator/>
      </w:r>
    </w:p>
    <w:p w14:paraId="01FC13E5" w14:textId="77777777" w:rsidR="00211500" w:rsidRDefault="00211500" w:rsidP="00AC33E5"/>
    <w:p w14:paraId="3E93E2E7" w14:textId="77777777" w:rsidR="00211500" w:rsidRDefault="00211500"/>
  </w:endnote>
  <w:endnote w:type="continuationSeparator" w:id="0">
    <w:p w14:paraId="725C86EE" w14:textId="77777777" w:rsidR="00211500" w:rsidRDefault="00211500" w:rsidP="00AC33E5">
      <w:r>
        <w:continuationSeparator/>
      </w:r>
    </w:p>
    <w:p w14:paraId="62B13E83" w14:textId="77777777" w:rsidR="00211500" w:rsidRDefault="00211500" w:rsidP="00AC33E5"/>
    <w:p w14:paraId="44B810B7" w14:textId="77777777" w:rsidR="00211500" w:rsidRDefault="00211500"/>
  </w:endnote>
  <w:endnote w:type="continuationNotice" w:id="1">
    <w:p w14:paraId="3A8A43F0" w14:textId="77777777" w:rsidR="00211500" w:rsidRDefault="00211500">
      <w:pPr>
        <w:spacing w:after="0" w:line="240" w:lineRule="auto"/>
      </w:pPr>
    </w:p>
    <w:p w14:paraId="655D1C1C" w14:textId="77777777" w:rsidR="00211500" w:rsidRDefault="00211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36AA" w14:textId="77777777" w:rsidR="00324AC1" w:rsidRDefault="00324AC1" w:rsidP="00AC33E5">
    <w:pPr>
      <w:pStyle w:val="Zpat"/>
    </w:pPr>
  </w:p>
  <w:p w14:paraId="478AD5CC" w14:textId="77777777" w:rsidR="00324AC1" w:rsidRDefault="00324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BD92" w14:textId="75CCCAD7" w:rsidR="00324AC1" w:rsidRPr="00A80331" w:rsidRDefault="00324AC1" w:rsidP="007E23E2">
    <w:pPr>
      <w:jc w:val="right"/>
    </w:pPr>
    <w:r w:rsidRPr="00A80331">
      <w:fldChar w:fldCharType="begin"/>
    </w:r>
    <w:r w:rsidRPr="00A80331">
      <w:instrText xml:space="preserve"> PAGE </w:instrText>
    </w:r>
    <w:r w:rsidRPr="00A80331">
      <w:fldChar w:fldCharType="separate"/>
    </w:r>
    <w:r>
      <w:rPr>
        <w:noProof/>
      </w:rPr>
      <w:t>12</w:t>
    </w:r>
    <w:r w:rsidRPr="00A80331">
      <w:fldChar w:fldCharType="end"/>
    </w:r>
    <w:r w:rsidRPr="00A80331">
      <w:t>/</w:t>
    </w:r>
    <w:fldSimple w:instr=" SECTIONPAGES   \* MERGEFORMAT ">
      <w:r w:rsidR="001258B2">
        <w:rPr>
          <w:noProof/>
        </w:rPr>
        <w:t>3</w:t>
      </w:r>
    </w:fldSimple>
  </w:p>
  <w:p w14:paraId="4E26405D" w14:textId="77777777" w:rsidR="00324AC1" w:rsidRDefault="00324A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D001" w14:textId="3ED49B79" w:rsidR="00324AC1" w:rsidRPr="00235B99" w:rsidRDefault="00324AC1" w:rsidP="007E23E2">
    <w:pPr>
      <w:jc w:val="right"/>
      <w:rPr>
        <w:sz w:val="16"/>
        <w:szCs w:val="16"/>
      </w:rPr>
    </w:pPr>
    <w:r w:rsidRPr="00235B99">
      <w:rPr>
        <w:sz w:val="16"/>
        <w:szCs w:val="16"/>
      </w:rPr>
      <w:fldChar w:fldCharType="begin"/>
    </w:r>
    <w:r w:rsidRPr="00235B99">
      <w:rPr>
        <w:sz w:val="16"/>
        <w:szCs w:val="16"/>
      </w:rPr>
      <w:instrText xml:space="preserve"> PAGE </w:instrText>
    </w:r>
    <w:r w:rsidRPr="00235B99">
      <w:rPr>
        <w:sz w:val="16"/>
        <w:szCs w:val="16"/>
      </w:rPr>
      <w:fldChar w:fldCharType="separate"/>
    </w:r>
    <w:r w:rsidRPr="00235B99">
      <w:rPr>
        <w:sz w:val="16"/>
        <w:szCs w:val="16"/>
      </w:rPr>
      <w:t>2</w:t>
    </w:r>
    <w:r w:rsidRPr="00235B99">
      <w:rPr>
        <w:sz w:val="16"/>
        <w:szCs w:val="16"/>
      </w:rPr>
      <w:fldChar w:fldCharType="end"/>
    </w:r>
    <w:r w:rsidRPr="00235B99">
      <w:rPr>
        <w:sz w:val="16"/>
        <w:szCs w:val="16"/>
      </w:rPr>
      <w:t>/</w:t>
    </w:r>
    <w:r w:rsidRPr="00235B99">
      <w:rPr>
        <w:sz w:val="16"/>
        <w:szCs w:val="16"/>
      </w:rPr>
      <w:fldChar w:fldCharType="begin"/>
    </w:r>
    <w:r w:rsidRPr="00235B99">
      <w:rPr>
        <w:sz w:val="16"/>
        <w:szCs w:val="16"/>
      </w:rPr>
      <w:instrText xml:space="preserve"> SECTIONPAGES   \* MERGEFORMAT </w:instrText>
    </w:r>
    <w:r w:rsidRPr="00235B99">
      <w:rPr>
        <w:sz w:val="16"/>
        <w:szCs w:val="16"/>
      </w:rPr>
      <w:fldChar w:fldCharType="separate"/>
    </w:r>
    <w:r w:rsidR="00C54441">
      <w:rPr>
        <w:noProof/>
        <w:sz w:val="16"/>
        <w:szCs w:val="16"/>
      </w:rPr>
      <w:t>3</w:t>
    </w:r>
    <w:r w:rsidRPr="00235B99">
      <w:rPr>
        <w:noProof/>
        <w:sz w:val="16"/>
        <w:szCs w:val="16"/>
      </w:rPr>
      <w:fldChar w:fldCharType="end"/>
    </w:r>
  </w:p>
  <w:p w14:paraId="1A62A051" w14:textId="77777777" w:rsidR="00324AC1" w:rsidRDefault="00324AC1" w:rsidP="00AC33E5">
    <w:pPr>
      <w:pStyle w:val="Zpat"/>
    </w:pPr>
  </w:p>
  <w:p w14:paraId="54ACF0C2" w14:textId="77777777" w:rsidR="00324AC1" w:rsidRDefault="00324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7BA1" w14:textId="77777777" w:rsidR="00211500" w:rsidRDefault="00211500" w:rsidP="00AC33E5">
      <w:r>
        <w:separator/>
      </w:r>
    </w:p>
    <w:p w14:paraId="704490AC" w14:textId="77777777" w:rsidR="00211500" w:rsidRDefault="00211500" w:rsidP="00AC33E5"/>
    <w:p w14:paraId="116F17BD" w14:textId="77777777" w:rsidR="00211500" w:rsidRDefault="00211500"/>
  </w:footnote>
  <w:footnote w:type="continuationSeparator" w:id="0">
    <w:p w14:paraId="6EF9F766" w14:textId="77777777" w:rsidR="00211500" w:rsidRDefault="00211500" w:rsidP="00AC33E5">
      <w:r>
        <w:continuationSeparator/>
      </w:r>
    </w:p>
    <w:p w14:paraId="0694F9C5" w14:textId="77777777" w:rsidR="00211500" w:rsidRDefault="00211500" w:rsidP="00AC33E5"/>
    <w:p w14:paraId="1C3EBBD5" w14:textId="77777777" w:rsidR="00211500" w:rsidRDefault="00211500"/>
  </w:footnote>
  <w:footnote w:type="continuationNotice" w:id="1">
    <w:p w14:paraId="1D5A6E65" w14:textId="77777777" w:rsidR="00211500" w:rsidRDefault="00211500">
      <w:pPr>
        <w:spacing w:after="0" w:line="240" w:lineRule="auto"/>
      </w:pPr>
    </w:p>
    <w:p w14:paraId="3149DF20" w14:textId="77777777" w:rsidR="00211500" w:rsidRDefault="00211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1813" w14:textId="77777777" w:rsidR="00324AC1" w:rsidRDefault="00324AC1" w:rsidP="00AC33E5">
    <w:pPr>
      <w:pStyle w:val="Zhlav"/>
    </w:pPr>
  </w:p>
  <w:p w14:paraId="576988DD" w14:textId="77777777" w:rsidR="00324AC1" w:rsidRDefault="003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C9F8" w14:textId="77777777" w:rsidR="00324AC1" w:rsidRDefault="00324AC1" w:rsidP="00AC33E5">
    <w:pPr>
      <w:pStyle w:val="Zhlav"/>
    </w:pPr>
  </w:p>
  <w:p w14:paraId="65571CB6" w14:textId="77777777" w:rsidR="00324AC1" w:rsidRDefault="00324A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055C" w14:textId="77777777" w:rsidR="00324AC1" w:rsidRPr="009C7B7D" w:rsidRDefault="00324AC1" w:rsidP="00AC33E5">
    <w:r>
      <w:rPr>
        <w:noProof/>
      </w:rPr>
      <w:drawing>
        <wp:anchor distT="0" distB="0" distL="114300" distR="114300" simplePos="0" relativeHeight="251662336" behindDoc="0" locked="0" layoutInCell="1" allowOverlap="1" wp14:anchorId="0E0EBE89" wp14:editId="66B04823">
          <wp:simplePos x="0" y="0"/>
          <wp:positionH relativeFrom="page">
            <wp:posOffset>900430</wp:posOffset>
          </wp:positionH>
          <wp:positionV relativeFrom="page">
            <wp:posOffset>381000</wp:posOffset>
          </wp:positionV>
          <wp:extent cx="2030400" cy="360000"/>
          <wp:effectExtent l="0" t="0" r="0" b="2540"/>
          <wp:wrapNone/>
          <wp:docPr id="2" name="Logo Rowan Legal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-L-01-sRGB bez ochranné zony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1B76E3" w14:textId="77777777" w:rsidR="00324AC1" w:rsidRDefault="00324AC1" w:rsidP="00AC33E5">
    <w:pPr>
      <w:pStyle w:val="Zhlav"/>
    </w:pPr>
  </w:p>
  <w:p w14:paraId="1EAC9B7D" w14:textId="77777777" w:rsidR="00324AC1" w:rsidRDefault="003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4pt" o:bullet="t">
        <v:imagedata r:id="rId1" o:title="odrazka"/>
      </v:shape>
    </w:pict>
  </w:numPicBullet>
  <w:abstractNum w:abstractNumId="0" w15:restartNumberingAfterBreak="0">
    <w:nsid w:val="108871F7"/>
    <w:multiLevelType w:val="multilevel"/>
    <w:tmpl w:val="CA22FF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6D58"/>
    <w:multiLevelType w:val="hybridMultilevel"/>
    <w:tmpl w:val="35080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4027B"/>
    <w:multiLevelType w:val="multilevel"/>
    <w:tmpl w:val="D48A2D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C6FCD"/>
    <w:multiLevelType w:val="multilevel"/>
    <w:tmpl w:val="7F30DB0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06404DB"/>
    <w:multiLevelType w:val="multilevel"/>
    <w:tmpl w:val="AA0E59F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Lslovanodstavec"/>
      <w:lvlText w:val="%2.%3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RLNadpis3rovn"/>
      <w:lvlText w:val="%4)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7" w15:restartNumberingAfterBreak="0">
    <w:nsid w:val="4B734F6B"/>
    <w:multiLevelType w:val="hybridMultilevel"/>
    <w:tmpl w:val="B614A0C2"/>
    <w:lvl w:ilvl="0" w:tplc="BD34ED14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A8C48B5"/>
    <w:multiLevelType w:val="hybridMultilevel"/>
    <w:tmpl w:val="26D2C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7CBF08D4"/>
    <w:multiLevelType w:val="hybridMultilevel"/>
    <w:tmpl w:val="C58AB4DC"/>
    <w:lvl w:ilvl="0" w:tplc="6B5E67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wNTQyNLA0NjY1NTRR0lEKTi0uzszPAykwrgUAnrzIjywAAAA="/>
  </w:docVars>
  <w:rsids>
    <w:rsidRoot w:val="00211500"/>
    <w:rsid w:val="00000485"/>
    <w:rsid w:val="000034E7"/>
    <w:rsid w:val="00005005"/>
    <w:rsid w:val="00007B2F"/>
    <w:rsid w:val="00020E79"/>
    <w:rsid w:val="00020F28"/>
    <w:rsid w:val="0002114E"/>
    <w:rsid w:val="00026C8F"/>
    <w:rsid w:val="00027AF3"/>
    <w:rsid w:val="00036C43"/>
    <w:rsid w:val="00043B3E"/>
    <w:rsid w:val="0005579F"/>
    <w:rsid w:val="00060462"/>
    <w:rsid w:val="00066D3E"/>
    <w:rsid w:val="0006736A"/>
    <w:rsid w:val="0006785D"/>
    <w:rsid w:val="00081264"/>
    <w:rsid w:val="000830F2"/>
    <w:rsid w:val="00083CBF"/>
    <w:rsid w:val="00092668"/>
    <w:rsid w:val="000A6020"/>
    <w:rsid w:val="000C0691"/>
    <w:rsid w:val="000C271A"/>
    <w:rsid w:val="000C5A8D"/>
    <w:rsid w:val="000D1372"/>
    <w:rsid w:val="000E49A6"/>
    <w:rsid w:val="000F5286"/>
    <w:rsid w:val="00100268"/>
    <w:rsid w:val="00102974"/>
    <w:rsid w:val="00103C3F"/>
    <w:rsid w:val="00110970"/>
    <w:rsid w:val="001150D8"/>
    <w:rsid w:val="00115DE4"/>
    <w:rsid w:val="001174D0"/>
    <w:rsid w:val="00123A5B"/>
    <w:rsid w:val="001258B2"/>
    <w:rsid w:val="00134C62"/>
    <w:rsid w:val="00142C4B"/>
    <w:rsid w:val="00144A3E"/>
    <w:rsid w:val="0015628E"/>
    <w:rsid w:val="001577EF"/>
    <w:rsid w:val="00186C98"/>
    <w:rsid w:val="00191313"/>
    <w:rsid w:val="0019333B"/>
    <w:rsid w:val="00194354"/>
    <w:rsid w:val="001A3C80"/>
    <w:rsid w:val="001B0C37"/>
    <w:rsid w:val="001B3956"/>
    <w:rsid w:val="001B5A82"/>
    <w:rsid w:val="001B73B7"/>
    <w:rsid w:val="001C21FE"/>
    <w:rsid w:val="001C5707"/>
    <w:rsid w:val="001D5663"/>
    <w:rsid w:val="001E4230"/>
    <w:rsid w:val="001E47DC"/>
    <w:rsid w:val="002059B0"/>
    <w:rsid w:val="002062B4"/>
    <w:rsid w:val="002077BB"/>
    <w:rsid w:val="00211500"/>
    <w:rsid w:val="002137B1"/>
    <w:rsid w:val="00226862"/>
    <w:rsid w:val="00227EA5"/>
    <w:rsid w:val="00230AB0"/>
    <w:rsid w:val="00235B99"/>
    <w:rsid w:val="0024343E"/>
    <w:rsid w:val="00253821"/>
    <w:rsid w:val="002622AA"/>
    <w:rsid w:val="002727A7"/>
    <w:rsid w:val="00272A34"/>
    <w:rsid w:val="002778FC"/>
    <w:rsid w:val="002927D3"/>
    <w:rsid w:val="002B5471"/>
    <w:rsid w:val="002E3EDA"/>
    <w:rsid w:val="002E60B9"/>
    <w:rsid w:val="002F15BC"/>
    <w:rsid w:val="00307CB9"/>
    <w:rsid w:val="00307D93"/>
    <w:rsid w:val="003245AA"/>
    <w:rsid w:val="00324AC1"/>
    <w:rsid w:val="00331597"/>
    <w:rsid w:val="00332F04"/>
    <w:rsid w:val="00336AA3"/>
    <w:rsid w:val="00342F5F"/>
    <w:rsid w:val="0035218D"/>
    <w:rsid w:val="00356B8D"/>
    <w:rsid w:val="00362B23"/>
    <w:rsid w:val="00364C61"/>
    <w:rsid w:val="00366BF5"/>
    <w:rsid w:val="003677FC"/>
    <w:rsid w:val="00371EAD"/>
    <w:rsid w:val="00375EC5"/>
    <w:rsid w:val="00382BAF"/>
    <w:rsid w:val="003835E7"/>
    <w:rsid w:val="00392D06"/>
    <w:rsid w:val="003A30E2"/>
    <w:rsid w:val="003A5A90"/>
    <w:rsid w:val="003A6478"/>
    <w:rsid w:val="003A79B8"/>
    <w:rsid w:val="003B3C58"/>
    <w:rsid w:val="003B536E"/>
    <w:rsid w:val="003C470A"/>
    <w:rsid w:val="003D2AB2"/>
    <w:rsid w:val="003D6625"/>
    <w:rsid w:val="003E011D"/>
    <w:rsid w:val="003E0BB4"/>
    <w:rsid w:val="003E5C04"/>
    <w:rsid w:val="003F3D11"/>
    <w:rsid w:val="004138AE"/>
    <w:rsid w:val="00414146"/>
    <w:rsid w:val="00420D88"/>
    <w:rsid w:val="004272D4"/>
    <w:rsid w:val="004349FB"/>
    <w:rsid w:val="00436CEC"/>
    <w:rsid w:val="004400F6"/>
    <w:rsid w:val="00456D9D"/>
    <w:rsid w:val="00460955"/>
    <w:rsid w:val="0046619D"/>
    <w:rsid w:val="00470BF2"/>
    <w:rsid w:val="0048009D"/>
    <w:rsid w:val="00483215"/>
    <w:rsid w:val="00491C80"/>
    <w:rsid w:val="00492BC8"/>
    <w:rsid w:val="004931B7"/>
    <w:rsid w:val="0049567A"/>
    <w:rsid w:val="00497404"/>
    <w:rsid w:val="004A3F3E"/>
    <w:rsid w:val="004A48BF"/>
    <w:rsid w:val="004B71A4"/>
    <w:rsid w:val="004D29B7"/>
    <w:rsid w:val="004D4E65"/>
    <w:rsid w:val="004D4FFB"/>
    <w:rsid w:val="004D6C42"/>
    <w:rsid w:val="004D7154"/>
    <w:rsid w:val="004D783A"/>
    <w:rsid w:val="004E463D"/>
    <w:rsid w:val="004E5045"/>
    <w:rsid w:val="004E7E38"/>
    <w:rsid w:val="004F5A8E"/>
    <w:rsid w:val="004F79DD"/>
    <w:rsid w:val="005050FA"/>
    <w:rsid w:val="005055F8"/>
    <w:rsid w:val="00515897"/>
    <w:rsid w:val="00520755"/>
    <w:rsid w:val="005216E5"/>
    <w:rsid w:val="00524A19"/>
    <w:rsid w:val="0053238B"/>
    <w:rsid w:val="00534D5D"/>
    <w:rsid w:val="00535A0B"/>
    <w:rsid w:val="00540610"/>
    <w:rsid w:val="0054507F"/>
    <w:rsid w:val="0054539D"/>
    <w:rsid w:val="005532D2"/>
    <w:rsid w:val="00557611"/>
    <w:rsid w:val="00562924"/>
    <w:rsid w:val="005651F4"/>
    <w:rsid w:val="005660C7"/>
    <w:rsid w:val="0056677F"/>
    <w:rsid w:val="00566CE7"/>
    <w:rsid w:val="0057036A"/>
    <w:rsid w:val="0059013F"/>
    <w:rsid w:val="00590B12"/>
    <w:rsid w:val="00595360"/>
    <w:rsid w:val="005B0F54"/>
    <w:rsid w:val="005B1240"/>
    <w:rsid w:val="005D4D2A"/>
    <w:rsid w:val="005D64D7"/>
    <w:rsid w:val="005D6903"/>
    <w:rsid w:val="005D759E"/>
    <w:rsid w:val="005E1F66"/>
    <w:rsid w:val="005F0E91"/>
    <w:rsid w:val="005F13E5"/>
    <w:rsid w:val="0060158E"/>
    <w:rsid w:val="006015FD"/>
    <w:rsid w:val="006026CD"/>
    <w:rsid w:val="006027C0"/>
    <w:rsid w:val="0060395E"/>
    <w:rsid w:val="00610B86"/>
    <w:rsid w:val="00617597"/>
    <w:rsid w:val="006175BE"/>
    <w:rsid w:val="006217E4"/>
    <w:rsid w:val="00626557"/>
    <w:rsid w:val="0063254F"/>
    <w:rsid w:val="00636C19"/>
    <w:rsid w:val="00642851"/>
    <w:rsid w:val="00643A13"/>
    <w:rsid w:val="00655637"/>
    <w:rsid w:val="006557D8"/>
    <w:rsid w:val="0067731D"/>
    <w:rsid w:val="00680B29"/>
    <w:rsid w:val="006A3D9D"/>
    <w:rsid w:val="006A78F8"/>
    <w:rsid w:val="006A7AEE"/>
    <w:rsid w:val="006B04AC"/>
    <w:rsid w:val="006B1DC0"/>
    <w:rsid w:val="006B761A"/>
    <w:rsid w:val="006B795D"/>
    <w:rsid w:val="006C1A1B"/>
    <w:rsid w:val="006C3E8E"/>
    <w:rsid w:val="006C545F"/>
    <w:rsid w:val="006C7B4D"/>
    <w:rsid w:val="006D5AE0"/>
    <w:rsid w:val="006E42F6"/>
    <w:rsid w:val="006E70E3"/>
    <w:rsid w:val="006E7996"/>
    <w:rsid w:val="006F1B25"/>
    <w:rsid w:val="00701428"/>
    <w:rsid w:val="00702D67"/>
    <w:rsid w:val="007065AA"/>
    <w:rsid w:val="00707B09"/>
    <w:rsid w:val="00715839"/>
    <w:rsid w:val="0073217D"/>
    <w:rsid w:val="00734501"/>
    <w:rsid w:val="00734F32"/>
    <w:rsid w:val="00737DC1"/>
    <w:rsid w:val="0075056C"/>
    <w:rsid w:val="00767EFD"/>
    <w:rsid w:val="00793474"/>
    <w:rsid w:val="00796216"/>
    <w:rsid w:val="00797425"/>
    <w:rsid w:val="007A4909"/>
    <w:rsid w:val="007A50D0"/>
    <w:rsid w:val="007C06E7"/>
    <w:rsid w:val="007C0D39"/>
    <w:rsid w:val="007D070E"/>
    <w:rsid w:val="007D5AFD"/>
    <w:rsid w:val="007D6D9B"/>
    <w:rsid w:val="007E23E2"/>
    <w:rsid w:val="007E3DA7"/>
    <w:rsid w:val="007E5D1C"/>
    <w:rsid w:val="007F5D81"/>
    <w:rsid w:val="008000AD"/>
    <w:rsid w:val="00801079"/>
    <w:rsid w:val="00802741"/>
    <w:rsid w:val="0080388B"/>
    <w:rsid w:val="00816964"/>
    <w:rsid w:val="00821A63"/>
    <w:rsid w:val="00822955"/>
    <w:rsid w:val="00825733"/>
    <w:rsid w:val="008325CE"/>
    <w:rsid w:val="0083730C"/>
    <w:rsid w:val="0084493D"/>
    <w:rsid w:val="00864A8D"/>
    <w:rsid w:val="00872F10"/>
    <w:rsid w:val="00873107"/>
    <w:rsid w:val="00881301"/>
    <w:rsid w:val="008841A0"/>
    <w:rsid w:val="008910D1"/>
    <w:rsid w:val="00897EEC"/>
    <w:rsid w:val="008B4D78"/>
    <w:rsid w:val="008C7434"/>
    <w:rsid w:val="008D45F9"/>
    <w:rsid w:val="008E489C"/>
    <w:rsid w:val="009020DD"/>
    <w:rsid w:val="00906433"/>
    <w:rsid w:val="009150D1"/>
    <w:rsid w:val="00916765"/>
    <w:rsid w:val="00944A00"/>
    <w:rsid w:val="00945234"/>
    <w:rsid w:val="00945DC0"/>
    <w:rsid w:val="009469D0"/>
    <w:rsid w:val="00956859"/>
    <w:rsid w:val="00962DA9"/>
    <w:rsid w:val="009735FA"/>
    <w:rsid w:val="00980567"/>
    <w:rsid w:val="0098397E"/>
    <w:rsid w:val="009A416D"/>
    <w:rsid w:val="009A5572"/>
    <w:rsid w:val="009B6C92"/>
    <w:rsid w:val="009C05AB"/>
    <w:rsid w:val="009C7B7D"/>
    <w:rsid w:val="009D149F"/>
    <w:rsid w:val="009D2B81"/>
    <w:rsid w:val="009D3EB5"/>
    <w:rsid w:val="009E2C36"/>
    <w:rsid w:val="009F0AAE"/>
    <w:rsid w:val="00A02ACC"/>
    <w:rsid w:val="00A0730D"/>
    <w:rsid w:val="00A14175"/>
    <w:rsid w:val="00A307A5"/>
    <w:rsid w:val="00A36EAF"/>
    <w:rsid w:val="00A403AA"/>
    <w:rsid w:val="00A45AEC"/>
    <w:rsid w:val="00A473FA"/>
    <w:rsid w:val="00A57E5C"/>
    <w:rsid w:val="00A60D34"/>
    <w:rsid w:val="00A66A7B"/>
    <w:rsid w:val="00A70759"/>
    <w:rsid w:val="00A80331"/>
    <w:rsid w:val="00A85547"/>
    <w:rsid w:val="00A9763C"/>
    <w:rsid w:val="00AB139C"/>
    <w:rsid w:val="00AB28C2"/>
    <w:rsid w:val="00AB7688"/>
    <w:rsid w:val="00AC1B78"/>
    <w:rsid w:val="00AC265D"/>
    <w:rsid w:val="00AC33E5"/>
    <w:rsid w:val="00AD006C"/>
    <w:rsid w:val="00AD0D2F"/>
    <w:rsid w:val="00AD1D52"/>
    <w:rsid w:val="00AD2F19"/>
    <w:rsid w:val="00AD7569"/>
    <w:rsid w:val="00AE6988"/>
    <w:rsid w:val="00AF0D98"/>
    <w:rsid w:val="00B176DA"/>
    <w:rsid w:val="00B22139"/>
    <w:rsid w:val="00B24D3B"/>
    <w:rsid w:val="00B26753"/>
    <w:rsid w:val="00B26BC5"/>
    <w:rsid w:val="00B40CBE"/>
    <w:rsid w:val="00B43828"/>
    <w:rsid w:val="00B57448"/>
    <w:rsid w:val="00B601A9"/>
    <w:rsid w:val="00B64921"/>
    <w:rsid w:val="00B64990"/>
    <w:rsid w:val="00B67BEB"/>
    <w:rsid w:val="00B701C8"/>
    <w:rsid w:val="00B819BB"/>
    <w:rsid w:val="00B90DC1"/>
    <w:rsid w:val="00BA1AF2"/>
    <w:rsid w:val="00BA201F"/>
    <w:rsid w:val="00BB301E"/>
    <w:rsid w:val="00BB601C"/>
    <w:rsid w:val="00BC6BA2"/>
    <w:rsid w:val="00BD2570"/>
    <w:rsid w:val="00BD260F"/>
    <w:rsid w:val="00BD79BE"/>
    <w:rsid w:val="00BE69C1"/>
    <w:rsid w:val="00BF1D9A"/>
    <w:rsid w:val="00BF7FA6"/>
    <w:rsid w:val="00C01E58"/>
    <w:rsid w:val="00C03BFF"/>
    <w:rsid w:val="00C23E89"/>
    <w:rsid w:val="00C24D8C"/>
    <w:rsid w:val="00C3200D"/>
    <w:rsid w:val="00C447C0"/>
    <w:rsid w:val="00C47AC3"/>
    <w:rsid w:val="00C5142F"/>
    <w:rsid w:val="00C542B6"/>
    <w:rsid w:val="00C54441"/>
    <w:rsid w:val="00C54961"/>
    <w:rsid w:val="00C63089"/>
    <w:rsid w:val="00C70E6D"/>
    <w:rsid w:val="00C86B25"/>
    <w:rsid w:val="00C97B40"/>
    <w:rsid w:val="00C97EF7"/>
    <w:rsid w:val="00CA3E68"/>
    <w:rsid w:val="00CB304B"/>
    <w:rsid w:val="00CB77C7"/>
    <w:rsid w:val="00CF1BEF"/>
    <w:rsid w:val="00CF342A"/>
    <w:rsid w:val="00CF39A4"/>
    <w:rsid w:val="00CF5D66"/>
    <w:rsid w:val="00CF7C91"/>
    <w:rsid w:val="00D07117"/>
    <w:rsid w:val="00D15DB2"/>
    <w:rsid w:val="00D22D46"/>
    <w:rsid w:val="00D24656"/>
    <w:rsid w:val="00D34548"/>
    <w:rsid w:val="00D475F0"/>
    <w:rsid w:val="00D51BB2"/>
    <w:rsid w:val="00D53F11"/>
    <w:rsid w:val="00D60CA1"/>
    <w:rsid w:val="00D616EE"/>
    <w:rsid w:val="00D634DB"/>
    <w:rsid w:val="00D84CA0"/>
    <w:rsid w:val="00D96B17"/>
    <w:rsid w:val="00DA0FFE"/>
    <w:rsid w:val="00DA197F"/>
    <w:rsid w:val="00DA425C"/>
    <w:rsid w:val="00DA74C8"/>
    <w:rsid w:val="00DB29E2"/>
    <w:rsid w:val="00DB36CE"/>
    <w:rsid w:val="00DD2499"/>
    <w:rsid w:val="00DD7DA4"/>
    <w:rsid w:val="00DE14D7"/>
    <w:rsid w:val="00DF5970"/>
    <w:rsid w:val="00E07CF2"/>
    <w:rsid w:val="00E07F52"/>
    <w:rsid w:val="00E16895"/>
    <w:rsid w:val="00E21D0C"/>
    <w:rsid w:val="00E21EB0"/>
    <w:rsid w:val="00E300B8"/>
    <w:rsid w:val="00E348DD"/>
    <w:rsid w:val="00E34F43"/>
    <w:rsid w:val="00E363ED"/>
    <w:rsid w:val="00E41D1D"/>
    <w:rsid w:val="00E51C4F"/>
    <w:rsid w:val="00E52FA0"/>
    <w:rsid w:val="00E62930"/>
    <w:rsid w:val="00E67120"/>
    <w:rsid w:val="00E72B53"/>
    <w:rsid w:val="00E82BDD"/>
    <w:rsid w:val="00E92942"/>
    <w:rsid w:val="00E94736"/>
    <w:rsid w:val="00E95F07"/>
    <w:rsid w:val="00EA3CAA"/>
    <w:rsid w:val="00EA5445"/>
    <w:rsid w:val="00EB395B"/>
    <w:rsid w:val="00EC09C0"/>
    <w:rsid w:val="00EC7AAE"/>
    <w:rsid w:val="00ED3394"/>
    <w:rsid w:val="00EE2EDE"/>
    <w:rsid w:val="00EF124E"/>
    <w:rsid w:val="00EF142A"/>
    <w:rsid w:val="00EF256A"/>
    <w:rsid w:val="00EF4263"/>
    <w:rsid w:val="00EF672D"/>
    <w:rsid w:val="00F01601"/>
    <w:rsid w:val="00F218E7"/>
    <w:rsid w:val="00F31A10"/>
    <w:rsid w:val="00F363D2"/>
    <w:rsid w:val="00F5341D"/>
    <w:rsid w:val="00F64348"/>
    <w:rsid w:val="00F672F2"/>
    <w:rsid w:val="00F751DE"/>
    <w:rsid w:val="00F8286C"/>
    <w:rsid w:val="00F877A5"/>
    <w:rsid w:val="00F94ECF"/>
    <w:rsid w:val="00FA0BFA"/>
    <w:rsid w:val="00FB0FE5"/>
    <w:rsid w:val="00FB3590"/>
    <w:rsid w:val="00FB404A"/>
    <w:rsid w:val="00FD0610"/>
    <w:rsid w:val="00FD796A"/>
    <w:rsid w:val="00FE0B36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25848"/>
  <w15:docId w15:val="{740CA25D-51C7-45CF-847B-143360C0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AC33E5"/>
    <w:pPr>
      <w:spacing w:after="120" w:line="340" w:lineRule="exact"/>
      <w:jc w:val="both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ilvl w:val="2"/>
        <w:numId w:val="1"/>
      </w:numPr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1"/>
      </w:numPr>
      <w:spacing w:after="840" w:line="560" w:lineRule="exact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1"/>
      </w:numPr>
      <w:spacing w:before="360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RLslovanodstavec"/>
    <w:next w:val="RLslovanodstavec"/>
    <w:qFormat/>
    <w:locked/>
    <w:rsid w:val="007E23E2"/>
    <w:pPr>
      <w:numPr>
        <w:ilvl w:val="3"/>
      </w:numPr>
      <w:tabs>
        <w:tab w:val="clear" w:pos="737"/>
        <w:tab w:val="num" w:pos="1276"/>
      </w:tabs>
      <w:ind w:left="1276" w:hanging="453"/>
    </w:p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2"/>
      </w:numPr>
      <w:spacing w:after="100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715839"/>
    <w:pPr>
      <w:spacing w:after="100" w:line="280" w:lineRule="exact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3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table" w:customStyle="1" w:styleId="Mkatabulky1">
    <w:name w:val="Mřížka tabulky1"/>
    <w:basedOn w:val="Normlntabulka"/>
    <w:next w:val="Mkatabulky"/>
    <w:rsid w:val="00DA74C8"/>
    <w:rPr>
      <w:rFonts w:ascii="NimbusRomDUN" w:eastAsia="Times New Roman" w:hAnsi="NimbusRomD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tylRLNadpis2rovn12bVlevo0cmPedsazen13">
    <w:name w:val="Styl Styl RL Nadpis 2. úrovně + 12 b. Vlevo:  0 cm Předsazení:  13..."/>
    <w:basedOn w:val="Normln"/>
    <w:rsid w:val="00E41D1D"/>
    <w:pPr>
      <w:keepNext/>
      <w:spacing w:before="240" w:line="280" w:lineRule="exact"/>
      <w:ind w:left="737" w:hanging="737"/>
    </w:pPr>
    <w:rPr>
      <w:rFonts w:ascii="Calibri" w:eastAsia="Times New Roman" w:hAnsi="Calibri"/>
      <w:b/>
      <w:bCs/>
      <w:color w:val="394A58"/>
      <w:spacing w:val="20"/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027C0"/>
    <w:pPr>
      <w:tabs>
        <w:tab w:val="num" w:pos="1474"/>
      </w:tabs>
      <w:spacing w:line="280" w:lineRule="exact"/>
      <w:ind w:left="1474" w:hanging="737"/>
    </w:pPr>
    <w:rPr>
      <w:rFonts w:ascii="Calibri" w:eastAsia="Times New Roman" w:hAnsi="Calibri"/>
      <w:szCs w:val="24"/>
    </w:rPr>
  </w:style>
  <w:style w:type="character" w:customStyle="1" w:styleId="RLTextlnkuslovanChar">
    <w:name w:val="RL Text článku číslovaný Char"/>
    <w:link w:val="RLTextlnkuslovan"/>
    <w:rsid w:val="006027C0"/>
    <w:rPr>
      <w:rFonts w:eastAsia="Times New Roman"/>
      <w:sz w:val="22"/>
      <w:szCs w:val="24"/>
    </w:rPr>
  </w:style>
  <w:style w:type="character" w:styleId="Zstupntext">
    <w:name w:val="Placeholder Text"/>
    <w:basedOn w:val="Standardnpsmoodstavce"/>
    <w:uiPriority w:val="99"/>
    <w:semiHidden/>
    <w:rsid w:val="00864A8D"/>
    <w:rPr>
      <w:color w:val="808080"/>
    </w:rPr>
  </w:style>
  <w:style w:type="paragraph" w:styleId="Odstavecseseznamem">
    <w:name w:val="List Paragraph"/>
    <w:basedOn w:val="Normln"/>
    <w:uiPriority w:val="34"/>
    <w:qFormat/>
    <w:locked/>
    <w:rsid w:val="00AC33E5"/>
    <w:pPr>
      <w:ind w:left="720"/>
      <w:contextualSpacing/>
    </w:pPr>
  </w:style>
  <w:style w:type="paragraph" w:customStyle="1" w:styleId="RLlneksmlouvy">
    <w:name w:val="RL Článek smlouvy"/>
    <w:basedOn w:val="Normln"/>
    <w:next w:val="RLTextlnkuslovan"/>
    <w:rsid w:val="007E23E2"/>
    <w:pPr>
      <w:keepNext/>
      <w:tabs>
        <w:tab w:val="num" w:pos="737"/>
      </w:tabs>
      <w:suppressAutoHyphens/>
      <w:spacing w:before="360" w:line="280" w:lineRule="exact"/>
      <w:ind w:left="737" w:hanging="737"/>
      <w:outlineLvl w:val="0"/>
    </w:pPr>
    <w:rPr>
      <w:rFonts w:ascii="Calibri" w:eastAsia="Times New Roman" w:hAnsi="Calibri"/>
      <w:b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E23E2"/>
    <w:pPr>
      <w:spacing w:line="280" w:lineRule="exact"/>
      <w:jc w:val="center"/>
    </w:pPr>
    <w:rPr>
      <w:rFonts w:ascii="Calibri" w:eastAsia="Times New Roman" w:hAnsi="Calibri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7E23E2"/>
    <w:rPr>
      <w:rFonts w:eastAsia="Times New Roman"/>
      <w:b/>
      <w:sz w:val="22"/>
      <w:szCs w:val="24"/>
    </w:rPr>
  </w:style>
  <w:style w:type="paragraph" w:customStyle="1" w:styleId="paragraph">
    <w:name w:val="paragraph"/>
    <w:basedOn w:val="Normln"/>
    <w:rsid w:val="00DA425C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</w:rPr>
  </w:style>
  <w:style w:type="character" w:customStyle="1" w:styleId="normaltextrun">
    <w:name w:val="normaltextrun"/>
    <w:basedOn w:val="Standardnpsmoodstavce"/>
    <w:rsid w:val="00DA425C"/>
  </w:style>
  <w:style w:type="character" w:customStyle="1" w:styleId="eop">
    <w:name w:val="eop"/>
    <w:basedOn w:val="Standardnpsmoodstavce"/>
    <w:rsid w:val="00DA425C"/>
  </w:style>
  <w:style w:type="character" w:customStyle="1" w:styleId="doplnuchazeChar">
    <w:name w:val="doplní uchazeč Char"/>
    <w:link w:val="doplnuchaze"/>
    <w:locked/>
    <w:rsid w:val="00211500"/>
    <w:rPr>
      <w:rFonts w:ascii="Times New Roman" w:eastAsia="Times New Roman" w:hAnsi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211500"/>
    <w:pPr>
      <w:snapToGrid w:val="0"/>
      <w:spacing w:line="280" w:lineRule="exact"/>
      <w:jc w:val="center"/>
    </w:pPr>
    <w:rPr>
      <w:rFonts w:ascii="Times New Roman" w:eastAsia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owanlegal.sharepoint.com/sites/assets/templates/Smlouvy%20o%20poskytov&#225;n&#237;%20slu&#382;eb%20RL%20a%20RTAX/Smlouva%20o%20poskytov&#225;n&#237;%20pr&#225;vn&#237;ch%20slu&#382;eb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B1528F85DC347BAF252D1375B9A44" ma:contentTypeVersion="4" ma:contentTypeDescription="Vytvoří nový dokument" ma:contentTypeScope="" ma:versionID="46cc85d7cd8a843afc337690d0890973">
  <xsd:schema xmlns:xsd="http://www.w3.org/2001/XMLSchema" xmlns:xs="http://www.w3.org/2001/XMLSchema" xmlns:p="http://schemas.microsoft.com/office/2006/metadata/properties" xmlns:ns2="e2b91183-3883-4352-b8ed-79443bd4fe05" targetNamespace="http://schemas.microsoft.com/office/2006/metadata/properties" ma:root="true" ma:fieldsID="a4fdc1a79e51ca43073744cea4e1d1e6" ns2:_="">
    <xsd:import namespace="e2b91183-3883-4352-b8ed-79443bd4f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1183-3883-4352-b8ed-79443bd4f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DC1F1-3471-44A7-BE86-097675EE4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80662-29FE-470E-855E-F950C9799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94C07-D83A-4CDC-8777-672AE3808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91183-3883-4352-b8ed-79443bd4f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E9B13-AE8D-4467-B593-D41F8ABA1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Smlouva%20o%20poskytování%20právních%20služeb_CZ</Template>
  <TotalTime>28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ROWAN LEGAL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 Matouš</dc:creator>
  <cp:keywords/>
  <dc:description/>
  <cp:lastModifiedBy>Flaškár Martin</cp:lastModifiedBy>
  <cp:revision>4</cp:revision>
  <cp:lastPrinted>2020-06-19T15:14:00Z</cp:lastPrinted>
  <dcterms:created xsi:type="dcterms:W3CDTF">2022-10-06T10:45:00Z</dcterms:created>
  <dcterms:modified xsi:type="dcterms:W3CDTF">2022-10-06T13:51:00Z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0x010100254B1528F85DC347BAF252D1375B9A44</vt:lpwstr>
  </property>
</Properties>
</file>