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57B0349C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</w:t>
      </w:r>
      <w:r w:rsidRPr="008E2F3E">
        <w:rPr>
          <w:szCs w:val="24"/>
        </w:rPr>
        <w:t>“)</w:t>
      </w:r>
      <w:r w:rsidR="008E2F3E" w:rsidRPr="008E2F3E">
        <w:rPr>
          <w:szCs w:val="24"/>
        </w:rPr>
        <w:t xml:space="preserve">, </w:t>
      </w:r>
      <w:r w:rsidRPr="008E2F3E">
        <w:rPr>
          <w:szCs w:val="24"/>
        </w:rPr>
        <w:t xml:space="preserve">mezi </w:t>
      </w:r>
      <w:r w:rsidRPr="007D6E52">
        <w:rPr>
          <w:szCs w:val="24"/>
        </w:rPr>
        <w:t>smluvními stranami:</w:t>
      </w:r>
    </w:p>
    <w:p w14:paraId="6ED56F60" w14:textId="77777777" w:rsidR="006D0E5D" w:rsidRDefault="006D0E5D" w:rsidP="007D6E52">
      <w:pPr>
        <w:spacing w:after="120" w:line="240" w:lineRule="auto"/>
        <w:jc w:val="center"/>
        <w:rPr>
          <w:b/>
          <w:sz w:val="28"/>
        </w:rPr>
      </w:pPr>
    </w:p>
    <w:p w14:paraId="2129C256" w14:textId="01D1F5F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35D45573" w14:textId="40888B17" w:rsidR="00196B05" w:rsidRPr="001934D8" w:rsidRDefault="001934D8" w:rsidP="00FF48D2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2280C2DD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F35FF">
        <w:rPr>
          <w:rFonts w:ascii="Calibri" w:eastAsia="Times New Roman" w:hAnsi="Calibri" w:cs="Times New Roman"/>
          <w:lang w:eastAsia="cs-CZ"/>
        </w:rPr>
        <w:t>xxxxxxxxxxxxxxxxxxxx</w:t>
      </w:r>
    </w:p>
    <w:p w14:paraId="3CE255E6" w14:textId="3DD61C06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F35FF">
        <w:rPr>
          <w:rFonts w:ascii="Calibri" w:eastAsia="Times New Roman" w:hAnsi="Calibri" w:cs="Times New Roman"/>
          <w:lang w:eastAsia="cs-CZ"/>
        </w:rPr>
        <w:t>xxxxxxxxxxxxxxxxxxxx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00D4A36" w14:textId="1F177AC9" w:rsidR="004C338F" w:rsidRDefault="004C338F" w:rsidP="004C338F">
      <w:pPr>
        <w:pStyle w:val="Default"/>
      </w:pPr>
    </w:p>
    <w:p w14:paraId="362AB2BD" w14:textId="77777777" w:rsidR="00B11E1A" w:rsidRPr="00B11E1A" w:rsidRDefault="00B11E1A" w:rsidP="00B11E1A">
      <w:pPr>
        <w:pStyle w:val="Default"/>
        <w:rPr>
          <w:rFonts w:cstheme="minorHAnsi"/>
          <w:b/>
          <w:bCs/>
          <w:sz w:val="32"/>
          <w:szCs w:val="32"/>
        </w:rPr>
      </w:pPr>
      <w:r w:rsidRPr="00B11E1A">
        <w:rPr>
          <w:rFonts w:cstheme="minorHAnsi"/>
          <w:b/>
          <w:bCs/>
          <w:sz w:val="32"/>
          <w:szCs w:val="32"/>
        </w:rPr>
        <w:t>Pro Evolution s.r.o.</w:t>
      </w:r>
    </w:p>
    <w:p w14:paraId="37C5C3E9" w14:textId="187AB81E" w:rsidR="004C338F" w:rsidRPr="0038678A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D7696C">
        <w:rPr>
          <w:rFonts w:asciiTheme="minorHAnsi" w:hAnsiTheme="minorHAnsi" w:cstheme="minorHAnsi"/>
          <w:sz w:val="22"/>
          <w:szCs w:val="22"/>
        </w:rPr>
        <w:t>Mělnická 69/77, 277 11 Libiš</w:t>
      </w:r>
    </w:p>
    <w:p w14:paraId="38F98528" w14:textId="16F2EBEC" w:rsidR="004C338F" w:rsidRPr="0038678A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IČ: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D7696C">
        <w:rPr>
          <w:rFonts w:asciiTheme="minorHAnsi" w:hAnsiTheme="minorHAnsi" w:cstheme="minorHAnsi"/>
          <w:sz w:val="22"/>
          <w:szCs w:val="22"/>
        </w:rPr>
        <w:t>24779075</w:t>
      </w:r>
      <w:r w:rsidRPr="003867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761C42" w14:textId="04A0A4D0" w:rsidR="004C338F" w:rsidRPr="0038678A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DIČ: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D7696C">
        <w:rPr>
          <w:rFonts w:asciiTheme="minorHAnsi" w:hAnsiTheme="minorHAnsi" w:cstheme="minorHAnsi"/>
          <w:sz w:val="22"/>
          <w:szCs w:val="22"/>
        </w:rPr>
        <w:t>CZ24779075</w:t>
      </w:r>
    </w:p>
    <w:p w14:paraId="6926E9D0" w14:textId="34CA6135" w:rsidR="004C338F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D7696C">
        <w:rPr>
          <w:rFonts w:asciiTheme="minorHAnsi" w:hAnsiTheme="minorHAnsi" w:cstheme="minorHAnsi"/>
          <w:sz w:val="22"/>
          <w:szCs w:val="22"/>
        </w:rPr>
        <w:t>Martinem Šebkem, jednatelem společnosti</w:t>
      </w:r>
    </w:p>
    <w:p w14:paraId="53000565" w14:textId="46F0CB58" w:rsidR="00D7696C" w:rsidRPr="0038678A" w:rsidRDefault="00D7696C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Michalem Rakem, jednatelem společnosti</w:t>
      </w:r>
    </w:p>
    <w:p w14:paraId="14E4C89A" w14:textId="4D747AA7" w:rsidR="004C338F" w:rsidRPr="0038678A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FF35FF" w:rsidRPr="00FF35FF">
        <w:rPr>
          <w:rFonts w:asciiTheme="minorHAnsi" w:hAnsiTheme="minorHAnsi" w:cstheme="minorHAnsi"/>
          <w:sz w:val="22"/>
          <w:szCs w:val="22"/>
        </w:rPr>
        <w:t>xxxxxxxxxxxxxxxxxxxx</w:t>
      </w:r>
    </w:p>
    <w:p w14:paraId="27F06EF9" w14:textId="21C41452" w:rsidR="004C338F" w:rsidRPr="0038678A" w:rsidRDefault="004C338F" w:rsidP="004C33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678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Pr="0038678A">
        <w:rPr>
          <w:rFonts w:asciiTheme="minorHAnsi" w:hAnsiTheme="minorHAnsi" w:cstheme="minorHAnsi"/>
          <w:sz w:val="22"/>
          <w:szCs w:val="22"/>
        </w:rPr>
        <w:tab/>
      </w:r>
      <w:r w:rsidR="00FF35FF" w:rsidRPr="00FF35FF">
        <w:rPr>
          <w:rFonts w:asciiTheme="minorHAnsi" w:hAnsiTheme="minorHAnsi" w:cstheme="minorHAnsi"/>
          <w:sz w:val="22"/>
          <w:szCs w:val="22"/>
        </w:rPr>
        <w:t>xxxxxxxxxxxxxxxxxxxx</w:t>
      </w:r>
    </w:p>
    <w:p w14:paraId="23BB98F9" w14:textId="66E3EDA5" w:rsidR="004948ED" w:rsidRPr="0038678A" w:rsidRDefault="004C338F" w:rsidP="004C338F">
      <w:pPr>
        <w:spacing w:after="0" w:line="240" w:lineRule="auto"/>
        <w:rPr>
          <w:rFonts w:eastAsia="Times New Roman" w:cstheme="minorHAnsi"/>
          <w:lang w:eastAsia="cs-CZ"/>
        </w:rPr>
      </w:pPr>
      <w:r w:rsidRPr="0038678A">
        <w:rPr>
          <w:rFonts w:cstheme="minorHAnsi"/>
        </w:rPr>
        <w:t xml:space="preserve">společnost zapsaná v OR </w:t>
      </w:r>
      <w:r w:rsidR="00D7696C">
        <w:rPr>
          <w:rFonts w:ascii="Verdana" w:hAnsi="Verdana"/>
          <w:color w:val="333333"/>
          <w:sz w:val="18"/>
          <w:szCs w:val="18"/>
          <w:shd w:val="clear" w:color="auto" w:fill="FFFFFF"/>
        </w:rPr>
        <w:t>vedená u Městského soudu v Praze, C 173578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AD323ED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B11E1A">
        <w:rPr>
          <w:rFonts w:asciiTheme="minorHAnsi" w:hAnsiTheme="minorHAnsi"/>
          <w:sz w:val="22"/>
          <w:szCs w:val="22"/>
        </w:rPr>
        <w:t>vzájemné dohody obou stran.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251FBB2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 xml:space="preserve">dodávat kupujícímu </w:t>
      </w:r>
      <w:r w:rsidR="00836EAC">
        <w:rPr>
          <w:rFonts w:asciiTheme="minorHAnsi" w:hAnsiTheme="minorHAnsi"/>
          <w:b/>
          <w:sz w:val="22"/>
          <w:szCs w:val="22"/>
        </w:rPr>
        <w:t>pracovní obuv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="00914C9F">
        <w:rPr>
          <w:rFonts w:asciiTheme="minorHAnsi" w:hAnsiTheme="minorHAnsi"/>
          <w:sz w:val="22"/>
          <w:szCs w:val="22"/>
        </w:rPr>
        <w:t xml:space="preserve">), specifikované v příloze </w:t>
      </w:r>
      <w:r w:rsidR="00F16F51">
        <w:rPr>
          <w:rFonts w:asciiTheme="minorHAnsi" w:hAnsiTheme="minorHAnsi"/>
          <w:sz w:val="22"/>
          <w:szCs w:val="22"/>
        </w:rPr>
        <w:t xml:space="preserve">č. </w:t>
      </w:r>
      <w:r w:rsidR="00914C9F">
        <w:rPr>
          <w:rFonts w:asciiTheme="minorHAnsi" w:hAnsiTheme="minorHAnsi"/>
          <w:sz w:val="22"/>
          <w:szCs w:val="22"/>
        </w:rPr>
        <w:t>1.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365035F8" w14:textId="77777777" w:rsidR="00ED460B" w:rsidRPr="00196B05" w:rsidRDefault="006168E5" w:rsidP="00ED460B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D460B">
        <w:rPr>
          <w:rFonts w:asciiTheme="minorHAnsi" w:hAnsiTheme="minorHAnsi"/>
          <w:sz w:val="22"/>
          <w:szCs w:val="22"/>
        </w:rPr>
        <w:t>Sjednaná kupní cena (jednotková cena) uvedená v příloze č. 1 této smlouvy obsahuje veškeré náklady prodávajícího, tzn. zejména náklady na dopravu do místa plnění, náklady na odevzdání zbo</w:t>
      </w:r>
      <w:r w:rsidRPr="00196B05">
        <w:rPr>
          <w:rFonts w:asciiTheme="minorHAnsi" w:hAnsiTheme="minorHAnsi"/>
          <w:sz w:val="22"/>
          <w:szCs w:val="22"/>
        </w:rPr>
        <w:t xml:space="preserve">ží a jeho převzetí, pojištění, obaly, </w:t>
      </w:r>
      <w:bookmarkStart w:id="1" w:name="_Hlk114219879"/>
      <w:r w:rsidR="00ED460B" w:rsidRPr="00196B05">
        <w:rPr>
          <w:rFonts w:asciiTheme="minorHAnsi" w:hAnsiTheme="minorHAnsi"/>
          <w:sz w:val="22"/>
          <w:szCs w:val="22"/>
        </w:rPr>
        <w:t>s touto výhradou:</w:t>
      </w:r>
    </w:p>
    <w:p w14:paraId="62BFE6D2" w14:textId="2A2E6801" w:rsidR="006168E5" w:rsidRPr="00196B05" w:rsidRDefault="00ED460B" w:rsidP="00ED460B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360"/>
        <w:rPr>
          <w:rFonts w:asciiTheme="minorHAnsi" w:hAnsiTheme="minorHAnsi"/>
          <w:sz w:val="22"/>
          <w:szCs w:val="22"/>
        </w:rPr>
      </w:pPr>
      <w:r w:rsidRPr="00196B05">
        <w:rPr>
          <w:rFonts w:asciiTheme="minorHAnsi" w:hAnsiTheme="minorHAnsi"/>
          <w:sz w:val="22"/>
          <w:szCs w:val="22"/>
        </w:rPr>
        <w:t>Kupující je povinen si svým nákladem obstarat nahřívací pistoli, dle instrukcí Prodávajícího a prostřednictvím svých zaměstnanců provádět svým nákladem nahřívání obuvi v souladu s návodem, se kterým byl seznámen, na základě školení, které bude Kupujícímu Prodávajícím bezúplatně poskytnuto.</w:t>
      </w:r>
      <w:bookmarkEnd w:id="1"/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7C93AB85" w:rsidR="00983EA8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 </w:t>
      </w:r>
      <w:r w:rsidRPr="007B746D">
        <w:rPr>
          <w:rFonts w:asciiTheme="minorHAnsi" w:hAnsiTheme="minorHAnsi"/>
          <w:sz w:val="22"/>
          <w:szCs w:val="22"/>
        </w:rPr>
        <w:t xml:space="preserve">nejpozději </w:t>
      </w:r>
      <w:r w:rsidRPr="00196B05">
        <w:rPr>
          <w:rFonts w:asciiTheme="minorHAnsi" w:hAnsiTheme="minorHAnsi"/>
          <w:sz w:val="22"/>
          <w:szCs w:val="22"/>
        </w:rPr>
        <w:t xml:space="preserve">do </w:t>
      </w:r>
      <w:r w:rsidR="00ED460B" w:rsidRPr="00196B05">
        <w:rPr>
          <w:rFonts w:asciiTheme="minorHAnsi" w:hAnsiTheme="minorHAnsi"/>
          <w:b/>
          <w:sz w:val="22"/>
          <w:szCs w:val="22"/>
        </w:rPr>
        <w:t>20</w:t>
      </w:r>
      <w:r w:rsidRPr="00196B05">
        <w:rPr>
          <w:rFonts w:asciiTheme="minorHAnsi" w:hAnsiTheme="minorHAnsi"/>
          <w:b/>
          <w:sz w:val="22"/>
          <w:szCs w:val="22"/>
        </w:rPr>
        <w:t xml:space="preserve"> pracovních dnů od data objednávky</w:t>
      </w:r>
      <w:r w:rsidR="00696760" w:rsidRPr="00196B05">
        <w:rPr>
          <w:rFonts w:asciiTheme="minorHAnsi" w:hAnsiTheme="minorHAnsi"/>
          <w:sz w:val="22"/>
          <w:szCs w:val="22"/>
        </w:rPr>
        <w:t xml:space="preserve">, </w:t>
      </w:r>
      <w:r w:rsidR="00696760">
        <w:rPr>
          <w:rFonts w:asciiTheme="minorHAnsi" w:hAnsiTheme="minorHAnsi"/>
          <w:sz w:val="22"/>
          <w:szCs w:val="22"/>
        </w:rPr>
        <w:t>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4827FDA2" w14:textId="7AAD5363" w:rsidR="00FF48D2" w:rsidRPr="003B1CA3" w:rsidRDefault="00FF48D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651BCC0C" w:rsidR="00983EA8" w:rsidRDefault="00ED460B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D460B">
        <w:rPr>
          <w:rFonts w:asciiTheme="minorHAnsi" w:hAnsiTheme="minorHAnsi"/>
          <w:sz w:val="22"/>
          <w:szCs w:val="22"/>
        </w:rPr>
        <w:t>Okamžikem řádného předání a převzetí zboží</w:t>
      </w:r>
      <w:r w:rsidR="001E4581">
        <w:rPr>
          <w:rFonts w:asciiTheme="minorHAnsi" w:hAnsiTheme="minorHAnsi"/>
          <w:sz w:val="22"/>
          <w:szCs w:val="22"/>
        </w:rPr>
        <w:t>,</w:t>
      </w:r>
      <w:r w:rsidRPr="00ED460B">
        <w:rPr>
          <w:rFonts w:asciiTheme="minorHAnsi" w:hAnsiTheme="minorHAnsi"/>
          <w:color w:val="4F81BD" w:themeColor="accent1"/>
          <w:sz w:val="22"/>
          <w:szCs w:val="22"/>
        </w:rPr>
        <w:t xml:space="preserve"> </w:t>
      </w:r>
      <w:r w:rsidRPr="00ED460B">
        <w:rPr>
          <w:rFonts w:asciiTheme="minorHAnsi" w:hAnsiTheme="minorHAnsi"/>
          <w:sz w:val="22"/>
          <w:szCs w:val="22"/>
        </w:rPr>
        <w:t>přechází na kupujícího vlastnické právo ke zboží a nebezpečí škody na zboží. Kupující není povinen převzít zboží či jeho část, která je poškozená nebo která jinak nesplňuje podmínky této smlouvy, zejména pak jakost zboží.</w:t>
      </w:r>
    </w:p>
    <w:p w14:paraId="67A0CDCF" w14:textId="53BC5DAB" w:rsidR="006D0E5D" w:rsidRDefault="006D0E5D" w:rsidP="006D0E5D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</w:t>
      </w:r>
      <w:r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penalizace či jiného postihu ze strany prodávajícího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96B05">
        <w:rPr>
          <w:rFonts w:asciiTheme="minorHAnsi" w:hAnsiTheme="minorHAnsi"/>
          <w:sz w:val="22"/>
          <w:szCs w:val="22"/>
        </w:rPr>
        <w:t>s výjimkou minimálního počtu kusů v</w:t>
      </w:r>
      <w:r>
        <w:rPr>
          <w:rFonts w:asciiTheme="minorHAnsi" w:hAnsiTheme="minorHAnsi"/>
          <w:sz w:val="22"/>
          <w:szCs w:val="22"/>
        </w:rPr>
        <w:t> </w:t>
      </w:r>
      <w:r w:rsidRPr="00196B05">
        <w:rPr>
          <w:rFonts w:asciiTheme="minorHAnsi" w:hAnsiTheme="minorHAnsi"/>
          <w:sz w:val="22"/>
          <w:szCs w:val="22"/>
        </w:rPr>
        <w:t>každé</w:t>
      </w:r>
    </w:p>
    <w:p w14:paraId="0F746DBF" w14:textId="782CBECE" w:rsidR="008C49BF" w:rsidRPr="006D0E5D" w:rsidRDefault="00ED460B" w:rsidP="006D0E5D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4"/>
        <w:rPr>
          <w:rFonts w:asciiTheme="minorHAnsi" w:hAnsiTheme="minorHAnsi"/>
          <w:sz w:val="22"/>
          <w:szCs w:val="22"/>
        </w:rPr>
      </w:pPr>
      <w:r w:rsidRPr="006D0E5D">
        <w:rPr>
          <w:rFonts w:asciiTheme="minorHAnsi" w:hAnsiTheme="minorHAnsi"/>
          <w:sz w:val="22"/>
          <w:szCs w:val="22"/>
        </w:rPr>
        <w:lastRenderedPageBreak/>
        <w:t xml:space="preserve">dílčí objednávce v počtu </w:t>
      </w:r>
      <w:r w:rsidRPr="006D0E5D">
        <w:rPr>
          <w:rFonts w:asciiTheme="minorHAnsi" w:hAnsiTheme="minorHAnsi"/>
          <w:b/>
          <w:sz w:val="22"/>
          <w:szCs w:val="22"/>
        </w:rPr>
        <w:t>12 párů na pobočku</w:t>
      </w:r>
      <w:r w:rsidRPr="006D0E5D">
        <w:rPr>
          <w:rFonts w:asciiTheme="minorHAnsi" w:hAnsiTheme="minorHAnsi"/>
          <w:sz w:val="22"/>
          <w:szCs w:val="22"/>
        </w:rPr>
        <w:t>.</w:t>
      </w:r>
    </w:p>
    <w:p w14:paraId="12CA2473" w14:textId="2AB733F7" w:rsidR="00961B03" w:rsidRPr="00196B05" w:rsidRDefault="00961B03" w:rsidP="00961B0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V ka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ž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é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l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čí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objedn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á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vce je Kupuj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povinen v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ž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dy ozna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č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it o jakou pobo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č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ku se jedn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á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objedn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á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vky zas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lat na email Prod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á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vaj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í</w:t>
      </w:r>
      <w:r w:rsidRPr="00196B05">
        <w:rPr>
          <w:rFonts w:asciiTheme="minorHAnsi" w:hAnsiTheme="minorHAnsi" w:cstheme="minorHAnsi"/>
          <w:sz w:val="22"/>
          <w:szCs w:val="22"/>
          <w:shd w:val="clear" w:color="auto" w:fill="FFFFFF"/>
        </w:rPr>
        <w:t>ho:</w:t>
      </w:r>
      <w:r w:rsidRPr="00196B05">
        <w:rPr>
          <w:rFonts w:asciiTheme="minorHAnsi" w:hAnsiTheme="minorHAnsi" w:cstheme="minorHAnsi" w:hint="eastAsia"/>
          <w:sz w:val="22"/>
          <w:szCs w:val="22"/>
          <w:shd w:val="clear" w:color="auto" w:fill="FFFFFF"/>
        </w:rPr>
        <w:t> </w:t>
      </w:r>
      <w:hyperlink r:id="rId8" w:tgtFrame="_blank" w:history="1">
        <w:r w:rsidRPr="00196B0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objednavky@pro-evolution.cz</w:t>
        </w:r>
      </w:hyperlink>
      <w:r w:rsidRPr="00196B05">
        <w:rPr>
          <w:rFonts w:asciiTheme="minorHAnsi" w:hAnsiTheme="minorHAnsi" w:cstheme="minorHAnsi"/>
          <w:sz w:val="22"/>
          <w:szCs w:val="22"/>
        </w:rPr>
        <w:t>.</w:t>
      </w:r>
    </w:p>
    <w:p w14:paraId="1BD855F6" w14:textId="27940E8A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</w:t>
      </w:r>
      <w:r w:rsidR="00182AD6">
        <w:rPr>
          <w:rFonts w:asciiTheme="minorHAnsi" w:hAnsiTheme="minorHAnsi"/>
          <w:sz w:val="22"/>
          <w:szCs w:val="22"/>
        </w:rPr>
        <w:t>prodávajícím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332160F5" w14:textId="4074E236" w:rsidR="00961B03" w:rsidRDefault="00EA0D41" w:rsidP="00FF6CA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961B03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 w:rsidRPr="00961B03">
        <w:rPr>
          <w:rFonts w:asciiTheme="minorHAnsi" w:hAnsiTheme="minorHAnsi"/>
          <w:sz w:val="22"/>
          <w:szCs w:val="22"/>
        </w:rPr>
        <w:t xml:space="preserve">zboží </w:t>
      </w:r>
      <w:r w:rsidRPr="00961B03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961B03">
        <w:rPr>
          <w:rFonts w:asciiTheme="minorHAnsi" w:hAnsiTheme="minorHAnsi"/>
          <w:sz w:val="22"/>
          <w:szCs w:val="22"/>
        </w:rPr>
        <w:br/>
        <w:t>i s důvody potvrdí na dodacím listu.</w:t>
      </w:r>
    </w:p>
    <w:p w14:paraId="5F170037" w14:textId="5AB3AA0C" w:rsidR="00961B03" w:rsidRDefault="006D0E5D" w:rsidP="00961B0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61B03" w:rsidRPr="00196B05">
        <w:rPr>
          <w:rFonts w:asciiTheme="minorHAnsi" w:hAnsiTheme="minorHAnsi"/>
          <w:sz w:val="22"/>
          <w:szCs w:val="22"/>
        </w:rPr>
        <w:t xml:space="preserve">Jakékoliv vady v dodávce Kupující sdělí Prodávajícímu neprodleně po zjištění takových vad na email: </w:t>
      </w:r>
      <w:hyperlink r:id="rId9" w:tgtFrame="_blank" w:history="1">
        <w:r w:rsidR="00961B03" w:rsidRPr="00196B0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objednavky@pro-evolution.cz</w:t>
        </w:r>
      </w:hyperlink>
      <w:r w:rsidR="00961B03" w:rsidRPr="00196B05">
        <w:rPr>
          <w:rFonts w:asciiTheme="minorHAnsi" w:hAnsiTheme="minorHAnsi" w:cstheme="minorHAnsi"/>
          <w:sz w:val="22"/>
          <w:szCs w:val="22"/>
        </w:rPr>
        <w:t>.</w:t>
      </w: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2"/>
    </w:p>
    <w:p w14:paraId="3062B6B5" w14:textId="41EF630F" w:rsidR="007D6E52" w:rsidRPr="00E94C69" w:rsidRDefault="007D6E52" w:rsidP="00196B05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. Fakturu je prodávající oprávněn vystavit </w:t>
      </w:r>
      <w:r w:rsidR="003F0AD7" w:rsidRPr="00196B05">
        <w:rPr>
          <w:rFonts w:asciiTheme="minorHAnsi" w:hAnsiTheme="minorHAnsi"/>
          <w:sz w:val="22"/>
          <w:szCs w:val="22"/>
        </w:rPr>
        <w:t>v okamžiku expedice zboží Kupujícímu.</w:t>
      </w:r>
      <w:r w:rsidRPr="00196B05">
        <w:rPr>
          <w:rFonts w:asciiTheme="minorHAnsi" w:hAnsiTheme="minorHAnsi"/>
          <w:sz w:val="22"/>
          <w:szCs w:val="22"/>
        </w:rPr>
        <w:t xml:space="preserve"> Zálohové platby nebudou poskytovány.</w:t>
      </w:r>
      <w:r w:rsidR="003F0AD7" w:rsidRPr="00196B05">
        <w:rPr>
          <w:rFonts w:asciiTheme="minorHAnsi" w:hAnsiTheme="minorHAnsi"/>
          <w:sz w:val="22"/>
          <w:szCs w:val="22"/>
        </w:rPr>
        <w:t xml:space="preserve"> Faktury budou zasílány na email Kupujícího </w:t>
      </w:r>
      <w:r w:rsidR="00196B05" w:rsidRPr="00196B05">
        <w:rPr>
          <w:rFonts w:asciiTheme="minorHAnsi" w:hAnsiTheme="minorHAnsi"/>
          <w:sz w:val="22"/>
          <w:szCs w:val="22"/>
          <w:u w:val="single"/>
        </w:rPr>
        <w:t>fakturace@kkn.cz</w:t>
      </w:r>
      <w:r w:rsidR="00196B05">
        <w:rPr>
          <w:rFonts w:asciiTheme="minorHAnsi" w:hAnsiTheme="minorHAnsi"/>
          <w:color w:val="4F81BD" w:themeColor="accent1"/>
          <w:sz w:val="22"/>
          <w:szCs w:val="22"/>
        </w:rPr>
        <w:t>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31773C19" w:rsidR="007D6E52" w:rsidRPr="00E94C69" w:rsidRDefault="00E94C69" w:rsidP="006D0E5D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066AC40C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58991EA5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196B05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3F0AD7" w:rsidRPr="00196B05">
        <w:rPr>
          <w:rFonts w:asciiTheme="minorHAnsi" w:hAnsiTheme="minorHAnsi"/>
          <w:b/>
          <w:sz w:val="22"/>
          <w:szCs w:val="22"/>
        </w:rPr>
        <w:t>30</w:t>
      </w:r>
      <w:r w:rsidRPr="00196B05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196B05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28168E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Nebude-li faktura obsahovat některou povinnou nebo dohodnutou náležitost nebo bude chybně vyúčtována cena nebo DPH, je kupující oprávněn </w:t>
      </w:r>
      <w:r w:rsidR="003F0AD7" w:rsidRPr="00196B05">
        <w:rPr>
          <w:rFonts w:asciiTheme="minorHAnsi" w:hAnsiTheme="minorHAnsi"/>
          <w:sz w:val="22"/>
          <w:szCs w:val="22"/>
        </w:rPr>
        <w:t xml:space="preserve">fakturu ihned po zjištění chyby, nejdéle </w:t>
      </w:r>
      <w:r w:rsidRPr="00E94C69">
        <w:rPr>
          <w:rFonts w:asciiTheme="minorHAnsi" w:hAnsiTheme="minorHAnsi"/>
          <w:sz w:val="22"/>
          <w:szCs w:val="22"/>
        </w:rPr>
        <w:t>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6BD52012" w14:textId="6A578137" w:rsidR="007D6E52" w:rsidRPr="001E4581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1E4581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 w:rsidRPr="001E4581">
        <w:rPr>
          <w:rFonts w:asciiTheme="minorHAnsi" w:hAnsiTheme="minorHAnsi"/>
          <w:sz w:val="22"/>
          <w:szCs w:val="22"/>
        </w:rPr>
        <w:t xml:space="preserve">zboží </w:t>
      </w:r>
      <w:r w:rsidRPr="001E4581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06D1DF48" w:rsidR="007D6E52" w:rsidRPr="00746C4B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746C4B">
        <w:rPr>
          <w:rFonts w:asciiTheme="minorHAnsi" w:hAnsiTheme="minorHAnsi"/>
          <w:sz w:val="22"/>
          <w:szCs w:val="22"/>
        </w:rPr>
        <w:t xml:space="preserve">telefonní číslo: </w:t>
      </w:r>
      <w:r w:rsidR="003F0AD7" w:rsidRPr="00746C4B">
        <w:rPr>
          <w:rFonts w:asciiTheme="minorHAnsi" w:hAnsiTheme="minorHAnsi"/>
          <w:sz w:val="22"/>
          <w:szCs w:val="22"/>
        </w:rPr>
        <w:t>773 298</w:t>
      </w:r>
      <w:r w:rsidR="00746C4B">
        <w:rPr>
          <w:rFonts w:asciiTheme="minorHAnsi" w:hAnsiTheme="minorHAnsi"/>
          <w:sz w:val="22"/>
          <w:szCs w:val="22"/>
        </w:rPr>
        <w:t> </w:t>
      </w:r>
      <w:r w:rsidR="003F0AD7" w:rsidRPr="00746C4B">
        <w:rPr>
          <w:rFonts w:asciiTheme="minorHAnsi" w:hAnsiTheme="minorHAnsi"/>
          <w:sz w:val="22"/>
          <w:szCs w:val="22"/>
        </w:rPr>
        <w:t>093</w:t>
      </w:r>
      <w:r w:rsidR="00746C4B">
        <w:rPr>
          <w:rFonts w:asciiTheme="minorHAnsi" w:hAnsiTheme="minorHAnsi"/>
          <w:sz w:val="22"/>
          <w:szCs w:val="22"/>
        </w:rPr>
        <w:t xml:space="preserve"> – Pavel Kolovský</w:t>
      </w:r>
    </w:p>
    <w:p w14:paraId="618BD87C" w14:textId="4D8B006C" w:rsidR="007D6E52" w:rsidRPr="00746C4B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746C4B">
        <w:rPr>
          <w:rFonts w:asciiTheme="minorHAnsi" w:hAnsiTheme="minorHAnsi"/>
          <w:sz w:val="22"/>
          <w:szCs w:val="22"/>
        </w:rPr>
        <w:t xml:space="preserve">e-mail: </w:t>
      </w:r>
      <w:r w:rsidR="003F0AD7" w:rsidRPr="00746C4B">
        <w:rPr>
          <w:rFonts w:asciiTheme="minorHAnsi" w:hAnsiTheme="minorHAnsi"/>
          <w:sz w:val="22"/>
          <w:szCs w:val="22"/>
        </w:rPr>
        <w:t>kolovsky@pro-evolution.cz</w:t>
      </w:r>
    </w:p>
    <w:p w14:paraId="1D3823E1" w14:textId="77777777" w:rsidR="007D6E52" w:rsidRPr="00E94C69" w:rsidRDefault="007D6E52" w:rsidP="006D0E5D">
      <w:pPr>
        <w:spacing w:before="120" w:after="0"/>
        <w:ind w:left="284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2954A34E" w14:textId="77777777" w:rsidR="00634106" w:rsidRDefault="007D6E52" w:rsidP="00634106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543FA974" w:rsidR="007D6E52" w:rsidRPr="00634106" w:rsidRDefault="006D0E5D" w:rsidP="00634106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634106">
        <w:rPr>
          <w:rFonts w:asciiTheme="minorHAnsi" w:hAnsiTheme="minorHAnsi"/>
          <w:sz w:val="22"/>
          <w:szCs w:val="22"/>
        </w:rPr>
        <w:t>Odstranění vady musí být provedeno</w:t>
      </w:r>
      <w:r w:rsidRPr="00634106">
        <w:rPr>
          <w:rFonts w:asciiTheme="minorHAnsi" w:hAnsiTheme="minorHAnsi"/>
          <w:b/>
          <w:sz w:val="22"/>
          <w:szCs w:val="22"/>
        </w:rPr>
        <w:t xml:space="preserve"> do 30 kalendářních dnů</w:t>
      </w:r>
      <w:r w:rsidRPr="00634106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kupující (uživatel), v konkrétním případě nedohodnou písemně jinak. Pokud prodávající vadu neodstraní ve stanovené lhůtě, je povinen kupujícímu poskytnout zdarma náhradní zboží o stejných nebo vyšších technických parametrech, a to až do </w:t>
      </w:r>
      <w:r w:rsidR="007D6E52" w:rsidRPr="00634106">
        <w:rPr>
          <w:rFonts w:asciiTheme="minorHAnsi" w:hAnsiTheme="minorHAnsi"/>
          <w:sz w:val="22"/>
          <w:szCs w:val="22"/>
        </w:rPr>
        <w:t>doby předání opravené</w:t>
      </w:r>
      <w:r w:rsidR="000B5054" w:rsidRPr="00634106">
        <w:rPr>
          <w:rFonts w:asciiTheme="minorHAnsi" w:hAnsiTheme="minorHAnsi"/>
          <w:sz w:val="22"/>
          <w:szCs w:val="22"/>
        </w:rPr>
        <w:t>ho</w:t>
      </w:r>
      <w:r w:rsidR="007D6E52" w:rsidRPr="00634106">
        <w:rPr>
          <w:rFonts w:asciiTheme="minorHAnsi" w:hAnsiTheme="minorHAnsi"/>
          <w:sz w:val="22"/>
          <w:szCs w:val="22"/>
        </w:rPr>
        <w:t xml:space="preserve"> </w:t>
      </w:r>
      <w:r w:rsidR="000B5054" w:rsidRPr="00634106">
        <w:rPr>
          <w:rFonts w:asciiTheme="minorHAnsi" w:hAnsiTheme="minorHAnsi"/>
          <w:sz w:val="22"/>
          <w:szCs w:val="22"/>
        </w:rPr>
        <w:t>zboží</w:t>
      </w:r>
      <w:r w:rsidR="007D6E52" w:rsidRPr="00634106">
        <w:rPr>
          <w:rFonts w:asciiTheme="minorHAnsi" w:hAnsiTheme="minorHAnsi"/>
          <w:sz w:val="22"/>
          <w:szCs w:val="22"/>
        </w:rPr>
        <w:t>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3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3"/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62C27547" w:rsidR="003474BD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8C1D2E">
        <w:rPr>
          <w:rFonts w:asciiTheme="minorHAnsi" w:hAnsiTheme="minorHAnsi"/>
          <w:b/>
          <w:sz w:val="22"/>
          <w:szCs w:val="22"/>
        </w:rPr>
        <w:t>12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  <w:r w:rsidR="008C1D2E">
        <w:rPr>
          <w:rFonts w:asciiTheme="minorHAnsi" w:hAnsiTheme="minorHAnsi"/>
          <w:sz w:val="22"/>
          <w:szCs w:val="22"/>
        </w:rPr>
        <w:t xml:space="preserve"> </w:t>
      </w:r>
    </w:p>
    <w:p w14:paraId="585937F6" w14:textId="454E33BE" w:rsidR="0036453C" w:rsidRPr="00EA3FC3" w:rsidRDefault="00914C9F" w:rsidP="0036453C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color w:val="4F81BD" w:themeColor="accent1"/>
          <w:sz w:val="22"/>
          <w:szCs w:val="22"/>
        </w:rPr>
      </w:pPr>
      <w:r w:rsidRPr="00914C9F">
        <w:rPr>
          <w:rFonts w:asciiTheme="minorHAnsi" w:hAnsiTheme="minorHAnsi"/>
          <w:sz w:val="22"/>
          <w:szCs w:val="22"/>
        </w:rPr>
        <w:t xml:space="preserve">Smluvní strany dále sjednávají automatické prodloužení </w:t>
      </w:r>
      <w:r w:rsidR="0036453C" w:rsidRPr="00196B05">
        <w:rPr>
          <w:rFonts w:asciiTheme="minorHAnsi" w:hAnsiTheme="minorHAnsi"/>
          <w:b/>
          <w:sz w:val="22"/>
          <w:szCs w:val="22"/>
        </w:rPr>
        <w:t xml:space="preserve">trvání smlouvy </w:t>
      </w:r>
      <w:r w:rsidRPr="00196B05">
        <w:rPr>
          <w:rFonts w:asciiTheme="minorHAnsi" w:hAnsiTheme="minorHAnsi"/>
          <w:b/>
          <w:sz w:val="22"/>
          <w:szCs w:val="22"/>
        </w:rPr>
        <w:t>vždy o 1 rok</w:t>
      </w:r>
      <w:r w:rsidRPr="00914C9F">
        <w:rPr>
          <w:rFonts w:asciiTheme="minorHAnsi" w:hAnsiTheme="minorHAnsi"/>
          <w:sz w:val="22"/>
          <w:szCs w:val="22"/>
        </w:rPr>
        <w:t xml:space="preserve">, a </w:t>
      </w:r>
      <w:r>
        <w:rPr>
          <w:rFonts w:asciiTheme="minorHAnsi" w:hAnsiTheme="minorHAnsi"/>
          <w:sz w:val="22"/>
          <w:szCs w:val="22"/>
        </w:rPr>
        <w:t>to v případě, pokud prodávající</w:t>
      </w:r>
      <w:r w:rsidRPr="00914C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(kupující) </w:t>
      </w:r>
      <w:r w:rsidRPr="00914C9F">
        <w:rPr>
          <w:rFonts w:asciiTheme="minorHAnsi" w:hAnsiTheme="minorHAnsi"/>
          <w:sz w:val="22"/>
          <w:szCs w:val="22"/>
        </w:rPr>
        <w:t>nejpozději 2 měsíce před uko</w:t>
      </w:r>
      <w:r>
        <w:rPr>
          <w:rFonts w:asciiTheme="minorHAnsi" w:hAnsiTheme="minorHAnsi"/>
          <w:sz w:val="22"/>
          <w:szCs w:val="22"/>
        </w:rPr>
        <w:t>nčením</w:t>
      </w:r>
      <w:r w:rsidRPr="00196B05">
        <w:rPr>
          <w:rFonts w:asciiTheme="minorHAnsi" w:hAnsiTheme="minorHAnsi"/>
          <w:sz w:val="22"/>
          <w:szCs w:val="22"/>
        </w:rPr>
        <w:t xml:space="preserve"> </w:t>
      </w:r>
      <w:r w:rsidR="0036453C" w:rsidRPr="00196B05">
        <w:rPr>
          <w:rFonts w:asciiTheme="minorHAnsi" w:hAnsiTheme="minorHAnsi"/>
          <w:sz w:val="22"/>
          <w:szCs w:val="22"/>
        </w:rPr>
        <w:t xml:space="preserve">smlouvy </w:t>
      </w:r>
      <w:r>
        <w:rPr>
          <w:rFonts w:asciiTheme="minorHAnsi" w:hAnsiTheme="minorHAnsi"/>
          <w:sz w:val="22"/>
          <w:szCs w:val="22"/>
        </w:rPr>
        <w:t>nesdělí kupujícímu (prodávajícímu)</w:t>
      </w:r>
      <w:r w:rsidRPr="00914C9F">
        <w:rPr>
          <w:rFonts w:asciiTheme="minorHAnsi" w:hAnsiTheme="minorHAnsi"/>
          <w:sz w:val="22"/>
          <w:szCs w:val="22"/>
        </w:rPr>
        <w:t>, že s automatickým prodloužením</w:t>
      </w:r>
      <w:r>
        <w:rPr>
          <w:rFonts w:asciiTheme="minorHAnsi" w:hAnsiTheme="minorHAnsi"/>
          <w:sz w:val="22"/>
          <w:szCs w:val="22"/>
        </w:rPr>
        <w:t xml:space="preserve"> nesouhlasí. Ani jeden z nich není </w:t>
      </w:r>
      <w:r w:rsidRPr="00914C9F">
        <w:rPr>
          <w:rFonts w:asciiTheme="minorHAnsi" w:hAnsiTheme="minorHAnsi"/>
          <w:sz w:val="22"/>
          <w:szCs w:val="22"/>
        </w:rPr>
        <w:t xml:space="preserve">povinen sdělit </w:t>
      </w:r>
      <w:r>
        <w:rPr>
          <w:rFonts w:asciiTheme="minorHAnsi" w:hAnsiTheme="minorHAnsi"/>
          <w:sz w:val="22"/>
          <w:szCs w:val="22"/>
        </w:rPr>
        <w:t xml:space="preserve">v tomto případě </w:t>
      </w:r>
      <w:r w:rsidRPr="00914C9F">
        <w:rPr>
          <w:rFonts w:asciiTheme="minorHAnsi" w:hAnsiTheme="minorHAnsi"/>
          <w:sz w:val="22"/>
          <w:szCs w:val="22"/>
        </w:rPr>
        <w:t xml:space="preserve">důvod nesouhlasu s automatickým prodloužením </w:t>
      </w:r>
      <w:r>
        <w:rPr>
          <w:rFonts w:asciiTheme="minorHAnsi" w:hAnsiTheme="minorHAnsi"/>
          <w:sz w:val="22"/>
          <w:szCs w:val="22"/>
        </w:rPr>
        <w:t>smlouvy</w:t>
      </w:r>
      <w:r w:rsidRPr="00914C9F">
        <w:rPr>
          <w:rFonts w:asciiTheme="minorHAnsi" w:hAnsiTheme="minorHAnsi"/>
          <w:sz w:val="22"/>
          <w:szCs w:val="22"/>
        </w:rPr>
        <w:t>.</w:t>
      </w:r>
      <w:r w:rsidR="0036453C">
        <w:rPr>
          <w:rFonts w:asciiTheme="minorHAnsi" w:hAnsiTheme="minorHAnsi"/>
          <w:sz w:val="22"/>
          <w:szCs w:val="22"/>
        </w:rPr>
        <w:t xml:space="preserve"> </w:t>
      </w:r>
      <w:r w:rsidR="0036453C" w:rsidRPr="00196B05">
        <w:rPr>
          <w:rFonts w:asciiTheme="minorHAnsi" w:hAnsiTheme="minorHAnsi"/>
          <w:sz w:val="22"/>
          <w:szCs w:val="22"/>
        </w:rPr>
        <w:t>Při každém takovém automatickém prodloužení si smluvní strany nejdéle jeden měsíc před vypršením trvání smlouvy odsouhlasí ceník zboží</w:t>
      </w:r>
      <w:r w:rsidR="001E7E27" w:rsidRPr="00196B05">
        <w:rPr>
          <w:rFonts w:asciiTheme="minorHAnsi" w:hAnsiTheme="minorHAnsi"/>
          <w:sz w:val="22"/>
          <w:szCs w:val="22"/>
        </w:rPr>
        <w:t>, to však pouze v případě, že dojde k jeho změně oproti předchozímu období</w:t>
      </w:r>
      <w:r w:rsidR="0036453C" w:rsidRPr="00196B05">
        <w:rPr>
          <w:rFonts w:asciiTheme="minorHAnsi" w:hAnsiTheme="minorHAnsi"/>
          <w:sz w:val="22"/>
          <w:szCs w:val="22"/>
        </w:rPr>
        <w:t>. Pokud bude proti ceníku mít některá ze stran výhrady a nedojde k dohodě, smlouva zanikne ke dni jejího výročí. V této souvislosti bylo sjednáno, že pro případ neočekávaných cenových výkyvů v nákladech Prodávajícího souvisejících s plněním této smlouvy, je Prodávající oprávněn sdělit Kupujícímu návrh nových cen. Kupující má v takovém případě právo cenovou úpravu odmítnout, když taková skutečnost zakládá právo Prodávajícího od této smlouvy jednostranně odstoupit okamžikem doručení písemného oznámení na adresu Kupujícího uvedenou v záhlaví této smlouvy.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373725D0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="0036453C" w:rsidRPr="00196B05">
        <w:rPr>
          <w:b/>
          <w:szCs w:val="24"/>
        </w:rPr>
        <w:t>3</w:t>
      </w:r>
      <w:r w:rsidRPr="00196B05">
        <w:rPr>
          <w:b/>
          <w:szCs w:val="24"/>
        </w:rPr>
        <w:t xml:space="preserve">0 </w:t>
      </w:r>
      <w:r w:rsidR="0036453C" w:rsidRPr="00196B05">
        <w:rPr>
          <w:b/>
          <w:szCs w:val="24"/>
        </w:rPr>
        <w:t xml:space="preserve">pracovních </w:t>
      </w:r>
      <w:r w:rsidRPr="00196B05">
        <w:rPr>
          <w:b/>
          <w:szCs w:val="24"/>
        </w:rPr>
        <w:t>dnů;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7F78C11A" w:rsidR="003474BD" w:rsidRPr="00D04616" w:rsidRDefault="0036453C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04616">
        <w:rPr>
          <w:szCs w:val="24"/>
        </w:rPr>
        <w:t>v souladu s ujednáním v dost. 2 tohoto článku poté, co Prodávající oznámí Kupujícímu zvýšení jednotkových cen.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3A09D18C" w:rsidR="003A4B8F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336D3F0F" w:rsidR="003A4B8F" w:rsidRPr="00634106" w:rsidRDefault="006D0E5D" w:rsidP="006C5970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634106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</w:t>
      </w:r>
      <w:r w:rsidR="00634106">
        <w:rPr>
          <w:rFonts w:asciiTheme="minorHAnsi" w:hAnsiTheme="minorHAnsi"/>
          <w:sz w:val="22"/>
          <w:szCs w:val="22"/>
        </w:rPr>
        <w:t xml:space="preserve"> </w:t>
      </w:r>
      <w:r w:rsidR="003A4B8F" w:rsidRPr="00634106">
        <w:rPr>
          <w:rFonts w:asciiTheme="minorHAnsi" w:hAnsiTheme="minorHAnsi"/>
          <w:sz w:val="22"/>
          <w:szCs w:val="22"/>
        </w:rPr>
        <w:t>přičemž účinky odstoupení nastávají dnem doručení písemného oznámení o odstoupení.</w:t>
      </w:r>
    </w:p>
    <w:p w14:paraId="620829AD" w14:textId="4ADFAA41" w:rsidR="003474BD" w:rsidRPr="006D0E5D" w:rsidRDefault="003A4B8F" w:rsidP="006D0E5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B739E1">
        <w:rPr>
          <w:rFonts w:asciiTheme="minorHAnsi" w:hAnsiTheme="minorHAnsi"/>
          <w:b/>
          <w:sz w:val="22"/>
          <w:szCs w:val="22"/>
        </w:rPr>
        <w:t>1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47D1936B" w14:textId="77777777" w:rsidR="00634106" w:rsidRDefault="00634106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744E6F88" w14:textId="0B0E8A05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583652F5" w14:textId="07635DBD" w:rsidR="00CB340E" w:rsidRDefault="00CB340E" w:rsidP="00CB340E">
      <w:pPr>
        <w:spacing w:after="120" w:line="240" w:lineRule="auto"/>
        <w:jc w:val="both"/>
        <w:rPr>
          <w:sz w:val="24"/>
          <w:szCs w:val="24"/>
        </w:rPr>
      </w:pPr>
    </w:p>
    <w:p w14:paraId="1AB2D65A" w14:textId="1AD9DD93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FF7718" w:rsidRPr="00FF7718">
        <w:t xml:space="preserve"> Libiši 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2A055A51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A66AFB7" w14:textId="77777777" w:rsidR="00634106" w:rsidRDefault="006341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3B91B25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36453C">
        <w:rPr>
          <w:rFonts w:eastAsia="Times New Roman" w:cs="Times New Roman"/>
          <w:szCs w:val="24"/>
          <w:lang w:eastAsia="cs-CZ"/>
        </w:rPr>
        <w:t>Martin Šebek</w:t>
      </w:r>
    </w:p>
    <w:p w14:paraId="4042AF39" w14:textId="69509D07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38678A">
        <w:rPr>
          <w:bCs/>
          <w:iCs/>
        </w:rPr>
        <w:tab/>
      </w:r>
      <w:r w:rsidR="0038678A">
        <w:rPr>
          <w:bCs/>
          <w:iCs/>
        </w:rPr>
        <w:tab/>
      </w:r>
      <w:r w:rsidR="0038678A">
        <w:rPr>
          <w:bCs/>
          <w:iCs/>
        </w:rPr>
        <w:tab/>
      </w:r>
      <w:r w:rsidR="0038678A">
        <w:rPr>
          <w:bCs/>
          <w:iCs/>
        </w:rPr>
        <w:tab/>
        <w:t>jednatel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3F379F3E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3E4D89A" w14:textId="77777777" w:rsidR="00634106" w:rsidRDefault="006341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2550EC3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6453C">
        <w:rPr>
          <w:rFonts w:eastAsia="Times New Roman" w:cs="Times New Roman"/>
          <w:sz w:val="24"/>
          <w:szCs w:val="24"/>
          <w:lang w:eastAsia="cs-CZ"/>
        </w:rPr>
        <w:tab/>
      </w:r>
      <w:r w:rsidR="0036453C" w:rsidRPr="00317F0E">
        <w:rPr>
          <w:sz w:val="12"/>
          <w:szCs w:val="24"/>
        </w:rPr>
        <w:t>……………………….……………………………………………………………</w:t>
      </w:r>
    </w:p>
    <w:p w14:paraId="0ADEF50F" w14:textId="44A10DD5" w:rsidR="004948ED" w:rsidRPr="0036453C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  <w:r w:rsidR="0036453C" w:rsidRPr="0036453C">
        <w:rPr>
          <w:rFonts w:eastAsia="Times New Roman" w:cs="Times New Roman"/>
          <w:bCs/>
          <w:szCs w:val="24"/>
          <w:lang w:eastAsia="cs-CZ"/>
        </w:rPr>
        <w:t>Michal Rak</w:t>
      </w:r>
    </w:p>
    <w:p w14:paraId="266BF1FB" w14:textId="2475D9DA" w:rsidR="004948ED" w:rsidRPr="0036453C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eastAsia="cs-CZ"/>
        </w:rPr>
      </w:pPr>
      <w:r w:rsidRPr="0036453C">
        <w:rPr>
          <w:rFonts w:eastAsia="Times New Roman" w:cs="Times New Roman"/>
          <w:bCs/>
          <w:snapToGrid w:val="0"/>
          <w:szCs w:val="24"/>
          <w:lang w:eastAsia="cs-CZ"/>
        </w:rPr>
        <w:t xml:space="preserve">místopředseda </w:t>
      </w:r>
      <w:r w:rsidR="004948ED" w:rsidRPr="0036453C">
        <w:rPr>
          <w:rFonts w:eastAsia="Times New Roman" w:cs="Times New Roman"/>
          <w:bCs/>
          <w:snapToGrid w:val="0"/>
          <w:szCs w:val="24"/>
          <w:lang w:eastAsia="cs-CZ"/>
        </w:rPr>
        <w:t>představenstva</w:t>
      </w:r>
      <w:r w:rsidR="004948ED" w:rsidRPr="0036453C">
        <w:rPr>
          <w:rFonts w:eastAsia="Times New Roman" w:cs="Times New Roman"/>
          <w:bCs/>
          <w:snapToGrid w:val="0"/>
          <w:szCs w:val="24"/>
          <w:lang w:eastAsia="cs-CZ"/>
        </w:rPr>
        <w:tab/>
      </w:r>
      <w:r w:rsidR="004948ED" w:rsidRPr="0036453C">
        <w:rPr>
          <w:rFonts w:eastAsia="Times New Roman" w:cs="Times New Roman"/>
          <w:bCs/>
          <w:szCs w:val="24"/>
          <w:lang w:eastAsia="cs-CZ"/>
        </w:rPr>
        <w:tab/>
      </w:r>
      <w:r w:rsidR="0036453C" w:rsidRPr="0036453C">
        <w:rPr>
          <w:rFonts w:eastAsia="Times New Roman" w:cs="Times New Roman"/>
          <w:bCs/>
          <w:szCs w:val="24"/>
          <w:lang w:eastAsia="cs-CZ"/>
        </w:rPr>
        <w:tab/>
        <w:t>jednatel</w:t>
      </w:r>
    </w:p>
    <w:p w14:paraId="3770AB42" w14:textId="005B1F69" w:rsidR="001767FC" w:rsidRDefault="004948E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</w:p>
    <w:sectPr w:rsidR="001767FC" w:rsidSect="00F32409">
      <w:headerReference w:type="default" r:id="rId10"/>
      <w:footerReference w:type="default" r:id="rId11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5C8B" w14:textId="77777777" w:rsidR="00A21B81" w:rsidRDefault="00A21B81" w:rsidP="00853832">
      <w:pPr>
        <w:spacing w:after="0" w:line="240" w:lineRule="auto"/>
      </w:pPr>
      <w:r>
        <w:separator/>
      </w:r>
    </w:p>
  </w:endnote>
  <w:endnote w:type="continuationSeparator" w:id="0">
    <w:p w14:paraId="7512165B" w14:textId="77777777" w:rsidR="00A21B81" w:rsidRDefault="00A21B81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614DC468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F35FF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F35FF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F803" w14:textId="77777777" w:rsidR="00A21B81" w:rsidRDefault="00A21B81" w:rsidP="00853832">
      <w:pPr>
        <w:spacing w:after="0" w:line="240" w:lineRule="auto"/>
      </w:pPr>
      <w:r>
        <w:separator/>
      </w:r>
    </w:p>
  </w:footnote>
  <w:footnote w:type="continuationSeparator" w:id="0">
    <w:p w14:paraId="62962D87" w14:textId="77777777" w:rsidR="00A21B81" w:rsidRDefault="00A21B81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6439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55312"/>
    <w:rsid w:val="00166BFA"/>
    <w:rsid w:val="00170F7C"/>
    <w:rsid w:val="001725E9"/>
    <w:rsid w:val="001767FC"/>
    <w:rsid w:val="001770E2"/>
    <w:rsid w:val="00182AD6"/>
    <w:rsid w:val="00192DE8"/>
    <w:rsid w:val="001934D8"/>
    <w:rsid w:val="00196B05"/>
    <w:rsid w:val="001A29B9"/>
    <w:rsid w:val="001A3689"/>
    <w:rsid w:val="001B05A6"/>
    <w:rsid w:val="001B4068"/>
    <w:rsid w:val="001D22F4"/>
    <w:rsid w:val="001E4581"/>
    <w:rsid w:val="001E7E27"/>
    <w:rsid w:val="001F35DA"/>
    <w:rsid w:val="00214BA8"/>
    <w:rsid w:val="00217003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2928"/>
    <w:rsid w:val="0036453C"/>
    <w:rsid w:val="00367F9B"/>
    <w:rsid w:val="0037252E"/>
    <w:rsid w:val="0038678A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3F0AD7"/>
    <w:rsid w:val="004078DE"/>
    <w:rsid w:val="0041064E"/>
    <w:rsid w:val="004153F7"/>
    <w:rsid w:val="00420A32"/>
    <w:rsid w:val="004278A2"/>
    <w:rsid w:val="00445C2E"/>
    <w:rsid w:val="00477298"/>
    <w:rsid w:val="00486E59"/>
    <w:rsid w:val="004906A5"/>
    <w:rsid w:val="004948ED"/>
    <w:rsid w:val="004A45C8"/>
    <w:rsid w:val="004B5B09"/>
    <w:rsid w:val="004C338F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0ABE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231A7"/>
    <w:rsid w:val="00634106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0E5D"/>
    <w:rsid w:val="006D4CDB"/>
    <w:rsid w:val="006E3741"/>
    <w:rsid w:val="007174AE"/>
    <w:rsid w:val="00722FD9"/>
    <w:rsid w:val="00733356"/>
    <w:rsid w:val="00736153"/>
    <w:rsid w:val="00746C4B"/>
    <w:rsid w:val="00766BCB"/>
    <w:rsid w:val="007B746D"/>
    <w:rsid w:val="007D6E52"/>
    <w:rsid w:val="007E1749"/>
    <w:rsid w:val="007E466B"/>
    <w:rsid w:val="007E6A48"/>
    <w:rsid w:val="00817E69"/>
    <w:rsid w:val="008351EC"/>
    <w:rsid w:val="00836EAC"/>
    <w:rsid w:val="008474AB"/>
    <w:rsid w:val="00853832"/>
    <w:rsid w:val="0085663E"/>
    <w:rsid w:val="0085752A"/>
    <w:rsid w:val="00884323"/>
    <w:rsid w:val="0089255B"/>
    <w:rsid w:val="008A5052"/>
    <w:rsid w:val="008B70F3"/>
    <w:rsid w:val="008C1D2E"/>
    <w:rsid w:val="008C49BF"/>
    <w:rsid w:val="008E164C"/>
    <w:rsid w:val="008E2F3E"/>
    <w:rsid w:val="00914C9F"/>
    <w:rsid w:val="00922327"/>
    <w:rsid w:val="00926B3A"/>
    <w:rsid w:val="00936016"/>
    <w:rsid w:val="00961746"/>
    <w:rsid w:val="00961B03"/>
    <w:rsid w:val="009643B6"/>
    <w:rsid w:val="00983EA8"/>
    <w:rsid w:val="00984E5E"/>
    <w:rsid w:val="009926EB"/>
    <w:rsid w:val="009A045B"/>
    <w:rsid w:val="009C480C"/>
    <w:rsid w:val="009C6C64"/>
    <w:rsid w:val="009D321E"/>
    <w:rsid w:val="009D79DA"/>
    <w:rsid w:val="009E0705"/>
    <w:rsid w:val="009E764F"/>
    <w:rsid w:val="009F08EF"/>
    <w:rsid w:val="009F319F"/>
    <w:rsid w:val="009F62BB"/>
    <w:rsid w:val="00A01615"/>
    <w:rsid w:val="00A0448C"/>
    <w:rsid w:val="00A07FD6"/>
    <w:rsid w:val="00A21B81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1E1A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B340E"/>
    <w:rsid w:val="00CE29D6"/>
    <w:rsid w:val="00D04616"/>
    <w:rsid w:val="00D10B8A"/>
    <w:rsid w:val="00D10D6B"/>
    <w:rsid w:val="00D35757"/>
    <w:rsid w:val="00D4296A"/>
    <w:rsid w:val="00D61DAF"/>
    <w:rsid w:val="00D66DCA"/>
    <w:rsid w:val="00D7696C"/>
    <w:rsid w:val="00D92BF8"/>
    <w:rsid w:val="00D93AE9"/>
    <w:rsid w:val="00DA2956"/>
    <w:rsid w:val="00DA59E4"/>
    <w:rsid w:val="00DB477C"/>
    <w:rsid w:val="00DC42AF"/>
    <w:rsid w:val="00DD5094"/>
    <w:rsid w:val="00DD7538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D460B"/>
    <w:rsid w:val="00EE1E62"/>
    <w:rsid w:val="00EE5DA3"/>
    <w:rsid w:val="00EF59B3"/>
    <w:rsid w:val="00EF62B7"/>
    <w:rsid w:val="00F16F51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74081"/>
    <w:rsid w:val="00F9611E"/>
    <w:rsid w:val="00FB4F03"/>
    <w:rsid w:val="00FB54DD"/>
    <w:rsid w:val="00FB67D6"/>
    <w:rsid w:val="00FC32CC"/>
    <w:rsid w:val="00FC3541"/>
    <w:rsid w:val="00FE5AB9"/>
    <w:rsid w:val="00FF35FF"/>
    <w:rsid w:val="00FF48D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C33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6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pro-evoluti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jednavky@pro-evoluti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9255-B6DD-45F1-9947-C45AB276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2022-10-21T06:46:00Z</dcterms:created>
  <dcterms:modified xsi:type="dcterms:W3CDTF">2022-10-21T06:46:00Z</dcterms:modified>
</cp:coreProperties>
</file>